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3"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2021</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36"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Arial" w:cs="Arial" w:eastAsia="Arial" w:hAnsi="Arial"/>
                <w:sz w:val="16"/>
                <w:szCs w:val="16"/>
                <w:color w:val="auto"/>
              </w:rPr>
              <w:t>For the transition period from _____ to _____</w:t>
            </w:r>
          </w:p>
        </w:tc>
        <w:tc>
          <w:tcPr>
            <w:tcW w:w="4120" w:type="dxa"/>
            <w:vAlign w:val="bottom"/>
          </w:tcPr>
          <w:p>
            <w:pPr>
              <w:spacing w:after="0"/>
              <w:rPr>
                <w:sz w:val="17"/>
                <w:szCs w:val="17"/>
                <w:color w:val="auto"/>
              </w:rPr>
            </w:pPr>
          </w:p>
        </w:tc>
      </w:tr>
      <w:tr>
        <w:trPr>
          <w:trHeight w:val="486"/>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2"/>
          </w:tcPr>
          <w:p>
            <w:pPr>
              <w:jc w:val="center"/>
              <w:ind w:left="278"/>
              <w:spacing w:after="0"/>
              <w:rPr>
                <w:sz w:val="20"/>
                <w:szCs w:val="20"/>
                <w:color w:val="auto"/>
              </w:rPr>
            </w:pPr>
            <w:r>
              <w:rPr>
                <w:rFonts w:ascii="Arial" w:cs="Arial" w:eastAsia="Arial" w:hAnsi="Arial"/>
                <w:sz w:val="16"/>
                <w:szCs w:val="16"/>
                <w:color w:val="auto"/>
                <w:w w:val="93"/>
              </w:rPr>
              <w:t>Commission File Number: 000-10140</w:t>
            </w:r>
          </w:p>
        </w:tc>
        <w:tc>
          <w:tcPr>
            <w:tcW w:w="4120" w:type="dxa"/>
            <w:vAlign w:val="bottom"/>
          </w:tcPr>
          <w:p>
            <w:pPr>
              <w:spacing w:after="0"/>
              <w:rPr>
                <w:sz w:val="24"/>
                <w:szCs w:val="24"/>
                <w:color w:val="auto"/>
              </w:rPr>
            </w:pPr>
          </w:p>
        </w:tc>
      </w:tr>
      <w:tr>
        <w:trPr>
          <w:trHeight w:val="623"/>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Arial" w:cs="Arial" w:eastAsia="Arial" w:hAnsi="Arial"/>
                <w:sz w:val="40"/>
                <w:szCs w:val="40"/>
                <w:b w:val="1"/>
                <w:bCs w:val="1"/>
                <w:color w:val="auto"/>
                <w:w w:val="99"/>
              </w:rPr>
              <w:t>CVB FINANCIAL CORP.</w:t>
            </w:r>
          </w:p>
        </w:tc>
      </w:tr>
      <w:tr>
        <w:trPr>
          <w:trHeight w:val="233"/>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3"/>
        </w:trPr>
        <w:tc>
          <w:tcPr>
            <w:tcW w:w="3360" w:type="dxa"/>
            <w:vAlign w:val="bottom"/>
          </w:tcPr>
          <w:p>
            <w:pPr>
              <w:jc w:val="center"/>
              <w:ind w:left="619"/>
              <w:spacing w:after="0"/>
              <w:rPr>
                <w:sz w:val="20"/>
                <w:szCs w:val="20"/>
                <w:color w:val="auto"/>
              </w:rPr>
            </w:pPr>
            <w:r>
              <w:rPr>
                <w:rFonts w:ascii="Arial" w:cs="Arial" w:eastAsia="Arial" w:hAnsi="Arial"/>
                <w:sz w:val="16"/>
                <w:szCs w:val="16"/>
                <w:b w:val="1"/>
                <w:bCs w:val="1"/>
                <w:color w:val="auto"/>
                <w:w w:val="94"/>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Arial" w:cs="Arial" w:eastAsia="Arial" w:hAnsi="Arial"/>
                <w:sz w:val="16"/>
                <w:szCs w:val="16"/>
                <w:b w:val="1"/>
                <w:bCs w:val="1"/>
                <w:color w:val="auto"/>
              </w:rPr>
              <w:t>95-3629339</w:t>
            </w:r>
          </w:p>
        </w:tc>
      </w:tr>
      <w:tr>
        <w:trPr>
          <w:trHeight w:val="226"/>
        </w:trPr>
        <w:tc>
          <w:tcPr>
            <w:tcW w:w="3360" w:type="dxa"/>
            <w:vAlign w:val="bottom"/>
          </w:tcPr>
          <w:p>
            <w:pPr>
              <w:jc w:val="center"/>
              <w:ind w:left="59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ind w:left="19"/>
              <w:spacing w:after="0"/>
              <w:rPr>
                <w:sz w:val="20"/>
                <w:szCs w:val="20"/>
                <w:color w:val="auto"/>
              </w:rPr>
            </w:pPr>
            <w:r>
              <w:rPr>
                <w:rFonts w:ascii="Arial" w:cs="Arial" w:eastAsia="Arial" w:hAnsi="Arial"/>
                <w:sz w:val="16"/>
                <w:szCs w:val="16"/>
                <w:color w:val="auto"/>
                <w:w w:val="93"/>
              </w:rPr>
              <w:t>(I.R.S. Employer</w:t>
            </w:r>
          </w:p>
        </w:tc>
      </w:tr>
      <w:tr>
        <w:trPr>
          <w:trHeight w:val="206"/>
        </w:trPr>
        <w:tc>
          <w:tcPr>
            <w:tcW w:w="3360" w:type="dxa"/>
            <w:vAlign w:val="bottom"/>
          </w:tcPr>
          <w:p>
            <w:pPr>
              <w:jc w:val="center"/>
              <w:ind w:left="599"/>
              <w:spacing w:after="0"/>
              <w:rPr>
                <w:sz w:val="20"/>
                <w:szCs w:val="20"/>
                <w:color w:val="auto"/>
              </w:rPr>
            </w:pPr>
            <w:r>
              <w:rPr>
                <w:rFonts w:ascii="Arial" w:cs="Arial" w:eastAsia="Arial" w:hAnsi="Arial"/>
                <w:sz w:val="16"/>
                <w:szCs w:val="16"/>
                <w:color w:val="auto"/>
                <w:w w:val="93"/>
              </w:rPr>
              <w:t>Incorporation or organization)</w:t>
            </w:r>
          </w:p>
        </w:tc>
        <w:tc>
          <w:tcPr>
            <w:tcW w:w="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center"/>
              <w:ind w:left="19"/>
              <w:spacing w:after="0"/>
              <w:rPr>
                <w:sz w:val="20"/>
                <w:szCs w:val="20"/>
                <w:color w:val="auto"/>
              </w:rPr>
            </w:pPr>
            <w:r>
              <w:rPr>
                <w:rFonts w:ascii="Arial" w:cs="Arial" w:eastAsia="Arial" w:hAnsi="Arial"/>
                <w:sz w:val="16"/>
                <w:szCs w:val="16"/>
                <w:color w:val="auto"/>
                <w:w w:val="97"/>
              </w:rPr>
              <w:t>Identification No.)</w:t>
            </w:r>
          </w:p>
        </w:tc>
      </w:tr>
      <w:tr>
        <w:trPr>
          <w:trHeight w:val="459"/>
        </w:trPr>
        <w:tc>
          <w:tcPr>
            <w:tcW w:w="3360" w:type="dxa"/>
            <w:vAlign w:val="bottom"/>
          </w:tcPr>
          <w:p>
            <w:pPr>
              <w:jc w:val="center"/>
              <w:ind w:left="599"/>
              <w:spacing w:after="0"/>
              <w:rPr>
                <w:sz w:val="20"/>
                <w:szCs w:val="20"/>
                <w:color w:val="auto"/>
              </w:rPr>
            </w:pPr>
            <w:r>
              <w:rPr>
                <w:rFonts w:ascii="Arial" w:cs="Arial" w:eastAsia="Arial" w:hAnsi="Arial"/>
                <w:sz w:val="16"/>
                <w:szCs w:val="16"/>
                <w:b w:val="1"/>
                <w:bCs w:val="1"/>
                <w:color w:val="auto"/>
                <w:w w:val="91"/>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0"/>
        </w:trPr>
        <w:tc>
          <w:tcPr>
            <w:tcW w:w="3360" w:type="dxa"/>
            <w:vAlign w:val="bottom"/>
          </w:tcPr>
          <w:p>
            <w:pPr>
              <w:jc w:val="center"/>
              <w:ind w:left="619"/>
              <w:spacing w:after="0"/>
              <w:rPr>
                <w:sz w:val="20"/>
                <w:szCs w:val="20"/>
                <w:color w:val="auto"/>
              </w:rPr>
            </w:pPr>
            <w:r>
              <w:rPr>
                <w:rFonts w:ascii="Arial" w:cs="Arial" w:eastAsia="Arial" w:hAnsi="Arial"/>
                <w:sz w:val="16"/>
                <w:szCs w:val="16"/>
                <w:b w:val="1"/>
                <w:bCs w:val="1"/>
                <w:color w:val="auto"/>
                <w:w w:val="95"/>
              </w:rPr>
              <w:t>Ontario, California</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right"/>
              <w:ind w:right="1719"/>
              <w:spacing w:after="0"/>
              <w:rPr>
                <w:sz w:val="20"/>
                <w:szCs w:val="20"/>
                <w:color w:val="auto"/>
              </w:rPr>
            </w:pPr>
            <w:r>
              <w:rPr>
                <w:rFonts w:ascii="Arial" w:cs="Arial" w:eastAsia="Arial" w:hAnsi="Arial"/>
                <w:sz w:val="16"/>
                <w:szCs w:val="16"/>
                <w:b w:val="1"/>
                <w:bCs w:val="1"/>
                <w:color w:val="auto"/>
              </w:rPr>
              <w:t>91764</w:t>
            </w:r>
          </w:p>
        </w:tc>
      </w:tr>
      <w:tr>
        <w:trPr>
          <w:trHeight w:val="230"/>
        </w:trPr>
        <w:tc>
          <w:tcPr>
            <w:tcW w:w="3360" w:type="dxa"/>
            <w:vAlign w:val="bottom"/>
          </w:tcPr>
          <w:p>
            <w:pPr>
              <w:jc w:val="center"/>
              <w:ind w:left="619"/>
              <w:spacing w:after="0"/>
              <w:rPr>
                <w:sz w:val="20"/>
                <w:szCs w:val="20"/>
                <w:color w:val="auto"/>
              </w:rPr>
            </w:pPr>
            <w:r>
              <w:rPr>
                <w:rFonts w:ascii="Arial" w:cs="Arial" w:eastAsia="Arial" w:hAnsi="Arial"/>
                <w:sz w:val="16"/>
                <w:szCs w:val="16"/>
                <w:color w:val="auto"/>
                <w:w w:val="94"/>
              </w:rPr>
              <w:t>(Address of principal executive offices)</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ind w:left="19"/>
              <w:spacing w:after="0"/>
              <w:rPr>
                <w:sz w:val="20"/>
                <w:szCs w:val="20"/>
                <w:color w:val="auto"/>
              </w:rPr>
            </w:pPr>
            <w:r>
              <w:rPr>
                <w:rFonts w:ascii="Arial" w:cs="Arial" w:eastAsia="Arial" w:hAnsi="Arial"/>
                <w:sz w:val="16"/>
                <w:szCs w:val="16"/>
                <w:color w:val="auto"/>
                <w:w w:val="92"/>
              </w:rPr>
              <w:t>(Zip Code)</w:t>
            </w:r>
          </w:p>
        </w:tc>
      </w:tr>
      <w:tr>
        <w:trPr>
          <w:trHeight w:val="459"/>
        </w:trPr>
        <w:tc>
          <w:tcPr>
            <w:tcW w:w="3360" w:type="dxa"/>
            <w:vAlign w:val="bottom"/>
          </w:tcPr>
          <w:p>
            <w:pPr>
              <w:spacing w:after="0"/>
              <w:rPr>
                <w:sz w:val="24"/>
                <w:szCs w:val="24"/>
                <w:color w:val="auto"/>
              </w:rPr>
            </w:pPr>
          </w:p>
        </w:tc>
        <w:tc>
          <w:tcPr>
            <w:tcW w:w="3080" w:type="dxa"/>
            <w:vAlign w:val="bottom"/>
            <w:gridSpan w:val="2"/>
          </w:tcPr>
          <w:p>
            <w:pPr>
              <w:jc w:val="center"/>
              <w:ind w:left="1340"/>
              <w:spacing w:after="0"/>
              <w:rPr>
                <w:sz w:val="20"/>
                <w:szCs w:val="20"/>
                <w:color w:val="auto"/>
              </w:rPr>
            </w:pPr>
            <w:r>
              <w:rPr>
                <w:rFonts w:ascii="Arial" w:cs="Arial" w:eastAsia="Arial" w:hAnsi="Arial"/>
                <w:sz w:val="16"/>
                <w:szCs w:val="16"/>
                <w:b w:val="1"/>
                <w:bCs w:val="1"/>
                <w:color w:val="auto"/>
                <w:w w:val="93"/>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26"/>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60" w:type="dxa"/>
            <w:vAlign w:val="bottom"/>
            <w:gridSpan w:val="2"/>
          </w:tcPr>
          <w:p>
            <w:pPr>
              <w:jc w:val="center"/>
              <w:ind w:left="298"/>
              <w:spacing w:after="0"/>
              <w:rPr>
                <w:sz w:val="20"/>
                <w:szCs w:val="20"/>
                <w:color w:val="auto"/>
              </w:rPr>
            </w:pPr>
            <w:r>
              <w:rPr>
                <w:rFonts w:ascii="Arial" w:cs="Arial" w:eastAsia="Arial" w:hAnsi="Arial"/>
                <w:sz w:val="16"/>
                <w:szCs w:val="16"/>
                <w:color w:val="auto"/>
                <w:w w:val="90"/>
              </w:rPr>
              <w:t>(Registrant's telephone number,</w:t>
            </w:r>
          </w:p>
        </w:tc>
        <w:tc>
          <w:tcPr>
            <w:tcW w:w="4120" w:type="dxa"/>
            <w:vAlign w:val="bottom"/>
          </w:tcPr>
          <w:p>
            <w:pPr>
              <w:spacing w:after="0"/>
              <w:rPr>
                <w:sz w:val="19"/>
                <w:szCs w:val="19"/>
                <w:color w:val="auto"/>
              </w:rPr>
            </w:pPr>
          </w:p>
        </w:tc>
      </w:tr>
      <w:tr>
        <w:trPr>
          <w:trHeight w:val="206"/>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2"/>
          </w:tcPr>
          <w:p>
            <w:pPr>
              <w:jc w:val="center"/>
              <w:ind w:left="298"/>
              <w:spacing w:after="0"/>
              <w:rPr>
                <w:sz w:val="20"/>
                <w:szCs w:val="20"/>
                <w:color w:val="auto"/>
              </w:rPr>
            </w:pPr>
            <w:r>
              <w:rPr>
                <w:rFonts w:ascii="Arial" w:cs="Arial" w:eastAsia="Arial" w:hAnsi="Arial"/>
                <w:sz w:val="16"/>
                <w:szCs w:val="16"/>
                <w:color w:val="auto"/>
                <w:w w:val="92"/>
              </w:rPr>
              <w:t>including area code)</w:t>
            </w:r>
          </w:p>
        </w:tc>
        <w:tc>
          <w:tcPr>
            <w:tcW w:w="4120" w:type="dxa"/>
            <w:vAlign w:val="bottom"/>
          </w:tcPr>
          <w:p>
            <w:pPr>
              <w:spacing w:after="0"/>
              <w:rPr>
                <w:sz w:val="17"/>
                <w:szCs w:val="17"/>
                <w:color w:val="auto"/>
              </w:rPr>
            </w:pPr>
          </w:p>
        </w:tc>
      </w:tr>
      <w:tr>
        <w:trPr>
          <w:trHeight w:val="440"/>
        </w:trPr>
        <w:tc>
          <w:tcPr>
            <w:tcW w:w="7120" w:type="dxa"/>
            <w:vAlign w:val="bottom"/>
            <w:tcBorders>
              <w:bottom w:val="single" w:sz="8" w:color="auto"/>
            </w:tcBorders>
            <w:gridSpan w:val="4"/>
          </w:tcPr>
          <w:p>
            <w:pPr>
              <w:jc w:val="center"/>
              <w:ind w:right="3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210"/>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Arial" w:cs="Arial" w:eastAsia="Arial" w:hAnsi="Arial"/>
                <w:sz w:val="16"/>
                <w:szCs w:val="16"/>
                <w:color w:val="auto"/>
                <w:w w:val="90"/>
              </w:rPr>
              <w:t>Title of each class</w:t>
            </w:r>
          </w:p>
        </w:tc>
        <w:tc>
          <w:tcPr>
            <w:tcW w:w="4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68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Arial" w:cs="Arial" w:eastAsia="Arial" w:hAnsi="Arial"/>
                <w:sz w:val="16"/>
                <w:szCs w:val="16"/>
                <w:color w:val="auto"/>
                <w:w w:val="90"/>
              </w:rPr>
              <w:t>Name of each exchange on which registered</w:t>
            </w:r>
          </w:p>
        </w:tc>
      </w:tr>
      <w:tr>
        <w:trPr>
          <w:trHeight w:val="201"/>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Common Stock, No Par Value</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CVBF</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599"/>
              <w:spacing w:after="0"/>
              <w:rPr>
                <w:sz w:val="20"/>
                <w:szCs w:val="20"/>
                <w:color w:val="auto"/>
              </w:rPr>
            </w:pPr>
            <w:r>
              <w:rPr>
                <w:rFonts w:ascii="Arial" w:cs="Arial" w:eastAsia="Arial" w:hAnsi="Arial"/>
                <w:sz w:val="16"/>
                <w:szCs w:val="16"/>
                <w:color w:val="auto"/>
                <w:w w:val="93"/>
              </w:rPr>
              <w:t>The Nasdaq Stock Market, LLC</w:t>
            </w:r>
          </w:p>
        </w:tc>
      </w:tr>
    </w:tbl>
    <w:p>
      <w:pPr>
        <w:spacing w:after="0" w:line="193" w:lineRule="exact"/>
        <w:rPr>
          <w:sz w:val="24"/>
          <w:szCs w:val="24"/>
          <w:color w:val="auto"/>
        </w:rPr>
      </w:pPr>
    </w:p>
    <w:p>
      <w:pPr>
        <w:spacing w:after="0" w:line="30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Arial" w:cs="Arial" w:eastAsia="Arial" w:hAnsi="Arial"/>
          <w:sz w:val="17"/>
          <w:szCs w:val="17"/>
          <w:color w:val="auto"/>
        </w:rPr>
        <w:t>No</w:t>
      </w:r>
    </w:p>
    <w:p>
      <w:pPr>
        <w:spacing w:after="0" w:line="141" w:lineRule="exact"/>
        <w:rPr>
          <w:sz w:val="24"/>
          <w:szCs w:val="24"/>
          <w:color w:val="auto"/>
        </w:rPr>
      </w:pPr>
    </w:p>
    <w:p>
      <w:pPr>
        <w:jc w:val="both"/>
        <w:spacing w:after="0" w:line="351"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6"/>
          <w:szCs w:val="16"/>
          <w:color w:val="auto"/>
        </w:rPr>
        <w:t>Yes No</w:t>
      </w:r>
    </w:p>
    <w:p>
      <w:pPr>
        <w:spacing w:after="0" w:line="113"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ectPr>
          <w:pgSz w:w="11900" w:h="16838" w:orient="portrait"/>
          <w:cols w:equalWidth="0" w:num="1">
            <w:col w:w="11240"/>
          </w:cols>
          <w:pgMar w:left="320" w:top="863" w:right="339" w:bottom="1440" w:gutter="0" w:footer="0" w:header="0"/>
        </w:sectPr>
      </w:pPr>
    </w:p>
    <w:p>
      <w:pPr>
        <w:spacing w:after="0" w:line="184" w:lineRule="exact"/>
        <w:rPr>
          <w:sz w:val="24"/>
          <w:szCs w:val="24"/>
          <w:color w:val="auto"/>
        </w:rPr>
      </w:pPr>
    </w:p>
    <w:p>
      <w:pPr>
        <w:ind w:left="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57" w:lineRule="exact"/>
        <w:rPr>
          <w:sz w:val="24"/>
          <w:szCs w:val="24"/>
          <w:color w:val="auto"/>
        </w:rPr>
      </w:pPr>
    </w:p>
    <w:p>
      <w:pPr>
        <w:sectPr>
          <w:pgSz w:w="11900" w:h="16838" w:orient="portrait"/>
          <w:cols w:equalWidth="0" w:num="2">
            <w:col w:w="7260" w:space="720"/>
            <w:col w:w="3260"/>
          </w:cols>
          <w:pgMar w:left="320" w:top="863"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69" w:lineRule="exact"/>
        <w:rPr>
          <w:sz w:val="24"/>
          <w:szCs w:val="24"/>
          <w:color w:val="auto"/>
        </w:rPr>
      </w:pPr>
    </w:p>
    <w:p>
      <w:pPr>
        <w:sectPr>
          <w:pgSz w:w="11900" w:h="16838" w:orient="portrait"/>
          <w:cols w:equalWidth="0" w:num="2">
            <w:col w:w="7260" w:space="720"/>
            <w:col w:w="3260"/>
          </w:cols>
          <w:pgMar w:left="320" w:top="863"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240"/>
          </w:cols>
          <w:pgMar w:left="320" w:top="863" w:right="339" w:bottom="1440" w:gutter="0" w:footer="0" w:header="0"/>
          <w:type w:val="continuous"/>
        </w:sectPr>
      </w:pPr>
    </w:p>
    <w:p>
      <w:pPr>
        <w:spacing w:after="0" w:line="258"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spacing w:after="0"/>
        <w:tabs>
          <w:tab w:leader="none" w:pos="400" w:val="left"/>
        </w:tabs>
        <w:rPr>
          <w:sz w:val="20"/>
          <w:szCs w:val="20"/>
          <w:color w:val="auto"/>
        </w:rPr>
      </w:pPr>
      <w:r>
        <w:rPr>
          <w:rFonts w:ascii="Arial" w:cs="Arial" w:eastAsia="Arial" w:hAnsi="Arial"/>
          <w:sz w:val="16"/>
          <w:szCs w:val="16"/>
          <w:color w:val="auto"/>
        </w:rPr>
        <w:t>Yes</w:t>
        <w:tab/>
        <w:t>No</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of the registrant: 135,895,589 outstanding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 –</w:t>
            </w:r>
          </w:p>
        </w:tc>
        <w:tc>
          <w:tcPr>
            <w:tcW w:w="348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INFORMATION (UNAUDITED)</w:t>
              </w:r>
            </w:hyperlink>
          </w:p>
        </w:tc>
        <w:tc>
          <w:tcPr>
            <w:tcW w:w="20" w:type="dxa"/>
            <w:vAlign w:val="bottom"/>
            <w:tcBorders>
              <w:bottom w:val="single" w:sz="8" w:color="0000EE"/>
            </w:tcBorders>
          </w:tcPr>
          <w:p>
            <w:pPr>
              <w:spacing w:after="0"/>
              <w:rPr>
                <w:sz w:val="24"/>
                <w:szCs w:val="24"/>
                <w:color w:val="auto"/>
              </w:rPr>
            </w:pPr>
          </w:p>
        </w:tc>
        <w:tc>
          <w:tcPr>
            <w:tcW w:w="568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470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6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THE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892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MANAGEMENT’S DISCUSSION AND ANALYSIS OF FINANCIAL CONDITION AND RESULTS OF OPERATIONS</w:t>
              </w:r>
            </w:hyperlink>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35">
              <w:r>
                <w:rPr>
                  <w:rFonts w:ascii="Arial" w:cs="Arial" w:eastAsia="Arial" w:hAnsi="Arial"/>
                  <w:sz w:val="18"/>
                  <w:szCs w:val="18"/>
                  <w:color w:val="0000FF"/>
                  <w:w w:val="97"/>
                </w:rPr>
                <w:t>CRITICAL ACCOUNTING POLICIES</w:t>
              </w:r>
            </w:hyperlink>
          </w:p>
        </w:tc>
        <w:tc>
          <w:tcPr>
            <w:tcW w:w="6280" w:type="dxa"/>
            <w:vAlign w:val="bottom"/>
            <w:gridSpan w:val="1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OVERVIEW</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8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38">
              <w:r>
                <w:rPr>
                  <w:rFonts w:ascii="Arial" w:cs="Arial" w:eastAsia="Arial" w:hAnsi="Arial"/>
                  <w:sz w:val="18"/>
                  <w:szCs w:val="18"/>
                  <w:color w:val="0000FF"/>
                  <w:w w:val="93"/>
                </w:rPr>
                <w:t>ANALYSIS OF THE RESULTS OF OPERATIONS</w:t>
              </w:r>
            </w:hyperlink>
          </w:p>
        </w:tc>
        <w:tc>
          <w:tcPr>
            <w:tcW w:w="5400" w:type="dxa"/>
            <w:vAlign w:val="bottom"/>
            <w:gridSpan w:val="8"/>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ANALYSIS OF FINANCIAL CONDITION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ASSET/LIABILITY AND MARKET RISK MANAGEMENT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3.</w:t>
            </w: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6140" w:type="dxa"/>
            <w:vAlign w:val="bottom"/>
            <w:tcBorders>
              <w:bottom w:val="single" w:sz="8" w:color="0000FF"/>
            </w:tcBorders>
            <w:gridSpan w:val="18"/>
          </w:tcPr>
          <w:p>
            <w:pPr>
              <w:spacing w:after="0"/>
              <w:rPr>
                <w:rFonts w:ascii="Arial" w:cs="Arial" w:eastAsia="Arial" w:hAnsi="Arial"/>
                <w:sz w:val="18"/>
                <w:szCs w:val="18"/>
                <w:color w:val="0000FF"/>
                <w:w w:val="98"/>
              </w:rPr>
            </w:pPr>
            <w:hyperlink w:anchor="page62">
              <w:r>
                <w:rPr>
                  <w:rFonts w:ascii="Arial" w:cs="Arial" w:eastAsia="Arial" w:hAnsi="Arial"/>
                  <w:sz w:val="18"/>
                  <w:szCs w:val="18"/>
                  <w:color w:val="0000FF"/>
                  <w:w w:val="98"/>
                </w:rPr>
                <w:t>QUANTITATIVE AND QUALITATIVE DISCLOSURES ABOUT MARKET RISK</w:t>
              </w:r>
            </w:hyperlink>
          </w:p>
        </w:tc>
        <w:tc>
          <w:tcPr>
            <w:tcW w:w="304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4.</w:t>
            </w:r>
          </w:p>
        </w:tc>
        <w:tc>
          <w:tcPr>
            <w:tcW w:w="9180" w:type="dxa"/>
            <w:vAlign w:val="bottom"/>
            <w:gridSpan w:val="2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 –</w:t>
            </w: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6"/>
              </w:rPr>
            </w:pPr>
            <w:hyperlink w:anchor="page64">
              <w:r>
                <w:rPr>
                  <w:rFonts w:ascii="Arial" w:cs="Arial" w:eastAsia="Arial" w:hAnsi="Arial"/>
                  <w:sz w:val="18"/>
                  <w:szCs w:val="18"/>
                  <w:color w:val="0000FF"/>
                  <w:w w:val="96"/>
                </w:rPr>
                <w:t>OTHER INFORMATION</w:t>
              </w:r>
            </w:hyperlink>
          </w:p>
        </w:tc>
        <w:tc>
          <w:tcPr>
            <w:tcW w:w="700" w:type="dxa"/>
            <w:vAlign w:val="bottom"/>
            <w:tcBorders>
              <w:top w:val="single" w:sz="8" w:color="0000FF"/>
            </w:tcBorders>
            <w:gridSpan w:val="2"/>
          </w:tcPr>
          <w:p>
            <w:pPr>
              <w:spacing w:after="0"/>
              <w:rPr>
                <w:sz w:val="19"/>
                <w:szCs w:val="19"/>
                <w:color w:val="auto"/>
              </w:rPr>
            </w:pPr>
          </w:p>
        </w:tc>
        <w:tc>
          <w:tcPr>
            <w:tcW w:w="6580" w:type="dxa"/>
            <w:vAlign w:val="bottom"/>
            <w:gridSpan w:val="1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188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64">
              <w:r>
                <w:rPr>
                  <w:rFonts w:ascii="Arial" w:cs="Arial" w:eastAsia="Arial" w:hAnsi="Arial"/>
                  <w:sz w:val="18"/>
                  <w:szCs w:val="18"/>
                  <w:color w:val="0000FF"/>
                  <w:w w:val="94"/>
                </w:rPr>
                <w:t>LEGAL PROCEEDINGS</w:t>
              </w:r>
            </w:hyperlink>
          </w:p>
        </w:tc>
        <w:tc>
          <w:tcPr>
            <w:tcW w:w="7300" w:type="dxa"/>
            <w:vAlign w:val="bottom"/>
            <w:gridSpan w:val="1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1A.</w:t>
            </w:r>
          </w:p>
        </w:tc>
        <w:tc>
          <w:tcPr>
            <w:tcW w:w="9180" w:type="dxa"/>
            <w:vAlign w:val="bottom"/>
            <w:gridSpan w:val="20"/>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9180" w:type="dxa"/>
            <w:vAlign w:val="bottom"/>
            <w:gridSpan w:val="20"/>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3.</w:t>
            </w:r>
          </w:p>
        </w:tc>
        <w:tc>
          <w:tcPr>
            <w:tcW w:w="6060" w:type="dxa"/>
            <w:vAlign w:val="bottom"/>
            <w:tcBorders>
              <w:top w:val="single" w:sz="8" w:color="0000FF"/>
            </w:tcBorders>
            <w:gridSpan w:val="1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DEFAULTS UPON SENIOR SECURITIES</w:t>
              </w:r>
            </w:hyperlink>
          </w:p>
        </w:tc>
        <w:tc>
          <w:tcPr>
            <w:tcW w:w="3120" w:type="dxa"/>
            <w:vAlign w:val="bottom"/>
            <w:gridSpan w:val="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4.</w:t>
            </w:r>
          </w:p>
        </w:tc>
        <w:tc>
          <w:tcPr>
            <w:tcW w:w="3200" w:type="dxa"/>
            <w:vAlign w:val="bottom"/>
            <w:tcBorders>
              <w:top w:val="single" w:sz="8" w:color="0000FF"/>
            </w:tcBorders>
            <w:gridSpan w:val="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5980" w:type="dxa"/>
            <w:vAlign w:val="bottom"/>
            <w:gridSpan w:val="11"/>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5.</w:t>
            </w: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6"/>
              </w:rPr>
            </w:pPr>
            <w:hyperlink w:anchor="page66">
              <w:r>
                <w:rPr>
                  <w:rFonts w:ascii="Arial" w:cs="Arial" w:eastAsia="Arial" w:hAnsi="Arial"/>
                  <w:sz w:val="18"/>
                  <w:szCs w:val="18"/>
                  <w:color w:val="0000FF"/>
                  <w:w w:val="96"/>
                </w:rPr>
                <w:t>OTHER INFORMATION</w:t>
              </w:r>
            </w:hyperlink>
          </w:p>
        </w:tc>
        <w:tc>
          <w:tcPr>
            <w:tcW w:w="540" w:type="dxa"/>
            <w:vAlign w:val="bottom"/>
            <w:tcBorders>
              <w:top w:val="single" w:sz="8" w:color="0000FF"/>
            </w:tcBorders>
          </w:tcPr>
          <w:p>
            <w:pPr>
              <w:spacing w:after="0"/>
              <w:rPr>
                <w:sz w:val="19"/>
                <w:szCs w:val="19"/>
                <w:color w:val="auto"/>
              </w:rPr>
            </w:pPr>
          </w:p>
        </w:tc>
        <w:tc>
          <w:tcPr>
            <w:tcW w:w="6740" w:type="dxa"/>
            <w:vAlign w:val="bottom"/>
            <w:gridSpan w:val="1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6.</w:t>
            </w:r>
          </w:p>
        </w:tc>
        <w:tc>
          <w:tcPr>
            <w:tcW w:w="9180" w:type="dxa"/>
            <w:vAlign w:val="bottom"/>
            <w:gridSpan w:val="20"/>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1600" w:type="dxa"/>
            <w:vAlign w:val="bottom"/>
            <w:gridSpan w:val="3"/>
          </w:tcPr>
          <w:p>
            <w:pPr>
              <w:ind w:left="20"/>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SIGNATURES</w:t>
              </w:r>
            </w:hyperlink>
          </w:p>
        </w:tc>
        <w:tc>
          <w:tcPr>
            <w:tcW w:w="82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13"/>
          </w:tcPr>
          <w:p>
            <w:pPr>
              <w:ind w:left="39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52" w:lineRule="exact"/>
        <w:rPr>
          <w:sz w:val="20"/>
          <w:szCs w:val="20"/>
          <w:color w:val="auto"/>
        </w:rPr>
      </w:pPr>
    </w:p>
    <w:p>
      <w:pPr>
        <w:ind w:right="20" w:firstLine="469"/>
        <w:spacing w:after="0" w:line="270" w:lineRule="auto"/>
        <w:rPr>
          <w:sz w:val="20"/>
          <w:szCs w:val="20"/>
          <w:color w:val="auto"/>
        </w:rPr>
      </w:pPr>
      <w:r>
        <w:rPr>
          <w:rFonts w:ascii="Arial" w:cs="Arial" w:eastAsia="Arial" w:hAnsi="Arial"/>
          <w:sz w:val="18"/>
          <w:szCs w:val="18"/>
          <w:i w:val="1"/>
          <w:iCs w:val="1"/>
          <w:color w:val="auto"/>
        </w:rPr>
        <w:t>Certain matters set forth herein (including the exhibits hereto) constitute forward-looking statements within the meaning of the Private Securities Litigation Reform Act of 1995, including forward-looking statements relating to the Company’s current business plans and expectations and our future financial position and operating results.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These forward-looking statements are subject to risks and uncertainties that could cause actual results, performance and/or achievements to differ materially from those projected. These risks and uncertainties include, but are not limited to the following:</w:t>
      </w:r>
    </w:p>
    <w:p>
      <w:pPr>
        <w:spacing w:after="0" w:line="206" w:lineRule="exact"/>
        <w:rPr>
          <w:sz w:val="20"/>
          <w:szCs w:val="20"/>
          <w:color w:val="auto"/>
        </w:rPr>
      </w:pPr>
    </w:p>
    <w:p>
      <w:pPr>
        <w:ind w:left="1080" w:right="3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local, regional, national and international economic and market conditions and political events and public health developments and the impact they may have on us, our customers and our assets and liabilities;</w:t>
      </w:r>
    </w:p>
    <w:p>
      <w:pPr>
        <w:spacing w:after="0" w:line="1"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attract deposits and other sources of funding or liquidity;</w:t>
      </w:r>
    </w:p>
    <w:p>
      <w:pPr>
        <w:spacing w:after="0" w:line="22" w:lineRule="exact"/>
        <w:rPr>
          <w:rFonts w:ascii="Arial" w:cs="Arial" w:eastAsia="Arial" w:hAnsi="Arial"/>
          <w:sz w:val="18"/>
          <w:szCs w:val="18"/>
          <w:color w:val="auto"/>
        </w:rPr>
      </w:pPr>
    </w:p>
    <w:p>
      <w:pPr>
        <w:ind w:left="1080" w:right="14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supply and demand for commercial or residential real estate and periodic deterioration in real estate prices and/or values in California or other states where we lend;</w:t>
      </w: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 sharp or prolonged slowdown or decline in real estate construction, sales or leasing activities;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the financial performance and/or condition of our borrowers, depositors, key vendors or counterparties;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our levels of delinquent loans, nonperforming assets, allowance for credit losses and charge-offs;</w:t>
      </w:r>
    </w:p>
    <w:p>
      <w:pPr>
        <w:spacing w:after="0" w:line="22" w:lineRule="exact"/>
        <w:rPr>
          <w:rFonts w:ascii="Arial" w:cs="Arial" w:eastAsia="Arial" w:hAnsi="Arial"/>
          <w:sz w:val="18"/>
          <w:szCs w:val="18"/>
          <w:color w:val="auto"/>
        </w:rPr>
      </w:pPr>
    </w:p>
    <w:p>
      <w:pPr>
        <w:ind w:left="1080" w:right="400" w:hanging="323"/>
        <w:spacing w:after="0" w:line="281"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the costs or effects of mergers, acquisitions or dispositions we may make, whether we are able to obtain any required governmental approvals in connection with any such mergers, acquisitions or dispositions, and/or our ability to realize the contemplated financial or business benefits or cost savings associated with any such mergers, acquisitions or dispositions;</w:t>
      </w:r>
    </w:p>
    <w:p>
      <w:pPr>
        <w:spacing w:after="0" w:line="1" w:lineRule="exact"/>
        <w:rPr>
          <w:rFonts w:ascii="Arial" w:cs="Arial" w:eastAsia="Arial" w:hAnsi="Arial"/>
          <w:sz w:val="17"/>
          <w:szCs w:val="17"/>
          <w:color w:val="auto"/>
        </w:rPr>
      </w:pPr>
    </w:p>
    <w:p>
      <w:pPr>
        <w:ind w:left="1080" w:right="1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effects of new laws, regulations and/or government programs, including those laws, regulations and programs enacted by federal, state or local governments in the geographic jurisdictions in which we do business in response to the recent national emergency declared in connection with the COVID-19 pandemic;</w:t>
      </w:r>
    </w:p>
    <w:p>
      <w:pPr>
        <w:ind w:left="1080" w:right="340" w:hanging="323"/>
        <w:spacing w:after="0" w:line="299"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the impact of the federal CARES Act and the significant additional lending activities undertaken by the Company in connection with the Small Business Administration’s Paycheck Protection Program enacted thereunder, including risks to the Company with respect to the uncertain application by the Small Business Administration of new borrower and loan eligibility, forgiveness and audit criteria;</w:t>
      </w:r>
    </w:p>
    <w:p>
      <w:pPr>
        <w:ind w:left="108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effects of the Company’s participation in one or more of the new lending programs recently established by the Federal Reserve, including the Main Street New Loan Facility, the Main Street Priority Loan Facility and the Nonprofit Organization New Loan Facility, and the impact of any related actions or decisions by the Federal Reserve Bank of Boston and its special purpose vehicle established pursuant to such lending programs;</w:t>
      </w:r>
    </w:p>
    <w:p>
      <w:pPr>
        <w:ind w:left="1080" w:right="260" w:hanging="323"/>
        <w:spacing w:after="0" w:line="281"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the effect of changes in other pertinent laws, regulations and applicable judicial decisions (including laws, regulations and judicial decisions concerning financial reforms, taxes, bank capital levels, allowance for credit losses, consumer, commercial or secured lending, securities and securities trading and hedging, bank operations, compliance, fair lending, the Community Reinvestment Act, employment, executive compensation, insurance, cybersecurity, vendor management and information security technology) with which we and our subsidiaries must comply or believe we should comply or which may otherwise impact us;</w:t>
      </w:r>
    </w:p>
    <w:p>
      <w:pPr>
        <w:spacing w:after="0" w:line="3" w:lineRule="exact"/>
        <w:rPr>
          <w:rFonts w:ascii="Arial" w:cs="Arial" w:eastAsia="Arial" w:hAnsi="Arial"/>
          <w:sz w:val="17"/>
          <w:szCs w:val="17"/>
          <w:color w:val="auto"/>
        </w:rPr>
      </w:pPr>
    </w:p>
    <w:p>
      <w:pPr>
        <w:ind w:left="1080" w:right="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estimates of future reserve requirements and minimum capital requirements based upon the periodic review thereof under relevant regulatory and accounting standards, including changes in the Basel Committee framework establishing capital standards for bank credit, operations and market risks;</w:t>
      </w:r>
    </w:p>
    <w:p>
      <w:pPr>
        <w:ind w:left="1080" w:right="58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accuracy of the assumptions and estimates and the absence of technical error in implementation or calibration of models used to estimate the fair value of financial instruments or currently expected credit losses or delinquencies;</w:t>
      </w: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sensitivity of our assets and liabilities to changes in market interest rates, or our current allowance for credit losses;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inflation, changes in market interest rates, securities market and monetary fluctuations;</w:t>
      </w:r>
    </w:p>
    <w:p>
      <w:pPr>
        <w:spacing w:after="0" w:line="22" w:lineRule="exact"/>
        <w:rPr>
          <w:rFonts w:ascii="Arial" w:cs="Arial" w:eastAsia="Arial" w:hAnsi="Arial"/>
          <w:sz w:val="18"/>
          <w:szCs w:val="18"/>
          <w:color w:val="auto"/>
        </w:rPr>
      </w:pPr>
    </w:p>
    <w:p>
      <w:pPr>
        <w:ind w:left="1080" w:right="2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government-established interest rates, reference rates or monetary policies, including the possible imposition of negative interest rates on bank reserves;</w:t>
      </w:r>
    </w:p>
    <w:p>
      <w:pPr>
        <w:ind w:left="1080" w:right="80" w:hanging="323"/>
        <w:spacing w:after="0" w:line="26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impact of the anticipated phase-out of the London Interbank Offered Rate (LIBOR) on interest rate indexes specified in certain of our customer loan agreements and our interest rate swap arrangements, including any economic and compliance effects related to the expected change from LIBOR to an alternative reference rate;</w:t>
      </w:r>
    </w:p>
    <w:p>
      <w:pPr>
        <w:ind w:left="1080" w:hanging="323"/>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changes in the amount, cost and availability of deposit insurance;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3" w:name="page4"/>
    <w:bookmarkEnd w:id="3"/>
    <w:p>
      <w:pPr>
        <w:ind w:left="108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disruptions in the infrastructure that supports our business and the communities where we are located, which are concentrated in California, involving or related to public health, physical site access and/or communication facilities;</w:t>
      </w:r>
    </w:p>
    <w:p>
      <w:pPr>
        <w:spacing w:after="0" w:line="1" w:lineRule="exact"/>
        <w:rPr>
          <w:rFonts w:ascii="Arial" w:cs="Arial" w:eastAsia="Arial" w:hAnsi="Arial"/>
          <w:sz w:val="18"/>
          <w:szCs w:val="18"/>
          <w:color w:val="auto"/>
        </w:rPr>
      </w:pP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cyber incidents, attacks, infiltrations, exfiltrations, or theft or loss of Company or customer or employee data or money;</w:t>
      </w:r>
    </w:p>
    <w:p>
      <w:pPr>
        <w:spacing w:after="0" w:line="22" w:lineRule="exact"/>
        <w:rPr>
          <w:rFonts w:ascii="Arial" w:cs="Arial" w:eastAsia="Arial" w:hAnsi="Arial"/>
          <w:sz w:val="18"/>
          <w:szCs w:val="18"/>
          <w:color w:val="auto"/>
        </w:rPr>
      </w:pPr>
    </w:p>
    <w:p>
      <w:pPr>
        <w:ind w:left="1080" w:right="14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political developments, uncertainties or instability, catastrophic events, acts of war or terrorism, or natural disasters, such as earthquakes, drought, the effects of pandemic diseases, climate changes or extreme weather events, that may affect electrical, environmental, computer servers, and communications or other services, computer services or facilities we use, or that may affect our customers, employees or third parties with whom we conduct business;</w:t>
      </w:r>
    </w:p>
    <w:p>
      <w:pPr>
        <w:ind w:left="1080" w:right="3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timely development and implementation of new banking products and services and the perceived overall value of these products and services by our customers and potential customers;</w:t>
      </w:r>
    </w:p>
    <w:p>
      <w:pPr>
        <w:ind w:left="1080" w:right="44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Company’s relationships with and reliance upon outside vendors with respect to certain of the Company’s key internal and external systems, applications and controls;</w:t>
      </w: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changes in commercial or consumer spending, borrowing and savings patterns, preferences or behaviors;</w:t>
      </w:r>
    </w:p>
    <w:p>
      <w:pPr>
        <w:spacing w:after="0" w:line="22" w:lineRule="exact"/>
        <w:rPr>
          <w:rFonts w:ascii="Arial" w:cs="Arial" w:eastAsia="Arial" w:hAnsi="Arial"/>
          <w:sz w:val="18"/>
          <w:szCs w:val="18"/>
          <w:color w:val="auto"/>
        </w:rPr>
      </w:pPr>
    </w:p>
    <w:p>
      <w:pPr>
        <w:jc w:val="both"/>
        <w:ind w:left="1080" w:right="300" w:hanging="323"/>
        <w:spacing w:after="0" w:line="299"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technological changes and the expanding use of technology in banking and financial services (including the adoption of mobile banking, funds transfer applications, electronic marketplaces for loans, blockchain technology and other financial products, systems or services);</w:t>
      </w: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retain and increase market share, retain and grow customers and control expenses;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changes in the competitive environment among banks and other financial services and technology providers;</w:t>
      </w:r>
    </w:p>
    <w:p>
      <w:pPr>
        <w:spacing w:after="0" w:line="22" w:lineRule="exact"/>
        <w:rPr>
          <w:rFonts w:ascii="Arial" w:cs="Arial" w:eastAsia="Arial" w:hAnsi="Arial"/>
          <w:sz w:val="18"/>
          <w:szCs w:val="18"/>
          <w:color w:val="auto"/>
        </w:rPr>
      </w:pPr>
    </w:p>
    <w:p>
      <w:pPr>
        <w:ind w:left="1080" w:right="34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competition and innovation with respect to financial products and services by banks, financial institutions and non-traditional providers including retail businesses and technology companies;</w:t>
      </w:r>
    </w:p>
    <w:p>
      <w:pPr>
        <w:ind w:left="1080" w:right="2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volatility in the credit and equity markets and its effect on the general economy or local or regional business conditions or on the Company’s capital, deposits, assets, or customers;</w:t>
      </w:r>
    </w:p>
    <w:p>
      <w:pPr>
        <w:ind w:left="1080" w:right="4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fluctuations in the price of the Company’s common stock or other securities, and the resulting impact on the Company’s ability to raise capital or make acquisitions;</w:t>
      </w:r>
    </w:p>
    <w:p>
      <w:pPr>
        <w:ind w:left="1080" w:right="1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effect of changes in accounting policies and practices, as may be adopted from time-to-time by the principal regulatory agencies with jurisdiction over the Company, as well as by the Public Company Accounting Oversight Board, the Financial Accounting Standards Board and other accounting standard-setters;</w:t>
      </w:r>
    </w:p>
    <w:p>
      <w:pPr>
        <w:ind w:left="1080" w:right="22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changes in our organization, management, compensation and benefit plans, and our ability to recruit and retain or expand our workforce, management team, key executive positions and/or our board of directors;</w:t>
      </w:r>
    </w:p>
    <w:p>
      <w:pPr>
        <w:ind w:left="1080" w:right="66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identify suitable and qualified replacements for any of our executive officers who may leave their employment with us, including our Chief Executive Officer;</w:t>
      </w:r>
    </w:p>
    <w:p>
      <w:pPr>
        <w:ind w:left="1080" w:right="100" w:hanging="323"/>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costs and effects of legal, compliance and regulatory actions, changes and developments, including the initiation and resolution of legal proceedings (including any securities, lender liability, bank operations, check or wire fraud, financial product or service, data privacy, consumer or employee class action litigation);</w:t>
      </w:r>
    </w:p>
    <w:p>
      <w:pPr>
        <w:ind w:left="1080" w:hanging="32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regulatory or other governmental inquiries or investigations, and/or the results of regulatory examinations or reviews;</w:t>
      </w:r>
    </w:p>
    <w:p>
      <w:pPr>
        <w:spacing w:after="0" w:line="22" w:lineRule="exact"/>
        <w:rPr>
          <w:rFonts w:ascii="Arial" w:cs="Arial" w:eastAsia="Arial" w:hAnsi="Arial"/>
          <w:sz w:val="18"/>
          <w:szCs w:val="18"/>
          <w:color w:val="auto"/>
        </w:rPr>
      </w:pPr>
    </w:p>
    <w:p>
      <w:pPr>
        <w:ind w:left="1080" w:hanging="323"/>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ongoing relations with our various federal and state regulators, including the SEC, Federal Reserve Board, FDIC and California DFPI;</w:t>
      </w:r>
    </w:p>
    <w:p>
      <w:pPr>
        <w:spacing w:after="0" w:line="45" w:lineRule="exact"/>
        <w:rPr>
          <w:rFonts w:ascii="Arial" w:cs="Arial" w:eastAsia="Arial" w:hAnsi="Arial"/>
          <w:sz w:val="16"/>
          <w:szCs w:val="16"/>
          <w:color w:val="auto"/>
        </w:rPr>
      </w:pPr>
    </w:p>
    <w:p>
      <w:pPr>
        <w:ind w:left="1080" w:right="20" w:hanging="323"/>
        <w:spacing w:after="0" w:line="35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success at managing the risks involved in the foregoing items and all other factors set forth in the Company’s public reports, including its Annual Report on Form 10-K for the year ended December 31, 2020, and particularly the discussion of risk factors within that document.</w:t>
      </w:r>
    </w:p>
    <w:p>
      <w:pPr>
        <w:spacing w:after="0" w:line="139" w:lineRule="exact"/>
        <w:rPr>
          <w:sz w:val="20"/>
          <w:szCs w:val="20"/>
          <w:color w:val="auto"/>
        </w:rPr>
      </w:pPr>
    </w:p>
    <w:p>
      <w:pPr>
        <w:ind w:right="240" w:firstLine="469"/>
        <w:spacing w:after="0" w:line="292" w:lineRule="auto"/>
        <w:rPr>
          <w:sz w:val="20"/>
          <w:szCs w:val="20"/>
          <w:color w:val="auto"/>
        </w:rPr>
      </w:pPr>
      <w:r>
        <w:rPr>
          <w:rFonts w:ascii="Arial" w:cs="Arial" w:eastAsia="Arial" w:hAnsi="Arial"/>
          <w:sz w:val="17"/>
          <w:szCs w:val="17"/>
          <w:i w:val="1"/>
          <w:iCs w:val="1"/>
          <w:color w:val="212121"/>
        </w:rPr>
        <w:t xml:space="preserve">Among other risks, the ongoing </w:t>
      </w:r>
      <w:r>
        <w:rPr>
          <w:rFonts w:ascii="Arial" w:cs="Arial" w:eastAsia="Arial" w:hAnsi="Arial"/>
          <w:sz w:val="17"/>
          <w:szCs w:val="17"/>
          <w:i w:val="1"/>
          <w:iCs w:val="1"/>
          <w:color w:val="252525"/>
        </w:rPr>
        <w:t>COVID</w:t>
      </w:r>
      <w:r>
        <w:rPr>
          <w:rFonts w:ascii="Arial" w:cs="Arial" w:eastAsia="Arial" w:hAnsi="Arial"/>
          <w:sz w:val="17"/>
          <w:szCs w:val="17"/>
          <w:i w:val="1"/>
          <w:iCs w:val="1"/>
          <w:color w:val="212121"/>
        </w:rPr>
        <w:t>-</w:t>
      </w:r>
      <w:r>
        <w:rPr>
          <w:rFonts w:ascii="Arial" w:cs="Arial" w:eastAsia="Arial" w:hAnsi="Arial"/>
          <w:sz w:val="17"/>
          <w:szCs w:val="17"/>
          <w:i w:val="1"/>
          <w:iCs w:val="1"/>
          <w:color w:val="252525"/>
        </w:rPr>
        <w:t>19</w:t>
      </w:r>
      <w:r>
        <w:rPr>
          <w:rFonts w:ascii="Arial" w:cs="Arial" w:eastAsia="Arial" w:hAnsi="Arial"/>
          <w:sz w:val="17"/>
          <w:szCs w:val="17"/>
          <w:i w:val="1"/>
          <w:iCs w:val="1"/>
          <w:color w:val="212121"/>
        </w:rPr>
        <w:t xml:space="preserve"> pandemic may significantly affect the banking industry, the health and safety of the Company’s employees, and the Company’s business prospects. The ultimate impact of the COVID-19 pandemic on our business and financial results will depend on future developments, which are highly uncertain and cannot be predicted, including the scope and duration of the pandemic, the impact on the economy, our customers, our employees and our business partners, the safety, effectiveness, distribution and acceptance of vaccines developed to mitigate the pandemic, and actions taken by governmental authorities in response to the pandemic.</w:t>
      </w:r>
    </w:p>
    <w:p>
      <w:pPr>
        <w:spacing w:after="0" w:line="188" w:lineRule="exact"/>
        <w:rPr>
          <w:sz w:val="20"/>
          <w:szCs w:val="20"/>
          <w:color w:val="auto"/>
        </w:rPr>
      </w:pPr>
    </w:p>
    <w:p>
      <w:pPr>
        <w:ind w:right="120" w:firstLine="469"/>
        <w:spacing w:after="0" w:line="275" w:lineRule="auto"/>
        <w:rPr>
          <w:sz w:val="20"/>
          <w:szCs w:val="20"/>
          <w:color w:val="auto"/>
        </w:rPr>
      </w:pPr>
      <w:r>
        <w:rPr>
          <w:rFonts w:ascii="Arial" w:cs="Arial" w:eastAsia="Arial" w:hAnsi="Arial"/>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 except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63"/>
        </w:trPr>
        <w:tc>
          <w:tcPr>
            <w:tcW w:w="7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153,475</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122,305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Interest-earning balances due from Federal Reserve</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2,178,390</w:t>
            </w:r>
          </w:p>
        </w:tc>
        <w:tc>
          <w:tcPr>
            <w:tcW w:w="3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1,835,855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66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2,331,865</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Interest-earning balances due from depository institutions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26,258</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680" w:type="dxa"/>
            <w:vAlign w:val="bottom"/>
          </w:tcPr>
          <w:p>
            <w:pPr>
              <w:ind w:left="280"/>
              <w:spacing w:after="0"/>
              <w:rPr>
                <w:sz w:val="20"/>
                <w:szCs w:val="20"/>
                <w:color w:val="auto"/>
              </w:rPr>
            </w:pPr>
            <w:r>
              <w:rPr>
                <w:rFonts w:ascii="Arial" w:cs="Arial" w:eastAsia="Arial" w:hAnsi="Arial"/>
                <w:sz w:val="18"/>
                <w:szCs w:val="18"/>
                <w:color w:val="auto"/>
              </w:rPr>
              <w:t>Investment securities available-for-sale, at fair value (with amortized cost of</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400"/>
              <w:spacing w:after="0"/>
              <w:rPr>
                <w:sz w:val="20"/>
                <w:szCs w:val="20"/>
                <w:color w:val="auto"/>
              </w:rPr>
            </w:pPr>
            <w:r>
              <w:rPr>
                <w:rFonts w:ascii="Arial" w:cs="Arial" w:eastAsia="Arial" w:hAnsi="Arial"/>
                <w:sz w:val="18"/>
                <w:szCs w:val="18"/>
                <w:color w:val="auto"/>
              </w:rPr>
              <w:t>$2,908,746 at June 30, 2021, and $2,344,174 at December 31, 2020)</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2,932,021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2,398,923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Investment securities held-to-maturity (with fair value of $1,055,523 at</w:t>
            </w:r>
          </w:p>
        </w:tc>
        <w:tc>
          <w:tcPr>
            <w:tcW w:w="300" w:type="dxa"/>
            <w:vAlign w:val="bottom"/>
            <w:shd w:val="clear" w:color="auto" w:fill="CFF0FC"/>
          </w:tcPr>
          <w:p>
            <w:pPr>
              <w:spacing w:after="0"/>
              <w:rPr>
                <w:sz w:val="21"/>
                <w:szCs w:val="21"/>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1,036,924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578,626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June 30, 2021, and $604,223 at December 31, 2020)</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660"/>
              <w:spacing w:after="0"/>
              <w:rPr>
                <w:sz w:val="20"/>
                <w:szCs w:val="20"/>
                <w:color w:val="auto"/>
              </w:rPr>
            </w:pPr>
            <w:r>
              <w:rPr>
                <w:rFonts w:ascii="Arial" w:cs="Arial" w:eastAsia="Arial" w:hAnsi="Arial"/>
                <w:sz w:val="18"/>
                <w:szCs w:val="18"/>
                <w:color w:val="auto"/>
              </w:rPr>
              <w:t>Total investment securities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3,968,945</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2,977,549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Investment in stock of Federal Home Loan Bank (FHLB)</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17,688</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80"/>
              <w:spacing w:after="0"/>
              <w:rPr>
                <w:sz w:val="20"/>
                <w:szCs w:val="20"/>
                <w:color w:val="auto"/>
              </w:rPr>
            </w:pPr>
            <w:r>
              <w:rPr>
                <w:rFonts w:ascii="Arial" w:cs="Arial" w:eastAsia="Arial" w:hAnsi="Arial"/>
                <w:sz w:val="18"/>
                <w:szCs w:val="18"/>
                <w:color w:val="auto"/>
              </w:rPr>
              <w:t>Loans and lease finance receivables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8,071,310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Allowance for credit losses</w:t>
            </w:r>
          </w:p>
        </w:tc>
        <w:tc>
          <w:tcPr>
            <w:tcW w:w="30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(69,342 )</w:t>
            </w:r>
          </w:p>
        </w:tc>
        <w:tc>
          <w:tcPr>
            <w:tcW w:w="18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(93,692 )</w:t>
            </w:r>
          </w:p>
        </w:tc>
        <w:tc>
          <w:tcPr>
            <w:tcW w:w="0" w:type="dxa"/>
            <w:vAlign w:val="bottom"/>
          </w:tcPr>
          <w:p>
            <w:pPr>
              <w:spacing w:after="0"/>
              <w:rPr>
                <w:sz w:val="1"/>
                <w:szCs w:val="1"/>
                <w:color w:val="auto"/>
              </w:rPr>
            </w:pPr>
          </w:p>
        </w:tc>
      </w:tr>
      <w:tr>
        <w:trPr>
          <w:trHeight w:val="250"/>
        </w:trPr>
        <w:tc>
          <w:tcPr>
            <w:tcW w:w="7680" w:type="dxa"/>
            <w:vAlign w:val="bottom"/>
            <w:tcBorders>
              <w:top w:val="single" w:sz="8" w:color="CFF0FC"/>
            </w:tcBorders>
          </w:tcPr>
          <w:p>
            <w:pPr>
              <w:ind w:left="1020"/>
              <w:spacing w:after="0"/>
              <w:rPr>
                <w:sz w:val="20"/>
                <w:szCs w:val="20"/>
                <w:color w:val="auto"/>
              </w:rPr>
            </w:pPr>
            <w:r>
              <w:rPr>
                <w:rFonts w:ascii="Arial" w:cs="Arial" w:eastAsia="Arial" w:hAnsi="Arial"/>
                <w:sz w:val="18"/>
                <w:szCs w:val="18"/>
                <w:color w:val="auto"/>
              </w:rPr>
              <w:t>Net loans and lease finance receivables</w:t>
            </w: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8,001,968</w:t>
            </w:r>
          </w:p>
        </w:tc>
        <w:tc>
          <w:tcPr>
            <w:tcW w:w="32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Premises and equipment,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80"/>
              <w:spacing w:after="0"/>
              <w:rPr>
                <w:sz w:val="20"/>
                <w:szCs w:val="20"/>
                <w:color w:val="auto"/>
              </w:rPr>
            </w:pPr>
            <w:r>
              <w:rPr>
                <w:rFonts w:ascii="Arial" w:cs="Arial" w:eastAsia="Arial" w:hAnsi="Arial"/>
                <w:sz w:val="18"/>
                <w:szCs w:val="18"/>
                <w:color w:val="auto"/>
              </w:rPr>
              <w:t>Bank owned life insurance (BOLI)</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250,305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226,818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interest receivable</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35,124</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8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663,707</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663,707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80"/>
              <w:spacing w:after="0"/>
              <w:rPr>
                <w:sz w:val="20"/>
                <w:szCs w:val="20"/>
                <w:color w:val="auto"/>
              </w:rPr>
            </w:pPr>
            <w:r>
              <w:rPr>
                <w:rFonts w:ascii="Arial" w:cs="Arial" w:eastAsia="Arial" w:hAnsi="Arial"/>
                <w:sz w:val="18"/>
                <w:szCs w:val="18"/>
                <w:color w:val="auto"/>
              </w:rPr>
              <w:t>Other real estate owned (OREO)</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40,710</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123,504</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768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15,539,288</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14,419,314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40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Noninterest-bearing</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8,065,400</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7,455,387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80" w:type="dxa"/>
            <w:vAlign w:val="bottom"/>
          </w:tcPr>
          <w:p>
            <w:pPr>
              <w:ind w:left="660"/>
              <w:spacing w:after="0"/>
              <w:rPr>
                <w:sz w:val="20"/>
                <w:szCs w:val="20"/>
                <w:color w:val="auto"/>
              </w:rPr>
            </w:pPr>
            <w:r>
              <w:rPr>
                <w:rFonts w:ascii="Arial" w:cs="Arial" w:eastAsia="Arial" w:hAnsi="Arial"/>
                <w:sz w:val="18"/>
                <w:szCs w:val="18"/>
                <w:color w:val="auto"/>
              </w:rPr>
              <w:t>Interest-bearing</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4,603,657</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4,281,114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ind w:left="900"/>
              <w:spacing w:after="0"/>
              <w:rPr>
                <w:sz w:val="20"/>
                <w:szCs w:val="20"/>
                <w:color w:val="auto"/>
              </w:rPr>
            </w:pPr>
            <w:r>
              <w:rPr>
                <w:rFonts w:ascii="Arial" w:cs="Arial" w:eastAsia="Arial" w:hAnsi="Arial"/>
                <w:sz w:val="18"/>
                <w:szCs w:val="18"/>
                <w:b w:val="1"/>
                <w:bCs w:val="1"/>
                <w:color w:val="auto"/>
              </w:rPr>
              <w:t>Total deposits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12,669,057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11,736,501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400"/>
              <w:spacing w:after="0"/>
              <w:rPr>
                <w:sz w:val="20"/>
                <w:szCs w:val="20"/>
                <w:color w:val="auto"/>
              </w:rPr>
            </w:pPr>
            <w:r>
              <w:rPr>
                <w:rFonts w:ascii="Arial" w:cs="Arial" w:eastAsia="Arial" w:hAnsi="Arial"/>
                <w:sz w:val="18"/>
                <w:szCs w:val="18"/>
                <w:color w:val="auto"/>
              </w:rPr>
              <w:t>Customer repurchase agreements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578,207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439,406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Other borrowings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40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22,253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Junior subordinated debentures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400"/>
              <w:spacing w:after="0"/>
              <w:rPr>
                <w:sz w:val="20"/>
                <w:szCs w:val="20"/>
                <w:color w:val="auto"/>
              </w:rPr>
            </w:pPr>
            <w:r>
              <w:rPr>
                <w:rFonts w:ascii="Arial" w:cs="Arial" w:eastAsia="Arial" w:hAnsi="Arial"/>
                <w:sz w:val="18"/>
                <w:szCs w:val="18"/>
                <w:color w:val="auto"/>
              </w:rPr>
              <w:t>Payable for securities purchased</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110,430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104,267</w:t>
            </w:r>
          </w:p>
        </w:tc>
        <w:tc>
          <w:tcPr>
            <w:tcW w:w="3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122,919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9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13,484,214</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12,411,324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Common stock, authorized, 225,000,000 shares without par; issued and</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540"/>
              <w:spacing w:after="0"/>
              <w:rPr>
                <w:sz w:val="20"/>
                <w:szCs w:val="20"/>
                <w:color w:val="auto"/>
              </w:rPr>
            </w:pPr>
            <w:r>
              <w:rPr>
                <w:rFonts w:ascii="Arial" w:cs="Arial" w:eastAsia="Arial" w:hAnsi="Arial"/>
                <w:sz w:val="18"/>
                <w:szCs w:val="18"/>
                <w:color w:val="auto"/>
              </w:rPr>
              <w:t>outstanding 135,927,287 at June 30, 2021, and 135,600,501 at</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680" w:type="dxa"/>
            <w:vAlign w:val="bottom"/>
            <w:shd w:val="clear" w:color="auto" w:fill="CFF0FC"/>
          </w:tcPr>
          <w:p>
            <w:pPr>
              <w:ind w:left="540"/>
              <w:spacing w:after="0"/>
              <w:rPr>
                <w:sz w:val="20"/>
                <w:szCs w:val="20"/>
                <w:color w:val="auto"/>
              </w:rPr>
            </w:pPr>
            <w:r>
              <w:rPr>
                <w:rFonts w:ascii="Arial" w:cs="Arial" w:eastAsia="Arial" w:hAnsi="Arial"/>
                <w:sz w:val="18"/>
                <w:szCs w:val="18"/>
                <w:color w:val="auto"/>
              </w:rPr>
              <w:t>December 31, 2020</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1,214,882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1,211,780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826,941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760,861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Accumulated other comprehensive income, net of tax</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3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90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2,055,074</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2,007,990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680" w:type="dxa"/>
            <w:vAlign w:val="bottom"/>
            <w:tcBorders>
              <w:bottom w:val="single" w:sz="8" w:color="CFF0FC"/>
            </w:tcBorders>
            <w:shd w:val="clear" w:color="auto" w:fill="CFF0FC"/>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15,539,288</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14,419,314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-7240270</wp:posOffset>
            </wp:positionV>
            <wp:extent cx="1968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-7240270</wp:posOffset>
            </wp:positionV>
            <wp:extent cx="685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-6288405</wp:posOffset>
            </wp:positionV>
            <wp:extent cx="1968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-6288405</wp:posOffset>
            </wp:positionV>
            <wp:extent cx="685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-5619750</wp:posOffset>
            </wp:positionV>
            <wp:extent cx="1968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-3968115</wp:posOffset>
            </wp:positionV>
            <wp:extent cx="196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-3950970</wp:posOffset>
            </wp:positionV>
            <wp:extent cx="196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-1813560</wp:posOffset>
            </wp:positionV>
            <wp:extent cx="1968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-1813560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-365125</wp:posOffset>
            </wp:positionV>
            <wp:extent cx="1968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196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96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942"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 except per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8"/>
        </w:trPr>
        <w:tc>
          <w:tcPr>
            <w:tcW w:w="6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0"/>
              <w:spacing w:after="0"/>
              <w:rPr>
                <w:sz w:val="20"/>
                <w:szCs w:val="20"/>
                <w:color w:val="auto"/>
              </w:rPr>
            </w:pPr>
            <w:r>
              <w:rPr>
                <w:rFonts w:ascii="Arial" w:cs="Arial" w:eastAsia="Arial" w:hAnsi="Arial"/>
                <w:sz w:val="14"/>
                <w:szCs w:val="14"/>
                <w:b w:val="1"/>
                <w:bCs w:val="1"/>
                <w:color w:val="auto"/>
              </w:rPr>
              <w:t>Loans and leases, including fees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91,726</w:t>
            </w:r>
          </w:p>
        </w:tc>
        <w:tc>
          <w:tcPr>
            <w:tcW w:w="2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95,352</w:t>
            </w:r>
          </w:p>
        </w:tc>
        <w:tc>
          <w:tcPr>
            <w:tcW w:w="2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183,521</w:t>
            </w:r>
          </w:p>
        </w:tc>
        <w:tc>
          <w:tcPr>
            <w:tcW w:w="2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187,469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securities: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380"/>
              <w:spacing w:after="0"/>
              <w:rPr>
                <w:sz w:val="20"/>
                <w:szCs w:val="20"/>
                <w:color w:val="auto"/>
              </w:rPr>
            </w:pPr>
            <w:r>
              <w:rPr>
                <w:rFonts w:ascii="Arial" w:cs="Arial" w:eastAsia="Arial" w:hAnsi="Arial"/>
                <w:sz w:val="14"/>
                <w:szCs w:val="14"/>
                <w:color w:val="auto"/>
              </w:rPr>
              <w:t>Investment securities available-for-sale</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9,410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8,449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18,569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Investment securities held-to-maturity</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5,130</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3,660</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9,070</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14,540</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from FHLB stock</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0"/>
              <w:spacing w:after="0"/>
              <w:rPr>
                <w:sz w:val="20"/>
                <w:szCs w:val="20"/>
                <w:color w:val="auto"/>
              </w:rPr>
            </w:pPr>
            <w:r>
              <w:rPr>
                <w:rFonts w:ascii="Arial" w:cs="Arial" w:eastAsia="Arial" w:hAnsi="Arial"/>
                <w:sz w:val="14"/>
                <w:szCs w:val="14"/>
                <w:color w:val="auto"/>
              </w:rPr>
              <w:t>Interest-earning deposits with other institutions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interest income</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107,028</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107,958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212,552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215,067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Deposits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0"/>
              <w:spacing w:after="0"/>
              <w:rPr>
                <w:sz w:val="20"/>
                <w:szCs w:val="20"/>
                <w:color w:val="auto"/>
              </w:rPr>
            </w:pPr>
            <w:r>
              <w:rPr>
                <w:rFonts w:ascii="Arial" w:cs="Arial" w:eastAsia="Arial" w:hAnsi="Arial"/>
                <w:sz w:val="14"/>
                <w:szCs w:val="14"/>
                <w:color w:val="auto"/>
              </w:rPr>
              <w:t>Borrowings and customer repurchase agreements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Junior subordinated debentures</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560"/>
              <w:spacing w:after="0"/>
              <w:rPr>
                <w:sz w:val="20"/>
                <w:szCs w:val="20"/>
                <w:color w:val="auto"/>
              </w:rPr>
            </w:pPr>
            <w:r>
              <w:rPr>
                <w:rFonts w:ascii="Arial" w:cs="Arial" w:eastAsia="Arial" w:hAnsi="Arial"/>
                <w:sz w:val="14"/>
                <w:szCs w:val="14"/>
                <w:b w:val="1"/>
                <w:bCs w:val="1"/>
                <w:color w:val="auto"/>
              </w:rPr>
              <w:t>Total interest expense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3,696</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interest income before (recapture of) provision for credit losses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105,388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104,569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208,856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206,875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rPr>
                <w:sz w:val="20"/>
                <w:szCs w:val="20"/>
                <w:color w:val="auto"/>
              </w:rPr>
            </w:pPr>
            <w:r>
              <w:rPr>
                <w:rFonts w:ascii="Arial" w:cs="Arial" w:eastAsia="Arial" w:hAnsi="Arial"/>
                <w:sz w:val="14"/>
                <w:szCs w:val="14"/>
                <w:color w:val="auto"/>
              </w:rPr>
              <w:t>(Recapture of) provision for credit losses</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(2,000 )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(21,500 )</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Net interest income after (recapture of) provision for credit losses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107,388</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93,069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230,356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183,375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Service charges on deposit accounts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8,154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0"/>
              <w:spacing w:after="0"/>
              <w:rPr>
                <w:sz w:val="20"/>
                <w:szCs w:val="20"/>
                <w:color w:val="auto"/>
              </w:rPr>
            </w:pPr>
            <w:r>
              <w:rPr>
                <w:rFonts w:ascii="Arial" w:cs="Arial" w:eastAsia="Arial" w:hAnsi="Arial"/>
                <w:sz w:val="14"/>
                <w:szCs w:val="14"/>
                <w:color w:val="auto"/>
              </w:rPr>
              <w:t>Trust and investment services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5,778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Bankcard services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0"/>
              <w:spacing w:after="0"/>
              <w:rPr>
                <w:sz w:val="20"/>
                <w:szCs w:val="20"/>
                <w:color w:val="auto"/>
              </w:rPr>
            </w:pPr>
            <w:r>
              <w:rPr>
                <w:rFonts w:ascii="Arial" w:cs="Arial" w:eastAsia="Arial" w:hAnsi="Arial"/>
                <w:sz w:val="14"/>
                <w:szCs w:val="14"/>
                <w:color w:val="auto"/>
              </w:rPr>
              <w:t>BOLI income</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OREO, net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3,778</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noninterest income</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10,836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12,152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24,517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23,792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Salaries and employee benefits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28,836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58,542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0"/>
              <w:spacing w:after="0"/>
              <w:rPr>
                <w:sz w:val="20"/>
                <w:szCs w:val="20"/>
                <w:color w:val="auto"/>
              </w:rPr>
            </w:pPr>
            <w:r>
              <w:rPr>
                <w:rFonts w:ascii="Arial" w:cs="Arial" w:eastAsia="Arial" w:hAnsi="Arial"/>
                <w:sz w:val="14"/>
                <w:szCs w:val="14"/>
                <w:color w:val="auto"/>
              </w:rPr>
              <w:t>Occupancy and equipment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4,949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5,031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9,812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Professional services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0"/>
              <w:spacing w:after="0"/>
              <w:rPr>
                <w:sz w:val="20"/>
                <w:szCs w:val="20"/>
                <w:color w:val="auto"/>
              </w:rPr>
            </w:pPr>
            <w:r>
              <w:rPr>
                <w:rFonts w:ascii="Arial" w:cs="Arial" w:eastAsia="Arial" w:hAnsi="Arial"/>
                <w:sz w:val="14"/>
                <w:szCs w:val="14"/>
                <w:color w:val="auto"/>
              </w:rPr>
              <w:t>Computer software expense</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5,501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Marketing and promotion</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4,334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(Recapture of) provision for unfunded loan commitments</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(1,000 )</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(1,000 )</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noninterest expense</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46,545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46,398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93,708</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95,039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71,679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58,823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161,165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20,500</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17,192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46,093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32,517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0"/>
              <w:spacing w:after="0"/>
              <w:rPr>
                <w:sz w:val="20"/>
                <w:szCs w:val="20"/>
                <w:color w:val="auto"/>
              </w:rPr>
            </w:pPr>
            <w:r>
              <w:rPr>
                <w:rFonts w:ascii="Arial" w:cs="Arial" w:eastAsia="Arial" w:hAnsi="Arial"/>
                <w:sz w:val="14"/>
                <w:szCs w:val="14"/>
                <w:b w:val="1"/>
                <w:bCs w:val="1"/>
                <w:color w:val="auto"/>
              </w:rPr>
              <w:t>Net earnings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51,179</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41,631</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115,072</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0"/>
              <w:spacing w:after="0"/>
              <w:rPr>
                <w:sz w:val="20"/>
                <w:szCs w:val="20"/>
                <w:color w:val="auto"/>
              </w:rPr>
            </w:pPr>
            <w:r>
              <w:rPr>
                <w:rFonts w:ascii="Arial" w:cs="Arial" w:eastAsia="Arial" w:hAnsi="Arial"/>
                <w:sz w:val="14"/>
                <w:szCs w:val="14"/>
                <w:color w:val="auto"/>
              </w:rPr>
              <w:t>Unrealized gain (loss) on securities arising during the period, before tax</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8,937</w:t>
            </w:r>
          </w:p>
        </w:tc>
        <w:tc>
          <w:tcPr>
            <w:tcW w:w="2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(1,280 )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(31,373 )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Less: Income tax (expense) benefit related to items of other</w:t>
            </w:r>
          </w:p>
        </w:tc>
        <w:tc>
          <w:tcPr>
            <w:tcW w:w="220" w:type="dxa"/>
            <w:vAlign w:val="bottom"/>
            <w:shd w:val="clear" w:color="auto" w:fill="CFF0FC"/>
          </w:tcPr>
          <w:p>
            <w:pPr>
              <w:spacing w:after="0"/>
              <w:rPr>
                <w:sz w:val="16"/>
                <w:szCs w:val="16"/>
                <w:color w:val="auto"/>
              </w:rPr>
            </w:pPr>
          </w:p>
        </w:tc>
        <w:tc>
          <w:tcPr>
            <w:tcW w:w="10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(2,642 )</w:t>
            </w:r>
          </w:p>
        </w:tc>
        <w:tc>
          <w:tcPr>
            <w:tcW w:w="22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378</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9,275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(10,448 )</w:t>
            </w:r>
          </w:p>
        </w:tc>
        <w:tc>
          <w:tcPr>
            <w:tcW w:w="0" w:type="dxa"/>
            <w:vAlign w:val="bottom"/>
          </w:tcPr>
          <w:p>
            <w:pPr>
              <w:spacing w:after="0"/>
              <w:rPr>
                <w:sz w:val="1"/>
                <w:szCs w:val="1"/>
                <w:color w:val="auto"/>
              </w:rPr>
            </w:pPr>
          </w:p>
        </w:tc>
      </w:tr>
      <w:tr>
        <w:trPr>
          <w:trHeight w:val="181"/>
        </w:trPr>
        <w:tc>
          <w:tcPr>
            <w:tcW w:w="654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comprehensive income</w:t>
            </w:r>
          </w:p>
        </w:tc>
        <w:tc>
          <w:tcPr>
            <w:tcW w:w="220" w:type="dxa"/>
            <w:vAlign w:val="bottom"/>
            <w:shd w:val="clear" w:color="auto" w:fill="CFF0FC"/>
          </w:tcPr>
          <w:p>
            <w:pPr>
              <w:spacing w:after="0"/>
              <w:rPr>
                <w:sz w:val="15"/>
                <w:szCs w:val="15"/>
                <w:color w:val="auto"/>
              </w:rPr>
            </w:pPr>
          </w:p>
        </w:tc>
        <w:tc>
          <w:tcPr>
            <w:tcW w:w="102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40" w:type="dxa"/>
            <w:vAlign w:val="bottom"/>
          </w:tcPr>
          <w:p>
            <w:pPr>
              <w:ind w:left="200"/>
              <w:spacing w:after="0"/>
              <w:rPr>
                <w:sz w:val="20"/>
                <w:szCs w:val="20"/>
                <w:color w:val="auto"/>
              </w:rPr>
            </w:pPr>
            <w:r>
              <w:rPr>
                <w:rFonts w:ascii="Arial" w:cs="Arial" w:eastAsia="Arial" w:hAnsi="Arial"/>
                <w:sz w:val="14"/>
                <w:szCs w:val="14"/>
                <w:color w:val="auto"/>
              </w:rPr>
              <w:t>Other comprehensive income (loss), net of tax</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6,295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(902 )</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(22,098 )</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24,890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Comprehensive income</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57,474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40,729</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92,974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104,501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540" w:type="dxa"/>
            <w:vAlign w:val="bottom"/>
          </w:tcPr>
          <w:p>
            <w:pPr>
              <w:ind w:left="20"/>
              <w:spacing w:after="0"/>
              <w:rPr>
                <w:sz w:val="20"/>
                <w:szCs w:val="20"/>
                <w:color w:val="auto"/>
              </w:rPr>
            </w:pPr>
            <w:r>
              <w:rPr>
                <w:rFonts w:ascii="Arial" w:cs="Arial" w:eastAsia="Arial" w:hAnsi="Arial"/>
                <w:sz w:val="14"/>
                <w:szCs w:val="14"/>
                <w:color w:val="auto"/>
              </w:rPr>
              <w:t>Basic earnings per common share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0.38</w:t>
            </w:r>
          </w:p>
        </w:tc>
        <w:tc>
          <w:tcPr>
            <w:tcW w:w="26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0.31</w:t>
            </w:r>
          </w:p>
        </w:tc>
        <w:tc>
          <w:tcPr>
            <w:tcW w:w="28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0.85</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Diluted earnings per common share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-5680075</wp:posOffset>
            </wp:positionV>
            <wp:extent cx="17145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-5680075</wp:posOffset>
            </wp:positionV>
            <wp:extent cx="1714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-5680075</wp:posOffset>
            </wp:positionV>
            <wp:extent cx="1543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-5680075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-5139690</wp:posOffset>
            </wp:positionV>
            <wp:extent cx="1714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-5139690</wp:posOffset>
            </wp:positionV>
            <wp:extent cx="1714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-5139690</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-5139690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-4617085</wp:posOffset>
            </wp:positionV>
            <wp:extent cx="1714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-4617085</wp:posOffset>
            </wp:positionV>
            <wp:extent cx="1714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-4617085</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-4617085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-4076700</wp:posOffset>
            </wp:positionV>
            <wp:extent cx="17145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-4076700</wp:posOffset>
            </wp:positionV>
            <wp:extent cx="17145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-4076700</wp:posOffset>
            </wp:positionV>
            <wp:extent cx="154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-4076700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-3030855</wp:posOffset>
            </wp:positionV>
            <wp:extent cx="17145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-3030855</wp:posOffset>
            </wp:positionV>
            <wp:extent cx="1714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-3030855</wp:posOffset>
            </wp:positionV>
            <wp:extent cx="1543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-3030855</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-1727835</wp:posOffset>
            </wp:positionV>
            <wp:extent cx="1714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-1727835</wp:posOffset>
            </wp:positionV>
            <wp:extent cx="17145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-1727835</wp:posOffset>
            </wp:positionV>
            <wp:extent cx="15430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-1727835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-1462405</wp:posOffset>
            </wp:positionV>
            <wp:extent cx="17145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-1462405</wp:posOffset>
            </wp:positionV>
            <wp:extent cx="17145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-1462405</wp:posOffset>
            </wp:positionV>
            <wp:extent cx="1543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-1462405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-681990</wp:posOffset>
            </wp:positionV>
            <wp:extent cx="1714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-681990</wp:posOffset>
            </wp:positionV>
            <wp:extent cx="1714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-681990</wp:posOffset>
            </wp:positionV>
            <wp:extent cx="15430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-410845</wp:posOffset>
            </wp:positionV>
            <wp:extent cx="171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-393700</wp:posOffset>
            </wp:positionV>
            <wp:extent cx="171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-410845</wp:posOffset>
            </wp:positionV>
            <wp:extent cx="171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-393700</wp:posOffset>
            </wp:positionV>
            <wp:extent cx="171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-410845</wp:posOffset>
            </wp:positionV>
            <wp:extent cx="1543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-393700</wp:posOffset>
            </wp:positionV>
            <wp:extent cx="154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and shares 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Common Shares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480" w:type="dxa"/>
            <w:vAlign w:val="bottom"/>
          </w:tcPr>
          <w:p>
            <w:pPr>
              <w:spacing w:after="0"/>
              <w:rPr>
                <w:sz w:val="16"/>
                <w:szCs w:val="16"/>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Common Stock</w:t>
            </w:r>
          </w:p>
        </w:tc>
        <w:tc>
          <w:tcPr>
            <w:tcW w:w="80" w:type="dxa"/>
            <w:vAlign w:val="bottom"/>
          </w:tcPr>
          <w:p>
            <w:pPr>
              <w:spacing w:after="0"/>
              <w:rPr>
                <w:sz w:val="16"/>
                <w:szCs w:val="16"/>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Pr>
          <w:p>
            <w:pPr>
              <w:spacing w:after="0"/>
              <w:rPr>
                <w:sz w:val="16"/>
                <w:szCs w:val="16"/>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r>
      <w:tr>
        <w:trPr>
          <w:trHeight w:val="202"/>
        </w:trPr>
        <w:tc>
          <w:tcPr>
            <w:tcW w:w="34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April 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135,920</w:t>
            </w:r>
          </w:p>
        </w:tc>
        <w:tc>
          <w:tcPr>
            <w:tcW w:w="3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1,213,451</w:t>
            </w:r>
          </w:p>
        </w:tc>
        <w:tc>
          <w:tcPr>
            <w:tcW w:w="28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800,259</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6,956</w:t>
            </w: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2,020,666</w:t>
            </w:r>
          </w:p>
        </w:tc>
        <w:tc>
          <w:tcPr>
            <w:tcW w:w="100" w:type="dxa"/>
            <w:vAlign w:val="bottom"/>
            <w:shd w:val="clear" w:color="auto" w:fill="CFF0FC"/>
          </w:tcPr>
          <w:p>
            <w:pPr>
              <w:spacing w:after="0"/>
              <w:rPr>
                <w:sz w:val="17"/>
                <w:szCs w:val="17"/>
                <w:color w:val="auto"/>
              </w:rPr>
            </w:pPr>
          </w:p>
        </w:tc>
      </w:tr>
      <w:tr>
        <w:trPr>
          <w:trHeight w:val="197"/>
        </w:trPr>
        <w:tc>
          <w:tcPr>
            <w:tcW w:w="34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(2 )</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(32 )</w:t>
            </w:r>
          </w:p>
        </w:tc>
      </w:tr>
      <w:tr>
        <w:trPr>
          <w:trHeight w:val="208"/>
        </w:trPr>
        <w:tc>
          <w:tcPr>
            <w:tcW w:w="3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FF0FC"/>
          </w:tcPr>
          <w:p>
            <w:pPr>
              <w:spacing w:after="0"/>
              <w:rPr>
                <w:sz w:val="18"/>
                <w:szCs w:val="18"/>
                <w:color w:val="auto"/>
              </w:rPr>
            </w:pPr>
          </w:p>
        </w:tc>
      </w:tr>
      <w:tr>
        <w:trPr>
          <w:trHeight w:val="184"/>
        </w:trPr>
        <w:tc>
          <w:tcPr>
            <w:tcW w:w="3480" w:type="dxa"/>
            <w:vAlign w:val="bottom"/>
          </w:tcPr>
          <w:p>
            <w:pPr>
              <w:ind w:left="280"/>
              <w:spacing w:after="0"/>
              <w:rPr>
                <w:sz w:val="20"/>
                <w:szCs w:val="20"/>
                <w:color w:val="auto"/>
              </w:rPr>
            </w:pPr>
            <w:r>
              <w:rPr>
                <w:rFonts w:ascii="Arial" w:cs="Arial" w:eastAsia="Arial" w:hAnsi="Arial"/>
                <w:sz w:val="14"/>
                <w:szCs w:val="14"/>
                <w:color w:val="auto"/>
              </w:rPr>
              <w:t>Shares issued pursuant to stock-based</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480" w:type="dxa"/>
            <w:vAlign w:val="bottom"/>
          </w:tcPr>
          <w:p>
            <w:pPr>
              <w:ind w:left="380"/>
              <w:spacing w:after="0"/>
              <w:rPr>
                <w:sz w:val="20"/>
                <w:szCs w:val="20"/>
                <w:color w:val="auto"/>
              </w:rPr>
            </w:pPr>
            <w:r>
              <w:rPr>
                <w:rFonts w:ascii="Arial" w:cs="Arial" w:eastAsia="Arial" w:hAnsi="Arial"/>
                <w:sz w:val="14"/>
                <w:szCs w:val="14"/>
                <w:color w:val="auto"/>
              </w:rPr>
              <w:t>compensation plan</w:t>
            </w: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Cash dividends declared on common stock</w:t>
            </w:r>
          </w:p>
        </w:tc>
        <w:tc>
          <w:tcPr>
            <w:tcW w:w="10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($0.18 per share)</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(24,497 )</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(24,497 )</w:t>
            </w:r>
          </w:p>
        </w:tc>
      </w:tr>
      <w:tr>
        <w:trPr>
          <w:trHeight w:val="196"/>
        </w:trPr>
        <w:tc>
          <w:tcPr>
            <w:tcW w:w="348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51,179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51,179</w:t>
            </w:r>
          </w:p>
        </w:tc>
        <w:tc>
          <w:tcPr>
            <w:tcW w:w="100" w:type="dxa"/>
            <w:vAlign w:val="bottom"/>
          </w:tcPr>
          <w:p>
            <w:pPr>
              <w:spacing w:after="0"/>
              <w:rPr>
                <w:sz w:val="17"/>
                <w:szCs w:val="17"/>
                <w:color w:val="auto"/>
              </w:rPr>
            </w:pPr>
          </w:p>
        </w:tc>
      </w:tr>
      <w:tr>
        <w:trPr>
          <w:trHeight w:val="209"/>
        </w:trPr>
        <w:tc>
          <w:tcPr>
            <w:tcW w:w="3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Other comprehensive loss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6,295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348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135,927</w:t>
            </w:r>
          </w:p>
        </w:tc>
        <w:tc>
          <w:tcPr>
            <w:tcW w:w="3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1,214,882</w:t>
            </w:r>
          </w:p>
        </w:tc>
        <w:tc>
          <w:tcPr>
            <w:tcW w:w="2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826,941</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13,251</w:t>
            </w:r>
          </w:p>
        </w:tc>
        <w:tc>
          <w:tcPr>
            <w:tcW w:w="2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2,055,074</w:t>
            </w:r>
          </w:p>
        </w:tc>
        <w:tc>
          <w:tcPr>
            <w:tcW w:w="100" w:type="dxa"/>
            <w:vAlign w:val="bottom"/>
          </w:tcPr>
          <w:p>
            <w:pPr>
              <w:spacing w:after="0"/>
              <w:rPr>
                <w:sz w:val="17"/>
                <w:szCs w:val="17"/>
                <w:color w:val="auto"/>
              </w:rPr>
            </w:pPr>
          </w:p>
        </w:tc>
      </w:tr>
      <w:tr>
        <w:trPr>
          <w:trHeight w:val="20"/>
        </w:trPr>
        <w:tc>
          <w:tcPr>
            <w:tcW w:w="3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4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April 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135,511</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1,208,049</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694,931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38,406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1,941,386</w:t>
            </w:r>
          </w:p>
        </w:tc>
        <w:tc>
          <w:tcPr>
            <w:tcW w:w="100" w:type="dxa"/>
            <w:vAlign w:val="bottom"/>
            <w:shd w:val="clear" w:color="auto" w:fill="CFF0FC"/>
          </w:tcPr>
          <w:p>
            <w:pPr>
              <w:spacing w:after="0"/>
              <w:rPr>
                <w:sz w:val="17"/>
                <w:szCs w:val="17"/>
                <w:color w:val="auto"/>
              </w:rPr>
            </w:pPr>
          </w:p>
        </w:tc>
      </w:tr>
      <w:tr>
        <w:trPr>
          <w:trHeight w:val="197"/>
        </w:trPr>
        <w:tc>
          <w:tcPr>
            <w:tcW w:w="34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(1 )</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(28 )</w:t>
            </w:r>
          </w:p>
        </w:tc>
      </w:tr>
      <w:tr>
        <w:trPr>
          <w:trHeight w:val="208"/>
        </w:trPr>
        <w:tc>
          <w:tcPr>
            <w:tcW w:w="3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FF0FC"/>
          </w:tcPr>
          <w:p>
            <w:pPr>
              <w:spacing w:after="0"/>
              <w:rPr>
                <w:sz w:val="18"/>
                <w:szCs w:val="18"/>
                <w:color w:val="auto"/>
              </w:rPr>
            </w:pPr>
          </w:p>
        </w:tc>
      </w:tr>
      <w:tr>
        <w:trPr>
          <w:trHeight w:val="184"/>
        </w:trPr>
        <w:tc>
          <w:tcPr>
            <w:tcW w:w="3480" w:type="dxa"/>
            <w:vAlign w:val="bottom"/>
          </w:tcPr>
          <w:p>
            <w:pPr>
              <w:ind w:left="280"/>
              <w:spacing w:after="0"/>
              <w:rPr>
                <w:sz w:val="20"/>
                <w:szCs w:val="20"/>
                <w:color w:val="auto"/>
              </w:rPr>
            </w:pPr>
            <w:r>
              <w:rPr>
                <w:rFonts w:ascii="Arial" w:cs="Arial" w:eastAsia="Arial" w:hAnsi="Arial"/>
                <w:sz w:val="14"/>
                <w:szCs w:val="14"/>
                <w:color w:val="auto"/>
              </w:rPr>
              <w:t>Shares issued pursuant to stock-based</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480" w:type="dxa"/>
            <w:vAlign w:val="bottom"/>
          </w:tcPr>
          <w:p>
            <w:pPr>
              <w:ind w:left="380"/>
              <w:spacing w:after="0"/>
              <w:rPr>
                <w:sz w:val="20"/>
                <w:szCs w:val="20"/>
                <w:color w:val="auto"/>
              </w:rPr>
            </w:pPr>
            <w:r>
              <w:rPr>
                <w:rFonts w:ascii="Arial" w:cs="Arial" w:eastAsia="Arial" w:hAnsi="Arial"/>
                <w:sz w:val="14"/>
                <w:szCs w:val="14"/>
                <w:color w:val="auto"/>
              </w:rPr>
              <w:t>compensation plan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1,349</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Cash dividends declared on common stock</w:t>
            </w:r>
          </w:p>
        </w:tc>
        <w:tc>
          <w:tcPr>
            <w:tcW w:w="10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($0.18 per share)</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(24,417 )</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(24,417 )</w:t>
            </w:r>
          </w:p>
        </w:tc>
      </w:tr>
      <w:tr>
        <w:trPr>
          <w:trHeight w:val="196"/>
        </w:trPr>
        <w:tc>
          <w:tcPr>
            <w:tcW w:w="348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41,631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41,631</w:t>
            </w:r>
          </w:p>
        </w:tc>
        <w:tc>
          <w:tcPr>
            <w:tcW w:w="100" w:type="dxa"/>
            <w:vAlign w:val="bottom"/>
          </w:tcPr>
          <w:p>
            <w:pPr>
              <w:spacing w:after="0"/>
              <w:rPr>
                <w:sz w:val="17"/>
                <w:szCs w:val="17"/>
                <w:color w:val="auto"/>
              </w:rPr>
            </w:pPr>
          </w:p>
        </w:tc>
      </w:tr>
      <w:tr>
        <w:trPr>
          <w:trHeight w:val="209"/>
        </w:trPr>
        <w:tc>
          <w:tcPr>
            <w:tcW w:w="3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(902 )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(902 )</w:t>
            </w:r>
          </w:p>
        </w:tc>
      </w:tr>
      <w:tr>
        <w:trPr>
          <w:trHeight w:val="196"/>
        </w:trPr>
        <w:tc>
          <w:tcPr>
            <w:tcW w:w="348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Balance, June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135,516</w:t>
            </w:r>
          </w:p>
        </w:tc>
        <w:tc>
          <w:tcPr>
            <w:tcW w:w="3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1,209,449</w:t>
            </w:r>
          </w:p>
        </w:tc>
        <w:tc>
          <w:tcPr>
            <w:tcW w:w="28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712,145</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37,504</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1,959,098</w:t>
            </w:r>
          </w:p>
        </w:tc>
        <w:tc>
          <w:tcPr>
            <w:tcW w:w="100" w:type="dxa"/>
            <w:vAlign w:val="bottom"/>
            <w:tcBorders>
              <w:top w:val="single" w:sz="8" w:color="CFF0FC"/>
            </w:tcBorders>
          </w:tcPr>
          <w:p>
            <w:pPr>
              <w:spacing w:after="0"/>
              <w:rPr>
                <w:sz w:val="17"/>
                <w:szCs w:val="17"/>
                <w:color w:val="auto"/>
              </w:rPr>
            </w:pPr>
          </w:p>
        </w:tc>
      </w:tr>
      <w:tr>
        <w:trPr>
          <w:trHeight w:val="20"/>
        </w:trPr>
        <w:tc>
          <w:tcPr>
            <w:tcW w:w="3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-1573530</wp:posOffset>
            </wp:positionV>
            <wp:extent cx="22288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-1573530</wp:posOffset>
            </wp:positionV>
            <wp:extent cx="1803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-1573530</wp:posOffset>
            </wp:positionV>
            <wp:extent cx="1797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-1573530</wp:posOffset>
            </wp:positionV>
            <wp:extent cx="1797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-1573530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-159385</wp:posOffset>
            </wp:positionV>
            <wp:extent cx="22288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-159385</wp:posOffset>
            </wp:positionV>
            <wp:extent cx="1803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1797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17970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-159385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56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Common Shares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Comprehensive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56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Common Stock</w:t>
            </w: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Retained Earnings</w:t>
            </w:r>
          </w:p>
        </w:tc>
        <w:tc>
          <w:tcPr>
            <w:tcW w:w="14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Income (Loss)</w:t>
            </w:r>
          </w:p>
        </w:tc>
        <w:tc>
          <w:tcPr>
            <w:tcW w:w="300" w:type="dxa"/>
            <w:vAlign w:val="bottom"/>
          </w:tcPr>
          <w:p>
            <w:pPr>
              <w:spacing w:after="0"/>
              <w:rPr>
                <w:sz w:val="16"/>
                <w:szCs w:val="16"/>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r>
      <w:tr>
        <w:trPr>
          <w:trHeight w:val="202"/>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135,601</w:t>
            </w:r>
          </w:p>
        </w:tc>
        <w:tc>
          <w:tcPr>
            <w:tcW w:w="3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1,211,780</w:t>
            </w:r>
          </w:p>
        </w:tc>
        <w:tc>
          <w:tcPr>
            <w:tcW w:w="3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760,861</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35,349</w:t>
            </w:r>
          </w:p>
        </w:tc>
        <w:tc>
          <w:tcPr>
            <w:tcW w:w="2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2,007,990</w:t>
            </w:r>
          </w:p>
        </w:tc>
        <w:tc>
          <w:tcPr>
            <w:tcW w:w="100" w:type="dxa"/>
            <w:vAlign w:val="bottom"/>
            <w:shd w:val="clear" w:color="auto" w:fill="CFF0FC"/>
          </w:tcPr>
          <w:p>
            <w:pPr>
              <w:spacing w:after="0"/>
              <w:rPr>
                <w:sz w:val="17"/>
                <w:szCs w:val="17"/>
                <w:color w:val="auto"/>
              </w:rPr>
            </w:pPr>
          </w:p>
        </w:tc>
      </w:tr>
      <w:tr>
        <w:trPr>
          <w:trHeight w:val="197"/>
        </w:trPr>
        <w:tc>
          <w:tcPr>
            <w:tcW w:w="356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(24 )</w:t>
            </w:r>
          </w:p>
        </w:tc>
        <w:tc>
          <w:tcPr>
            <w:tcW w:w="14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(534 )</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(534 )</w:t>
            </w:r>
          </w:p>
        </w:tc>
      </w:tr>
      <w:tr>
        <w:trPr>
          <w:trHeight w:val="208"/>
        </w:trPr>
        <w:tc>
          <w:tcPr>
            <w:tcW w:w="3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FF0FC"/>
          </w:tcPr>
          <w:p>
            <w:pPr>
              <w:spacing w:after="0"/>
              <w:rPr>
                <w:sz w:val="18"/>
                <w:szCs w:val="18"/>
                <w:color w:val="auto"/>
              </w:rPr>
            </w:pPr>
          </w:p>
        </w:tc>
      </w:tr>
      <w:tr>
        <w:trPr>
          <w:trHeight w:val="184"/>
        </w:trPr>
        <w:tc>
          <w:tcPr>
            <w:tcW w:w="3560" w:type="dxa"/>
            <w:vAlign w:val="bottom"/>
          </w:tcPr>
          <w:p>
            <w:pPr>
              <w:ind w:left="300"/>
              <w:spacing w:after="0"/>
              <w:rPr>
                <w:sz w:val="20"/>
                <w:szCs w:val="20"/>
                <w:color w:val="auto"/>
              </w:rPr>
            </w:pPr>
            <w:r>
              <w:rPr>
                <w:rFonts w:ascii="Arial" w:cs="Arial" w:eastAsia="Arial" w:hAnsi="Arial"/>
                <w:sz w:val="14"/>
                <w:szCs w:val="14"/>
                <w:color w:val="auto"/>
              </w:rPr>
              <w:t>Shares issued pursuant to stock-based</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560" w:type="dxa"/>
            <w:vAlign w:val="bottom"/>
          </w:tcPr>
          <w:p>
            <w:pPr>
              <w:ind w:left="400"/>
              <w:spacing w:after="0"/>
              <w:rPr>
                <w:sz w:val="20"/>
                <w:szCs w:val="20"/>
                <w:color w:val="auto"/>
              </w:rPr>
            </w:pPr>
            <w:r>
              <w:rPr>
                <w:rFonts w:ascii="Arial" w:cs="Arial" w:eastAsia="Arial" w:hAnsi="Arial"/>
                <w:sz w:val="14"/>
                <w:szCs w:val="14"/>
                <w:color w:val="auto"/>
              </w:rPr>
              <w:t>compensation plan</w:t>
            </w:r>
          </w:p>
        </w:tc>
        <w:tc>
          <w:tcPr>
            <w:tcW w:w="1060" w:type="dxa"/>
            <w:vAlign w:val="bottom"/>
          </w:tcPr>
          <w:p>
            <w:pPr>
              <w:jc w:val="right"/>
              <w:spacing w:after="0"/>
              <w:rPr>
                <w:sz w:val="20"/>
                <w:szCs w:val="20"/>
                <w:color w:val="auto"/>
              </w:rPr>
            </w:pPr>
            <w:r>
              <w:rPr>
                <w:rFonts w:ascii="Arial" w:cs="Arial" w:eastAsia="Arial" w:hAnsi="Arial"/>
                <w:sz w:val="14"/>
                <w:szCs w:val="14"/>
                <w:color w:val="auto"/>
              </w:rPr>
              <w:t>305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2,672</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16"/>
                <w:szCs w:val="16"/>
                <w:color w:val="auto"/>
              </w:rPr>
            </w:pPr>
          </w:p>
        </w:tc>
      </w:tr>
      <w:tr>
        <w:trPr>
          <w:trHeight w:val="190"/>
        </w:trPr>
        <w:tc>
          <w:tcPr>
            <w:tcW w:w="3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dividends declared on common stock</w:t>
            </w: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5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($0.36 per share)</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(48,992 )</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(48,992 )</w:t>
            </w:r>
          </w:p>
        </w:tc>
      </w:tr>
      <w:tr>
        <w:trPr>
          <w:trHeight w:val="197"/>
        </w:trPr>
        <w:tc>
          <w:tcPr>
            <w:tcW w:w="3560" w:type="dxa"/>
            <w:vAlign w:val="bottom"/>
          </w:tcPr>
          <w:p>
            <w:pPr>
              <w:ind w:left="30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115,072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115,072</w:t>
            </w:r>
          </w:p>
        </w:tc>
        <w:tc>
          <w:tcPr>
            <w:tcW w:w="100" w:type="dxa"/>
            <w:vAlign w:val="bottom"/>
          </w:tcPr>
          <w:p>
            <w:pPr>
              <w:spacing w:after="0"/>
              <w:rPr>
                <w:sz w:val="17"/>
                <w:szCs w:val="17"/>
                <w:color w:val="auto"/>
              </w:rPr>
            </w:pPr>
          </w:p>
        </w:tc>
      </w:tr>
      <w:tr>
        <w:trPr>
          <w:trHeight w:val="208"/>
        </w:trPr>
        <w:tc>
          <w:tcPr>
            <w:tcW w:w="3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(22,098 )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(22,098 )</w:t>
            </w:r>
          </w:p>
        </w:tc>
      </w:tr>
      <w:tr>
        <w:trPr>
          <w:trHeight w:val="196"/>
        </w:trPr>
        <w:tc>
          <w:tcPr>
            <w:tcW w:w="35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135,927</w:t>
            </w:r>
          </w:p>
        </w:tc>
        <w:tc>
          <w:tcPr>
            <w:tcW w:w="3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1,214,882</w:t>
            </w:r>
          </w:p>
        </w:tc>
        <w:tc>
          <w:tcPr>
            <w:tcW w:w="30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826,941</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13,251</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2,055,074</w:t>
            </w:r>
          </w:p>
        </w:tc>
        <w:tc>
          <w:tcPr>
            <w:tcW w:w="100" w:type="dxa"/>
            <w:vAlign w:val="bottom"/>
            <w:tcBorders>
              <w:top w:val="single" w:sz="8" w:color="CFF0FC"/>
            </w:tcBorders>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140,102</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1,298,792</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682,692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12,614</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1,994,098</w:t>
            </w:r>
          </w:p>
        </w:tc>
        <w:tc>
          <w:tcPr>
            <w:tcW w:w="100" w:type="dxa"/>
            <w:vAlign w:val="bottom"/>
            <w:shd w:val="clear" w:color="auto" w:fill="CFF0FC"/>
          </w:tcPr>
          <w:p>
            <w:pPr>
              <w:spacing w:after="0"/>
              <w:rPr>
                <w:sz w:val="17"/>
                <w:szCs w:val="17"/>
                <w:color w:val="auto"/>
              </w:rPr>
            </w:pPr>
          </w:p>
        </w:tc>
      </w:tr>
      <w:tr>
        <w:trPr>
          <w:trHeight w:val="184"/>
        </w:trPr>
        <w:tc>
          <w:tcPr>
            <w:tcW w:w="3560" w:type="dxa"/>
            <w:vAlign w:val="bottom"/>
          </w:tcPr>
          <w:p>
            <w:pPr>
              <w:ind w:left="300"/>
              <w:spacing w:after="0"/>
              <w:rPr>
                <w:sz w:val="20"/>
                <w:szCs w:val="20"/>
                <w:color w:val="auto"/>
              </w:rPr>
            </w:pPr>
            <w:r>
              <w:rPr>
                <w:rFonts w:ascii="Arial" w:cs="Arial" w:eastAsia="Arial" w:hAnsi="Arial"/>
                <w:sz w:val="14"/>
                <w:szCs w:val="14"/>
                <w:color w:val="auto"/>
              </w:rPr>
              <w:t>Cumulative adjustment upon adoption of</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560" w:type="dxa"/>
            <w:vAlign w:val="bottom"/>
          </w:tcPr>
          <w:p>
            <w:pPr>
              <w:ind w:left="400"/>
              <w:spacing w:after="0"/>
              <w:rPr>
                <w:sz w:val="20"/>
                <w:szCs w:val="20"/>
                <w:color w:val="auto"/>
              </w:rPr>
            </w:pPr>
            <w:r>
              <w:rPr>
                <w:rFonts w:ascii="Arial" w:cs="Arial" w:eastAsia="Arial" w:hAnsi="Arial"/>
                <w:sz w:val="14"/>
                <w:szCs w:val="14"/>
                <w:color w:val="auto"/>
              </w:rPr>
              <w:t>ASU 2016-13</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(1,325 )</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(1,325 )</w:t>
            </w:r>
          </w:p>
        </w:tc>
      </w:tr>
      <w:tr>
        <w:trPr>
          <w:trHeight w:val="209"/>
        </w:trPr>
        <w:tc>
          <w:tcPr>
            <w:tcW w:w="3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 of common stock</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(4,989 )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(92,430 )</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(92,430 )</w:t>
            </w:r>
          </w:p>
        </w:tc>
      </w:tr>
      <w:tr>
        <w:trPr>
          <w:trHeight w:val="196"/>
        </w:trPr>
        <w:tc>
          <w:tcPr>
            <w:tcW w:w="356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r>
      <w:tr>
        <w:trPr>
          <w:trHeight w:val="190"/>
        </w:trPr>
        <w:tc>
          <w:tcPr>
            <w:tcW w:w="3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Shares issued pursuant to stock-based</w:t>
            </w: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35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compensation plan</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2,966</w:t>
            </w:r>
          </w:p>
        </w:tc>
        <w:tc>
          <w:tcPr>
            <w:tcW w:w="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FF0FC"/>
          </w:tcPr>
          <w:p>
            <w:pPr>
              <w:spacing w:after="0"/>
              <w:rPr>
                <w:sz w:val="16"/>
                <w:szCs w:val="16"/>
                <w:color w:val="auto"/>
              </w:rPr>
            </w:pPr>
          </w:p>
        </w:tc>
      </w:tr>
      <w:tr>
        <w:trPr>
          <w:trHeight w:val="184"/>
        </w:trPr>
        <w:tc>
          <w:tcPr>
            <w:tcW w:w="3560" w:type="dxa"/>
            <w:vAlign w:val="bottom"/>
          </w:tcPr>
          <w:p>
            <w:pPr>
              <w:ind w:left="300"/>
              <w:spacing w:after="0"/>
              <w:rPr>
                <w:sz w:val="20"/>
                <w:szCs w:val="20"/>
                <w:color w:val="auto"/>
              </w:rPr>
            </w:pPr>
            <w:r>
              <w:rPr>
                <w:rFonts w:ascii="Arial" w:cs="Arial" w:eastAsia="Arial" w:hAnsi="Arial"/>
                <w:sz w:val="14"/>
                <w:szCs w:val="14"/>
                <w:color w:val="auto"/>
              </w:rPr>
              <w:t>Cash dividends declared on common stock</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3560" w:type="dxa"/>
            <w:vAlign w:val="bottom"/>
          </w:tcPr>
          <w:p>
            <w:pPr>
              <w:ind w:left="400"/>
              <w:spacing w:after="0"/>
              <w:rPr>
                <w:sz w:val="20"/>
                <w:szCs w:val="20"/>
                <w:color w:val="auto"/>
              </w:rPr>
            </w:pPr>
            <w:r>
              <w:rPr>
                <w:rFonts w:ascii="Arial" w:cs="Arial" w:eastAsia="Arial" w:hAnsi="Arial"/>
                <w:sz w:val="14"/>
                <w:szCs w:val="14"/>
                <w:color w:val="auto"/>
              </w:rPr>
              <w:t>($0.36 per share)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(48,833 )</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(48,833 )</w:t>
            </w:r>
          </w:p>
        </w:tc>
      </w:tr>
      <w:tr>
        <w:trPr>
          <w:trHeight w:val="208"/>
        </w:trPr>
        <w:tc>
          <w:tcPr>
            <w:tcW w:w="3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earnings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79,611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79,611</w:t>
            </w:r>
          </w:p>
        </w:tc>
        <w:tc>
          <w:tcPr>
            <w:tcW w:w="100" w:type="dxa"/>
            <w:vAlign w:val="bottom"/>
            <w:shd w:val="clear" w:color="auto" w:fill="CFF0FC"/>
          </w:tcPr>
          <w:p>
            <w:pPr>
              <w:spacing w:after="0"/>
              <w:rPr>
                <w:sz w:val="18"/>
                <w:szCs w:val="18"/>
                <w:color w:val="auto"/>
              </w:rPr>
            </w:pPr>
          </w:p>
        </w:tc>
      </w:tr>
      <w:tr>
        <w:trPr>
          <w:trHeight w:val="203"/>
        </w:trPr>
        <w:tc>
          <w:tcPr>
            <w:tcW w:w="3560" w:type="dxa"/>
            <w:vAlign w:val="bottom"/>
          </w:tcPr>
          <w:p>
            <w:pPr>
              <w:ind w:left="300"/>
              <w:spacing w:after="0"/>
              <w:rPr>
                <w:sz w:val="20"/>
                <w:szCs w:val="20"/>
                <w:color w:val="auto"/>
              </w:rPr>
            </w:pPr>
            <w:r>
              <w:rPr>
                <w:rFonts w:ascii="Arial" w:cs="Arial" w:eastAsia="Arial" w:hAnsi="Arial"/>
                <w:sz w:val="14"/>
                <w:szCs w:val="14"/>
                <w:color w:val="auto"/>
              </w:rPr>
              <w:t>Other comprehensive income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24,890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24,890</w:t>
            </w:r>
          </w:p>
        </w:tc>
        <w:tc>
          <w:tcPr>
            <w:tcW w:w="100" w:type="dxa"/>
            <w:vAlign w:val="bottom"/>
          </w:tcPr>
          <w:p>
            <w:pPr>
              <w:spacing w:after="0"/>
              <w:rPr>
                <w:sz w:val="17"/>
                <w:szCs w:val="17"/>
                <w:color w:val="auto"/>
              </w:rPr>
            </w:pPr>
          </w:p>
        </w:tc>
      </w:tr>
      <w:tr>
        <w:trPr>
          <w:trHeight w:val="236"/>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135,516</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1,209,449</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712,145</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37,504</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1,959,098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-1813560</wp:posOffset>
            </wp:positionV>
            <wp:extent cx="1968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-1813560</wp:posOffset>
            </wp:positionV>
            <wp:extent cx="19748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-1813560</wp:posOffset>
            </wp:positionV>
            <wp:extent cx="17970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-1813560</wp:posOffset>
            </wp:positionV>
            <wp:extent cx="1797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-1813560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1968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-8255</wp:posOffset>
            </wp:positionV>
            <wp:extent cx="1968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1974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1974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1797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1797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797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797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w:t>
            </w:r>
          </w:p>
        </w:tc>
      </w:tr>
      <w:tr>
        <w:trPr>
          <w:trHeight w:val="263"/>
        </w:trPr>
        <w:tc>
          <w:tcPr>
            <w:tcW w:w="8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Interest and dividends received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200,495</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202,574</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Service charges and other fees received</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18,083</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19,935</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Interest paid</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(3,572 )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(7,840 )</w:t>
            </w: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cash paid to vendors, employees and others</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(97,222 )</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(88,778 )</w:t>
            </w: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(47,085 )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(28,810 )</w:t>
            </w:r>
          </w:p>
        </w:tc>
      </w:tr>
      <w:tr>
        <w:trPr>
          <w:trHeight w:val="250"/>
        </w:trPr>
        <w:tc>
          <w:tcPr>
            <w:tcW w:w="822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70,699</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change in interest-earning balances from depository institutions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17,305</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(35,680 )</w:t>
            </w: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Proceeds from repayment of investment securities available-for-sale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424,999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243,397</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Proceeds from maturity of investment securities available-for-sale</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Purchases of investment securities available-for-sale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(949,645 )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Proceeds from repayment and maturity of investment securities held-to-maturity</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82,937</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71,597</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Purchases of investment securities held-to-maturity</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(545,681 )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(1,509 )</w:t>
            </w: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increase in equity investments</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(5,692 )</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(3,040 )</w:t>
            </w: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Net decrease (increase) in loan and lease finance receivables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297,796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(821,352 )</w:t>
            </w: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Proceeds from sale of building, net of selling costs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Purchase of premises and equipment</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(2,299 )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(1,550 )</w:t>
            </w: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Purchase of BOLI</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(25,000 )</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Proceeds from BOLI death benefit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1"/>
                <w:szCs w:val="21"/>
                <w:color w:val="auto"/>
              </w:rPr>
            </w:pPr>
          </w:p>
        </w:tc>
      </w:tr>
      <w:tr>
        <w:trPr>
          <w:trHeight w:val="257"/>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Proceeds from sales of other real estate owned</w:t>
            </w:r>
          </w:p>
        </w:tc>
        <w:tc>
          <w:tcPr>
            <w:tcW w:w="2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220" w:type="dxa"/>
            <w:vAlign w:val="bottom"/>
          </w:tcPr>
          <w:p>
            <w:pPr>
              <w:ind w:left="7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(689,133 )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(541,488 )</w:t>
            </w:r>
          </w:p>
        </w:tc>
      </w:tr>
      <w:tr>
        <w:trPr>
          <w:trHeight w:val="256"/>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Net increase in other deposits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968,729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2,265,270</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(decrease) increase in time deposits</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(36,173 )</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13,382</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Net (decrease) increase in other borrowings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increase in customer repurchase agreements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138,801</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39,497</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Repayment of junior subordinated debentures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(25,774 )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Cash dividends on common stock</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(48,874 )</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(49,668 )</w:t>
            </w:r>
          </w:p>
        </w:tc>
      </w:tr>
      <w:tr>
        <w:trPr>
          <w:trHeight w:val="250"/>
        </w:trPr>
        <w:tc>
          <w:tcPr>
            <w:tcW w:w="8220" w:type="dxa"/>
            <w:vAlign w:val="bottom"/>
          </w:tcPr>
          <w:p>
            <w:pPr>
              <w:ind w:left="40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(534 )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(92,430 )</w:t>
            </w:r>
          </w:p>
        </w:tc>
      </w:tr>
      <w:tr>
        <w:trPr>
          <w:trHeight w:val="257"/>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220" w:type="dxa"/>
            <w:vAlign w:val="bottom"/>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992,139</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2,186,172</w:t>
            </w:r>
          </w:p>
        </w:tc>
        <w:tc>
          <w:tcPr>
            <w:tcW w:w="100" w:type="dxa"/>
            <w:vAlign w:val="bottom"/>
          </w:tcPr>
          <w:p>
            <w:pPr>
              <w:spacing w:after="0"/>
              <w:rPr>
                <w:sz w:val="21"/>
                <w:szCs w:val="21"/>
                <w:color w:val="auto"/>
              </w:rPr>
            </w:pPr>
          </w:p>
        </w:tc>
      </w:tr>
      <w:tr>
        <w:trPr>
          <w:trHeight w:val="256"/>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373,705</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1,741,765</w:t>
            </w:r>
          </w:p>
        </w:tc>
        <w:tc>
          <w:tcPr>
            <w:tcW w:w="100" w:type="dxa"/>
            <w:vAlign w:val="bottom"/>
            <w:shd w:val="clear" w:color="auto" w:fill="CFF0FC"/>
          </w:tcPr>
          <w:p>
            <w:pPr>
              <w:spacing w:after="0"/>
              <w:rPr>
                <w:sz w:val="22"/>
                <w:szCs w:val="22"/>
                <w:color w:val="auto"/>
              </w:rPr>
            </w:pPr>
          </w:p>
        </w:tc>
      </w:tr>
      <w:tr>
        <w:trPr>
          <w:trHeight w:val="507"/>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1,958,160</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185,518</w:t>
            </w:r>
          </w:p>
        </w:tc>
        <w:tc>
          <w:tcPr>
            <w:tcW w:w="100" w:type="dxa"/>
            <w:vAlign w:val="bottom"/>
          </w:tcPr>
          <w:p>
            <w:pPr>
              <w:spacing w:after="0"/>
              <w:rPr>
                <w:sz w:val="24"/>
                <w:szCs w:val="24"/>
                <w:color w:val="auto"/>
              </w:rPr>
            </w:pPr>
          </w:p>
        </w:tc>
      </w:tr>
      <w:tr>
        <w:trPr>
          <w:trHeight w:val="297"/>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2,331,865</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1,927,283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-4796790</wp:posOffset>
            </wp:positionV>
            <wp:extent cx="18859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-4796790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-2508250</wp:posOffset>
            </wp:positionV>
            <wp:extent cx="18859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-862330</wp:posOffset>
            </wp:positionV>
            <wp:extent cx="18859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88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885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w:t>
            </w:r>
          </w:p>
        </w:tc>
      </w:tr>
      <w:tr>
        <w:trPr>
          <w:trHeight w:val="263"/>
        </w:trPr>
        <w:tc>
          <w:tcPr>
            <w:tcW w:w="8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Net Earnings to Net Cash Provided by Operating Activities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115,072</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79,611</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520"/>
              <w:spacing w:after="0"/>
              <w:rPr>
                <w:sz w:val="20"/>
                <w:szCs w:val="20"/>
                <w:color w:val="auto"/>
              </w:rPr>
            </w:pPr>
            <w:r>
              <w:rPr>
                <w:rFonts w:ascii="Arial" w:cs="Arial" w:eastAsia="Arial" w:hAnsi="Arial"/>
                <w:sz w:val="18"/>
                <w:szCs w:val="18"/>
                <w:color w:val="auto"/>
              </w:rPr>
              <w:t>Gain on sale of building, net</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(189 )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Gain on sale of other real estate owned</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(477 )</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520"/>
              <w:spacing w:after="0"/>
              <w:rPr>
                <w:sz w:val="20"/>
                <w:szCs w:val="20"/>
                <w:color w:val="auto"/>
              </w:rPr>
            </w:pPr>
            <w:r>
              <w:rPr>
                <w:rFonts w:ascii="Arial" w:cs="Arial" w:eastAsia="Arial" w:hAnsi="Arial"/>
                <w:sz w:val="18"/>
                <w:szCs w:val="18"/>
                <w:color w:val="auto"/>
              </w:rPr>
              <w:t>Increase in BOLI</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(5,864 )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(2,578 )</w:t>
            </w:r>
          </w:p>
        </w:tc>
      </w:tr>
      <w:tr>
        <w:trPr>
          <w:trHeight w:val="263"/>
        </w:trPr>
        <w:tc>
          <w:tcPr>
            <w:tcW w:w="8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amortization of premiums and discounts on investment securities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14,908</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5,931</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520"/>
              <w:spacing w:after="0"/>
              <w:rPr>
                <w:sz w:val="20"/>
                <w:szCs w:val="20"/>
                <w:color w:val="auto"/>
              </w:rPr>
            </w:pPr>
            <w:r>
              <w:rPr>
                <w:rFonts w:ascii="Arial" w:cs="Arial" w:eastAsia="Arial" w:hAnsi="Arial"/>
                <w:sz w:val="18"/>
                <w:szCs w:val="18"/>
                <w:color w:val="auto"/>
              </w:rPr>
              <w:t>Accretion of discount for acquired loans, net</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(7,511 )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(8,795 )</w:t>
            </w:r>
          </w:p>
        </w:tc>
      </w:tr>
      <w:tr>
        <w:trPr>
          <w:trHeight w:val="263"/>
        </w:trPr>
        <w:tc>
          <w:tcPr>
            <w:tcW w:w="8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(Recapture of) provision for credit losses</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(21,500 )</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520"/>
              <w:spacing w:after="0"/>
              <w:rPr>
                <w:sz w:val="20"/>
                <w:szCs w:val="20"/>
                <w:color w:val="auto"/>
              </w:rPr>
            </w:pPr>
            <w:r>
              <w:rPr>
                <w:rFonts w:ascii="Arial" w:cs="Arial" w:eastAsia="Arial" w:hAnsi="Arial"/>
                <w:sz w:val="18"/>
                <w:szCs w:val="18"/>
                <w:color w:val="auto"/>
              </w:rPr>
              <w:t>(Recapture of) provision for unfunded loan commitments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8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100" w:type="dxa"/>
            <w:vAlign w:val="bottom"/>
            <w:shd w:val="clear" w:color="auto" w:fill="CFF0FC"/>
          </w:tcPr>
          <w:p>
            <w:pPr>
              <w:spacing w:after="0"/>
              <w:rPr>
                <w:sz w:val="22"/>
                <w:szCs w:val="22"/>
                <w:color w:val="auto"/>
              </w:rPr>
            </w:pPr>
          </w:p>
        </w:tc>
      </w:tr>
      <w:tr>
        <w:trPr>
          <w:trHeight w:val="250"/>
        </w:trPr>
        <w:tc>
          <w:tcPr>
            <w:tcW w:w="8220" w:type="dxa"/>
            <w:vAlign w:val="bottom"/>
          </w:tcPr>
          <w:p>
            <w:pPr>
              <w:ind w:left="520"/>
              <w:spacing w:after="0"/>
              <w:rPr>
                <w:sz w:val="20"/>
                <w:szCs w:val="20"/>
                <w:color w:val="auto"/>
              </w:rPr>
            </w:pPr>
            <w:r>
              <w:rPr>
                <w:rFonts w:ascii="Arial" w:cs="Arial" w:eastAsia="Arial" w:hAnsi="Arial"/>
                <w:sz w:val="18"/>
                <w:szCs w:val="18"/>
                <w:color w:val="auto"/>
              </w:rPr>
              <w:t>Depreciation and amortization, net</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(4,838 )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1"/>
                <w:szCs w:val="21"/>
                <w:color w:val="auto"/>
              </w:rPr>
            </w:pPr>
          </w:p>
        </w:tc>
      </w:tr>
      <w:tr>
        <w:trPr>
          <w:trHeight w:val="256"/>
        </w:trPr>
        <w:tc>
          <w:tcPr>
            <w:tcW w:w="8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Change in other assets and liabilities</w:t>
            </w:r>
          </w:p>
        </w:tc>
        <w:tc>
          <w:tcPr>
            <w:tcW w:w="2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(20,574 )</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(7,239 )</w:t>
            </w:r>
          </w:p>
        </w:tc>
      </w:tr>
      <w:tr>
        <w:trPr>
          <w:trHeight w:val="20"/>
        </w:trPr>
        <w:tc>
          <w:tcPr>
            <w:tcW w:w="8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8220" w:type="dxa"/>
            <w:vAlign w:val="bottom"/>
          </w:tcPr>
          <w:p>
            <w:pPr>
              <w:ind w:left="780"/>
              <w:spacing w:after="0"/>
              <w:rPr>
                <w:sz w:val="20"/>
                <w:szCs w:val="20"/>
                <w:color w:val="auto"/>
              </w:rPr>
            </w:pPr>
            <w:r>
              <w:rPr>
                <w:rFonts w:ascii="Arial" w:cs="Arial" w:eastAsia="Arial" w:hAnsi="Arial"/>
                <w:sz w:val="18"/>
                <w:szCs w:val="18"/>
                <w:color w:val="auto"/>
              </w:rPr>
              <w:t>Total adjustments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(44,373 )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17,470</w:t>
            </w:r>
          </w:p>
        </w:tc>
        <w:tc>
          <w:tcPr>
            <w:tcW w:w="100" w:type="dxa"/>
            <w:vAlign w:val="bottom"/>
          </w:tcPr>
          <w:p>
            <w:pPr>
              <w:spacing w:after="0"/>
              <w:rPr>
                <w:sz w:val="21"/>
                <w:szCs w:val="21"/>
                <w:color w:val="auto"/>
              </w:rPr>
            </w:pPr>
          </w:p>
        </w:tc>
      </w:tr>
      <w:tr>
        <w:trPr>
          <w:trHeight w:val="296"/>
        </w:trPr>
        <w:tc>
          <w:tcPr>
            <w:tcW w:w="82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70,699</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97,081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87"/>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8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Securities purchased and not settled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110,430</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162,090</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-853440</wp:posOffset>
            </wp:positionV>
            <wp:extent cx="18859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-853440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-513715</wp:posOffset>
            </wp:positionV>
            <wp:extent cx="1885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1885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jc w:val="center"/>
        <w:spacing w:after="0" w:line="295" w:lineRule="auto"/>
        <w:rPr>
          <w:sz w:val="20"/>
          <w:szCs w:val="20"/>
          <w:color w:val="auto"/>
        </w:rPr>
      </w:pPr>
      <w:r>
        <w:rPr>
          <w:rFonts w:ascii="Arial" w:cs="Arial" w:eastAsia="Arial" w:hAnsi="Arial"/>
          <w:sz w:val="18"/>
          <w:szCs w:val="18"/>
          <w:b w:val="1"/>
          <w:bCs w:val="1"/>
          <w:color w:val="auto"/>
        </w:rPr>
        <w:t xml:space="preserve">CVB FINANCIAL CORP. AND SUBSIDIARIES NOTES TO THE CONDENSED CONSOLIDATED FINANCIAL STATEMENTS </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BUSINESS</w:t>
      </w:r>
    </w:p>
    <w:p>
      <w:pPr>
        <w:spacing w:after="0" w:line="256" w:lineRule="exact"/>
        <w:rPr>
          <w:sz w:val="20"/>
          <w:szCs w:val="20"/>
          <w:color w:val="auto"/>
        </w:rPr>
      </w:pPr>
    </w:p>
    <w:p>
      <w:pPr>
        <w:ind w:right="20" w:firstLine="405"/>
        <w:spacing w:after="0" w:line="271" w:lineRule="auto"/>
        <w:rPr>
          <w:sz w:val="20"/>
          <w:szCs w:val="20"/>
          <w:color w:val="auto"/>
        </w:rPr>
      </w:pPr>
      <w:r>
        <w:rPr>
          <w:rFonts w:ascii="Arial" w:cs="Arial" w:eastAsia="Arial" w:hAnsi="Arial"/>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 The Company is also the common stockholder of CVB Statutory Trust III. CVB Statutory Trust III was created in January 2006 to issue trust preferred securities in order to raise capital for the Company. In accordance with Financial Accounting Standards Board (“FASB”) Accounting Standards Codification (“ASC”) 810, Consolidation, this trust does not meet the criteria for consolidation.</w:t>
      </w:r>
    </w:p>
    <w:p>
      <w:pPr>
        <w:spacing w:after="0" w:line="204" w:lineRule="exact"/>
        <w:rPr>
          <w:sz w:val="20"/>
          <w:szCs w:val="20"/>
          <w:color w:val="auto"/>
        </w:rPr>
      </w:pPr>
    </w:p>
    <w:p>
      <w:pPr>
        <w:ind w:right="20" w:firstLine="405"/>
        <w:spacing w:after="0" w:line="292" w:lineRule="auto"/>
        <w:rPr>
          <w:sz w:val="20"/>
          <w:szCs w:val="20"/>
          <w:color w:val="auto"/>
        </w:rPr>
      </w:pPr>
      <w:r>
        <w:rPr>
          <w:rFonts w:ascii="Arial" w:cs="Arial" w:eastAsia="Arial" w:hAnsi="Arial"/>
          <w:sz w:val="17"/>
          <w:szCs w:val="17"/>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The Bank operates 58 banking centers and three trust office locations. The Company is headquartered in the city of Ontario, California.</w:t>
      </w: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w:t>
      </w:r>
    </w:p>
    <w:p>
      <w:pPr>
        <w:spacing w:after="0" w:line="256" w:lineRule="exact"/>
        <w:rPr>
          <w:sz w:val="20"/>
          <w:szCs w:val="20"/>
          <w:color w:val="auto"/>
        </w:rPr>
      </w:pPr>
    </w:p>
    <w:p>
      <w:pPr>
        <w:ind w:right="20" w:firstLine="405"/>
        <w:spacing w:after="0" w:line="306" w:lineRule="auto"/>
        <w:rPr>
          <w:sz w:val="20"/>
          <w:szCs w:val="20"/>
          <w:color w:val="auto"/>
        </w:rPr>
      </w:pPr>
      <w:r>
        <w:rPr>
          <w:rFonts w:ascii="Arial" w:cs="Arial" w:eastAsia="Arial" w:hAnsi="Arial"/>
          <w:sz w:val="16"/>
          <w:szCs w:val="16"/>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six months ended June 30, 2021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2020, filed with the SEC. A summary of the significant accounting policies consistently applied in the preparation of the accompanying unaudited condensed consolidated financial statements follows.</w:t>
      </w:r>
    </w:p>
    <w:p>
      <w:pPr>
        <w:spacing w:after="0" w:line="179" w:lineRule="exact"/>
        <w:rPr>
          <w:sz w:val="20"/>
          <w:szCs w:val="20"/>
          <w:color w:val="auto"/>
        </w:rPr>
      </w:pPr>
    </w:p>
    <w:p>
      <w:pPr>
        <w:ind w:firstLine="405"/>
        <w:spacing w:after="0" w:line="324" w:lineRule="auto"/>
        <w:rPr>
          <w:sz w:val="20"/>
          <w:szCs w:val="20"/>
          <w:color w:val="auto"/>
        </w:rPr>
      </w:pPr>
      <w:r>
        <w:rPr>
          <w:rFonts w:ascii="Arial" w:cs="Arial" w:eastAsia="Arial" w:hAnsi="Arial"/>
          <w:sz w:val="17"/>
          <w:szCs w:val="17"/>
          <w:b w:val="1"/>
          <w:bCs w:val="1"/>
          <w:i w:val="1"/>
          <w:iCs w:val="1"/>
          <w:color w:val="auto"/>
        </w:rPr>
        <w:t xml:space="preserve">Reclassification </w:t>
      </w:r>
      <w:r>
        <w:rPr>
          <w:rFonts w:ascii="Arial" w:cs="Arial" w:eastAsia="Arial" w:hAnsi="Arial"/>
          <w:sz w:val="17"/>
          <w:szCs w:val="17"/>
          <w:color w:val="auto"/>
        </w:rPr>
        <w:t>— Certain amounts in the prior periods’ unaudited condensed consolidated financial statements and related footnote disclosures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reclassified to conform to the current presentation with no impact on previously reported net income or stockholders’ equity.</w:t>
      </w:r>
    </w:p>
    <w:p>
      <w:pPr>
        <w:spacing w:after="0" w:line="3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SUMMARY OF SIGNIFICANT ACCOUNTING POLICIES</w:t>
      </w:r>
    </w:p>
    <w:p>
      <w:pPr>
        <w:spacing w:after="0" w:line="256" w:lineRule="exact"/>
        <w:rPr>
          <w:sz w:val="20"/>
          <w:szCs w:val="20"/>
          <w:color w:val="auto"/>
        </w:rPr>
      </w:pPr>
    </w:p>
    <w:p>
      <w:pPr>
        <w:ind w:right="40" w:firstLine="405"/>
        <w:spacing w:after="0" w:line="359" w:lineRule="auto"/>
        <w:rPr>
          <w:sz w:val="20"/>
          <w:szCs w:val="20"/>
          <w:color w:val="auto"/>
        </w:rPr>
      </w:pPr>
      <w:r>
        <w:rPr>
          <w:rFonts w:ascii="Arial" w:cs="Arial" w:eastAsia="Arial" w:hAnsi="Arial"/>
          <w:sz w:val="16"/>
          <w:szCs w:val="16"/>
          <w:color w:val="auto"/>
        </w:rPr>
        <w:t xml:space="preserve">Except as discussed below, our accounting policies are described in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our audited consolidated financial statements included in our Annual Report on Form 10-K for the year ended December 31, 2020 as filed with the SEC (“Form 10-K”).</w:t>
      </w:r>
    </w:p>
    <w:p>
      <w:pPr>
        <w:spacing w:after="0" w:line="138"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b w:val="1"/>
          <w:bCs w:val="1"/>
          <w:i w:val="1"/>
          <w:iCs w:val="1"/>
          <w:color w:val="auto"/>
        </w:rPr>
        <w:t xml:space="preserve">Use of Estimates in the Preparation of Financial Statements </w:t>
      </w:r>
      <w:r>
        <w:rPr>
          <w:rFonts w:ascii="Arial" w:cs="Arial" w:eastAsia="Arial" w:hAnsi="Arial"/>
          <w:sz w:val="18"/>
          <w:szCs w:val="18"/>
          <w:color w:val="auto"/>
        </w:rPr>
        <w:t>— The preparation of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4.</w:t>
        <w:tab/>
        <w:t>INVESTMENT SECURITIES</w:t>
      </w:r>
    </w:p>
    <w:p>
      <w:pPr>
        <w:spacing w:after="0" w:line="256" w:lineRule="exact"/>
        <w:rPr>
          <w:sz w:val="20"/>
          <w:szCs w:val="20"/>
          <w:color w:val="auto"/>
        </w:rPr>
      </w:pPr>
    </w:p>
    <w:p>
      <w:pPr>
        <w:jc w:val="both"/>
        <w:ind w:right="400" w:firstLine="405"/>
        <w:spacing w:after="0" w:line="303" w:lineRule="auto"/>
        <w:rPr>
          <w:sz w:val="20"/>
          <w:szCs w:val="20"/>
          <w:color w:val="auto"/>
        </w:rPr>
      </w:pPr>
      <w:r>
        <w:rPr>
          <w:rFonts w:ascii="Arial" w:cs="Arial" w:eastAsia="Arial" w:hAnsi="Arial"/>
          <w:sz w:val="17"/>
          <w:szCs w:val="17"/>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87"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26035</wp:posOffset>
            </wp:positionV>
            <wp:extent cx="45002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Holding Loss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20"/>
                <w:szCs w:val="20"/>
                <w:color w:val="auto"/>
              </w:rPr>
            </w:pPr>
          </w:p>
        </w:tc>
      </w:tr>
      <w:tr>
        <w:trPr>
          <w:trHeight w:val="247"/>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00" w:type="dxa"/>
            <w:vAlign w:val="bottom"/>
            <w:gridSpan w:val="4"/>
          </w:tcPr>
          <w:p>
            <w:pPr>
              <w:jc w:val="right"/>
              <w:ind w:right="380"/>
              <w:spacing w:after="0"/>
              <w:rPr>
                <w:sz w:val="20"/>
                <w:szCs w:val="20"/>
                <w:color w:val="auto"/>
              </w:rPr>
            </w:pPr>
            <w:r>
              <w:rPr>
                <w:rFonts w:ascii="Arial" w:cs="Arial" w:eastAsia="Arial" w:hAnsi="Arial"/>
                <w:sz w:val="16"/>
                <w:szCs w:val="16"/>
                <w:i w:val="1"/>
                <w:iCs w:val="1"/>
                <w:color w:val="auto"/>
                <w:w w:val="96"/>
              </w:rPr>
              <w:t>(Dollars in thousands)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6"/>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2,218,714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(10,886 )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2,242,503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76.48 %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660,322</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(5,348 )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658,549</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22.46 %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29,959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1.02 %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2,908,746</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39,509</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(16,234 )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2,932,021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Government agency/GSE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592,611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(4,115 )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598,729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57.15 %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124,894</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(165 )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130,538</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12.05 %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106,699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108,997</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10.29 %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212,720</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(915 )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217,259</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20.51 %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1,036,924</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23,794</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(5,195 )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1,055,523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-1205230</wp:posOffset>
            </wp:positionV>
            <wp:extent cx="21463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-1205230</wp:posOffset>
            </wp:positionV>
            <wp:extent cx="21463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-1205230</wp:posOffset>
            </wp:positionV>
            <wp:extent cx="21463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-1205230</wp:posOffset>
            </wp:positionV>
            <wp:extent cx="1968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-1205230</wp:posOffset>
            </wp:positionV>
            <wp:extent cx="13716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-193675</wp:posOffset>
            </wp:positionV>
            <wp:extent cx="21463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-193675</wp:posOffset>
            </wp:positionV>
            <wp:extent cx="21463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-193675</wp:posOffset>
            </wp:positionV>
            <wp:extent cx="21463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wp:posOffset>
            </wp:positionV>
            <wp:extent cx="19685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-193675</wp:posOffset>
            </wp:positionV>
            <wp:extent cx="13716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1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26035</wp:posOffset>
            </wp:positionV>
            <wp:extent cx="45002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Holding Loss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20"/>
                <w:szCs w:val="20"/>
                <w:color w:val="auto"/>
              </w:rPr>
            </w:pPr>
          </w:p>
        </w:tc>
      </w:tr>
      <w:tr>
        <w:trPr>
          <w:trHeight w:val="247"/>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00" w:type="dxa"/>
            <w:vAlign w:val="bottom"/>
            <w:gridSpan w:val="4"/>
          </w:tcPr>
          <w:p>
            <w:pPr>
              <w:jc w:val="right"/>
              <w:ind w:right="380"/>
              <w:spacing w:after="0"/>
              <w:rPr>
                <w:sz w:val="20"/>
                <w:szCs w:val="20"/>
                <w:color w:val="auto"/>
              </w:rPr>
            </w:pPr>
            <w:r>
              <w:rPr>
                <w:rFonts w:ascii="Arial" w:cs="Arial" w:eastAsia="Arial" w:hAnsi="Arial"/>
                <w:sz w:val="16"/>
                <w:szCs w:val="16"/>
                <w:i w:val="1"/>
                <w:iCs w:val="1"/>
                <w:color w:val="auto"/>
                <w:w w:val="96"/>
              </w:rPr>
              <w:t>(Dollars in thousands)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6"/>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1,857,030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48,006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1,904,935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79.41 %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457,548</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(249 )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462,814</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19.29 %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30,285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1.26 %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2,344,174</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55,099</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2,398,923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Government agency/GSE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98,663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5,877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104,540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17.05 %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146,382</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153,994</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25.30 %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145,309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150,511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25.11 %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188,272</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6,980</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(74 )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195,178</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32.54 %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578,626</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25,703</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604,223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gridSpan w:val="3"/>
          </w:tcPr>
          <w:p>
            <w:pPr>
              <w:jc w:val="right"/>
              <w:ind w:right="89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-1727835</wp:posOffset>
            </wp:positionV>
            <wp:extent cx="21463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-1727835</wp:posOffset>
            </wp:positionV>
            <wp:extent cx="21463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-1727835</wp:posOffset>
            </wp:positionV>
            <wp:extent cx="21463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-1727835</wp:posOffset>
            </wp:positionV>
            <wp:extent cx="19685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-1727835</wp:posOffset>
            </wp:positionV>
            <wp:extent cx="13716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-716280</wp:posOffset>
            </wp:positionV>
            <wp:extent cx="21463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-716280</wp:posOffset>
            </wp:positionV>
            <wp:extent cx="21463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-716280</wp:posOffset>
            </wp:positionV>
            <wp:extent cx="21463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-716280</wp:posOffset>
            </wp:positionV>
            <wp:extent cx="1968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-716280</wp:posOffset>
            </wp:positionV>
            <wp:extent cx="13716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 w:name="page12"/>
    <w:bookmarkEnd w:id="11"/>
    <w:p>
      <w:pPr>
        <w:ind w:right="360" w:firstLine="401"/>
        <w:spacing w:after="0" w:line="293" w:lineRule="auto"/>
        <w:rPr>
          <w:sz w:val="20"/>
          <w:szCs w:val="20"/>
          <w:color w:val="auto"/>
        </w:rPr>
      </w:pPr>
      <w:r>
        <w:rPr>
          <w:rFonts w:ascii="Arial" w:cs="Arial" w:eastAsia="Arial" w:hAnsi="Arial"/>
          <w:sz w:val="18"/>
          <w:szCs w:val="18"/>
          <w:color w:val="auto"/>
        </w:rPr>
        <w:t>The following table provides information about the amount of interest income earned on investment securities which is fully taxable and which is exempt from regular federal income tax.</w:t>
      </w:r>
    </w:p>
    <w:p>
      <w:pPr>
        <w:spacing w:after="0" w:line="19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20"/>
                <w:szCs w:val="20"/>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63"/>
        </w:trPr>
        <w:tc>
          <w:tcPr>
            <w:tcW w:w="8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b w:val="1"/>
                <w:bCs w:val="1"/>
                <w:color w:val="auto"/>
                <w:w w:val="88"/>
              </w:rPr>
              <w:t>June 30,</w:t>
            </w:r>
          </w:p>
        </w:tc>
      </w:tr>
      <w:tr>
        <w:trPr>
          <w:trHeight w:val="243"/>
        </w:trPr>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8255</wp:posOffset>
            </wp:positionV>
            <wp:extent cx="3488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8" w:lineRule="exact"/>
        <w:rPr>
          <w:sz w:val="20"/>
          <w:szCs w:val="20"/>
          <w:color w:val="auto"/>
        </w:rPr>
      </w:pPr>
    </w:p>
    <w:p>
      <w:pPr>
        <w:ind w:left="7660"/>
        <w:spacing w:after="0"/>
        <w:rPr>
          <w:sz w:val="20"/>
          <w:szCs w:val="20"/>
          <w:color w:val="auto"/>
        </w:rPr>
      </w:pPr>
      <w:r>
        <w:rPr>
          <w:rFonts w:ascii="Arial" w:cs="Arial" w:eastAsia="Arial" w:hAnsi="Arial"/>
          <w:sz w:val="16"/>
          <w:szCs w:val="16"/>
          <w:i w:val="1"/>
          <w:iCs w:val="1"/>
          <w:color w:val="auto"/>
        </w:rPr>
        <w:t>(Dollars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40" w:type="dxa"/>
            <w:vAlign w:val="bottom"/>
          </w:tcPr>
          <w:p>
            <w:pPr>
              <w:ind w:left="280"/>
              <w:spacing w:after="0"/>
              <w:rPr>
                <w:sz w:val="20"/>
                <w:szCs w:val="20"/>
                <w:color w:val="auto"/>
              </w:rPr>
            </w:pPr>
            <w:r>
              <w:rPr>
                <w:rFonts w:ascii="Arial" w:cs="Arial" w:eastAsia="Arial" w:hAnsi="Arial"/>
                <w:sz w:val="18"/>
                <w:szCs w:val="18"/>
                <w:color w:val="auto"/>
              </w:rPr>
              <w:t>Taxable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9,226</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8,244</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18,194</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18,069</w:t>
            </w:r>
          </w:p>
        </w:tc>
        <w:tc>
          <w:tcPr>
            <w:tcW w:w="100" w:type="dxa"/>
            <w:vAlign w:val="bottom"/>
          </w:tcPr>
          <w:p>
            <w:pPr>
              <w:spacing w:after="0"/>
              <w:rPr>
                <w:sz w:val="21"/>
                <w:szCs w:val="21"/>
                <w:color w:val="auto"/>
              </w:rPr>
            </w:pPr>
          </w:p>
        </w:tc>
      </w:tr>
      <w:tr>
        <w:trPr>
          <w:trHeight w:val="263"/>
        </w:trPr>
        <w:tc>
          <w:tcPr>
            <w:tcW w:w="5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Tax-advantaged</w:t>
            </w: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40" w:type="dxa"/>
            <w:vAlign w:val="bottom"/>
          </w:tcPr>
          <w:p>
            <w:pPr>
              <w:ind w:left="400"/>
              <w:spacing w:after="0"/>
              <w:rPr>
                <w:sz w:val="20"/>
                <w:szCs w:val="20"/>
                <w:color w:val="auto"/>
              </w:rPr>
            </w:pPr>
            <w:r>
              <w:rPr>
                <w:rFonts w:ascii="Arial" w:cs="Arial" w:eastAsia="Arial" w:hAnsi="Arial"/>
                <w:sz w:val="18"/>
                <w:szCs w:val="18"/>
                <w:color w:val="auto"/>
              </w:rPr>
              <w:t>Total interest income from available-for-sale securities</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18,569</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tcPr>
          <w:p>
            <w:pPr>
              <w:spacing w:after="0"/>
              <w:rPr>
                <w:sz w:val="21"/>
                <w:szCs w:val="21"/>
                <w:color w:val="auto"/>
              </w:rPr>
            </w:pPr>
          </w:p>
        </w:tc>
      </w:tr>
      <w:tr>
        <w:trPr>
          <w:trHeight w:val="25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640" w:type="dxa"/>
            <w:vAlign w:val="bottom"/>
          </w:tcPr>
          <w:p>
            <w:pPr>
              <w:ind w:left="280"/>
              <w:spacing w:after="0"/>
              <w:rPr>
                <w:sz w:val="20"/>
                <w:szCs w:val="20"/>
                <w:color w:val="auto"/>
              </w:rPr>
            </w:pPr>
            <w:r>
              <w:rPr>
                <w:rFonts w:ascii="Arial" w:cs="Arial" w:eastAsia="Arial" w:hAnsi="Arial"/>
                <w:sz w:val="18"/>
                <w:szCs w:val="18"/>
                <w:color w:val="auto"/>
              </w:rPr>
              <w:t>Taxable</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4,007</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2,447</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6,818</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r>
      <w:tr>
        <w:trPr>
          <w:trHeight w:val="263"/>
        </w:trPr>
        <w:tc>
          <w:tcPr>
            <w:tcW w:w="5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Tax-advantaged</w:t>
            </w: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3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3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40" w:type="dxa"/>
            <w:vAlign w:val="bottom"/>
          </w:tcPr>
          <w:p>
            <w:pPr>
              <w:ind w:left="400"/>
              <w:spacing w:after="0"/>
              <w:rPr>
                <w:sz w:val="20"/>
                <w:szCs w:val="20"/>
                <w:color w:val="auto"/>
              </w:rPr>
            </w:pPr>
            <w:r>
              <w:rPr>
                <w:rFonts w:ascii="Arial" w:cs="Arial" w:eastAsia="Arial" w:hAnsi="Arial"/>
                <w:sz w:val="18"/>
                <w:szCs w:val="18"/>
                <w:color w:val="auto"/>
              </w:rPr>
              <w:t>Total interest income from held-to-maturity securities</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r>
      <w:tr>
        <w:trPr>
          <w:trHeight w:val="290"/>
        </w:trPr>
        <w:tc>
          <w:tcPr>
            <w:tcW w:w="564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Total interest income from investment securities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12,109</w:t>
            </w:r>
          </w:p>
        </w:tc>
        <w:tc>
          <w:tcPr>
            <w:tcW w:w="3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27,639</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-1033780</wp:posOffset>
            </wp:positionV>
            <wp:extent cx="19685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-1033780</wp:posOffset>
            </wp:positionV>
            <wp:extent cx="2311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-1033780</wp:posOffset>
            </wp:positionV>
            <wp:extent cx="1803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-365125</wp:posOffset>
            </wp:positionV>
            <wp:extent cx="19685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-365125</wp:posOffset>
            </wp:positionV>
            <wp:extent cx="2311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-365125</wp:posOffset>
            </wp:positionV>
            <wp:extent cx="1803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196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1968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2311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2311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1803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1803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140" w:firstLine="405"/>
        <w:spacing w:after="0" w:line="319" w:lineRule="auto"/>
        <w:rPr>
          <w:sz w:val="20"/>
          <w:szCs w:val="20"/>
          <w:color w:val="auto"/>
        </w:rPr>
      </w:pPr>
      <w:r>
        <w:rPr>
          <w:rFonts w:ascii="Arial" w:cs="Arial" w:eastAsia="Arial" w:hAnsi="Arial"/>
          <w:sz w:val="16"/>
          <w:szCs w:val="16"/>
          <w:color w:val="auto"/>
        </w:rPr>
        <w:t>The adoption of CECL did not and continues to not have a material impact on the accounting for investment securities, as approximately 94% of the total investment securities portfolio at June 30, 2021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new CECL model was zero at June 30, 2021 and December 31, 2020.</w:t>
      </w:r>
    </w:p>
    <w:p>
      <w:pPr>
        <w:spacing w:after="0" w:line="169" w:lineRule="exact"/>
        <w:rPr>
          <w:sz w:val="20"/>
          <w:szCs w:val="20"/>
          <w:color w:val="auto"/>
        </w:rPr>
      </w:pPr>
    </w:p>
    <w:p>
      <w:pPr>
        <w:jc w:val="both"/>
        <w:ind w:right="600" w:firstLine="405"/>
        <w:spacing w:after="0" w:line="279" w:lineRule="auto"/>
        <w:rPr>
          <w:sz w:val="20"/>
          <w:szCs w:val="20"/>
          <w:color w:val="auto"/>
        </w:rPr>
      </w:pPr>
      <w:r>
        <w:rPr>
          <w:rFonts w:ascii="Arial" w:cs="Arial" w:eastAsia="Arial" w:hAnsi="Arial"/>
          <w:sz w:val="18"/>
          <w:szCs w:val="18"/>
          <w:color w:val="auto"/>
        </w:rPr>
        <w:t>We adopted ASU 2016-13 on January 1, 2020, on a modified retrospective basis. Under this ASU, once it is determined that a credit loss has occurred, an allowance for credit losses is established on our AFS and HTM securities. Management determined that there were no credit losses for securities in an unrealized loss position as of June 30, 2021 and December 31, 2020.</w:t>
      </w:r>
    </w:p>
    <w:p>
      <w:pPr>
        <w:spacing w:after="0" w:line="196" w:lineRule="exact"/>
        <w:rPr>
          <w:sz w:val="20"/>
          <w:szCs w:val="20"/>
          <w:color w:val="auto"/>
        </w:rPr>
      </w:pPr>
    </w:p>
    <w:p>
      <w:pPr>
        <w:ind w:right="100" w:firstLine="401"/>
        <w:spacing w:after="0" w:line="293"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June 30,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auto"/>
                <w:w w:val="90"/>
              </w:rPr>
              <w:t>June 30, 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9"/>
                <w:szCs w:val="19"/>
                <w:color w:val="auto"/>
              </w:rPr>
            </w:pPr>
          </w:p>
        </w:tc>
        <w:tc>
          <w:tcPr>
            <w:tcW w:w="20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12 Months or Longer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r>
      <w:tr>
        <w:trPr>
          <w:trHeight w:val="220"/>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tcPr>
          <w:p>
            <w:pPr>
              <w:jc w:val="center"/>
              <w:ind w:right="19"/>
              <w:spacing w:after="0"/>
              <w:rPr>
                <w:sz w:val="20"/>
                <w:szCs w:val="20"/>
                <w:color w:val="auto"/>
              </w:rPr>
            </w:pPr>
            <w:r>
              <w:rPr>
                <w:rFonts w:ascii="Arial" w:cs="Arial" w:eastAsia="Arial" w:hAnsi="Arial"/>
                <w:sz w:val="16"/>
                <w:szCs w:val="16"/>
                <w:i w:val="1"/>
                <w:iCs w:val="1"/>
                <w:color w:val="auto"/>
                <w:w w:val="93"/>
              </w:rPr>
              <w:t>(Dollars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6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1,134,903</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(10,886 )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1,134,903</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(10,886 )</w:t>
            </w:r>
          </w:p>
        </w:tc>
      </w:tr>
      <w:tr>
        <w:trPr>
          <w:trHeight w:val="239"/>
        </w:trPr>
        <w:tc>
          <w:tcPr>
            <w:tcW w:w="35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486,494</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(5,348 )</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486,494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(5,348 )</w:t>
            </w:r>
          </w:p>
        </w:tc>
      </w:tr>
      <w:tr>
        <w:trPr>
          <w:trHeight w:val="226"/>
        </w:trPr>
        <w:tc>
          <w:tcPr>
            <w:tcW w:w="356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46"/>
        </w:trPr>
        <w:tc>
          <w:tcPr>
            <w:tcW w:w="35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1,621,397</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(16,234 )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1,621,397</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(16,234 )</w:t>
            </w: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33"/>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auto"/>
                <w:w w:val="90"/>
              </w:rPr>
              <w:t>December 31, 2020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9"/>
                <w:szCs w:val="19"/>
                <w:color w:val="auto"/>
              </w:rPr>
            </w:pPr>
          </w:p>
        </w:tc>
        <w:tc>
          <w:tcPr>
            <w:tcW w:w="20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12 Months or Longer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r>
      <w:tr>
        <w:trPr>
          <w:trHeight w:val="220"/>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tcPr>
          <w:p>
            <w:pPr>
              <w:jc w:val="center"/>
              <w:ind w:right="19"/>
              <w:spacing w:after="0"/>
              <w:rPr>
                <w:sz w:val="20"/>
                <w:szCs w:val="20"/>
                <w:color w:val="auto"/>
              </w:rPr>
            </w:pPr>
            <w:r>
              <w:rPr>
                <w:rFonts w:ascii="Arial" w:cs="Arial" w:eastAsia="Arial" w:hAnsi="Arial"/>
                <w:sz w:val="16"/>
                <w:szCs w:val="16"/>
                <w:i w:val="1"/>
                <w:iCs w:val="1"/>
                <w:color w:val="auto"/>
                <w:w w:val="93"/>
              </w:rPr>
              <w:t>(Dollars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6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72,219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(101 )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72,219</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(101 )</w:t>
            </w:r>
          </w:p>
        </w:tc>
      </w:tr>
      <w:tr>
        <w:trPr>
          <w:trHeight w:val="239"/>
        </w:trPr>
        <w:tc>
          <w:tcPr>
            <w:tcW w:w="35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96,974</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(249 )</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96,974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(249 )</w:t>
            </w:r>
          </w:p>
        </w:tc>
      </w:tr>
      <w:tr>
        <w:trPr>
          <w:trHeight w:val="227"/>
        </w:trPr>
        <w:tc>
          <w:tcPr>
            <w:tcW w:w="356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46"/>
        </w:trPr>
        <w:tc>
          <w:tcPr>
            <w:tcW w:w="35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169,193</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169,193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(350 )</w:t>
            </w: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-1927860</wp:posOffset>
            </wp:positionV>
            <wp:extent cx="2057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-1910715</wp:posOffset>
            </wp:positionV>
            <wp:extent cx="2057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-1927860</wp:posOffset>
            </wp:positionV>
            <wp:extent cx="1968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-1910715</wp:posOffset>
            </wp:positionV>
            <wp:extent cx="1968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-1927860</wp:posOffset>
            </wp:positionV>
            <wp:extent cx="1885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-1910715</wp:posOffset>
            </wp:positionV>
            <wp:extent cx="1885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-1927860</wp:posOffset>
            </wp:positionV>
            <wp:extent cx="188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-1910715</wp:posOffset>
            </wp:positionV>
            <wp:extent cx="1885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-1927860</wp:posOffset>
            </wp:positionV>
            <wp:extent cx="1885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-1910715</wp:posOffset>
            </wp:positionV>
            <wp:extent cx="1885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2057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2057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1968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1968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1885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1885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188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1885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1885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1885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 w:name="page13"/>
    <w:bookmarkEnd w:id="12"/>
    <w:p>
      <w:pPr>
        <w:ind w:right="940" w:firstLine="405"/>
        <w:spacing w:after="0" w:line="359" w:lineRule="auto"/>
        <w:rPr>
          <w:sz w:val="20"/>
          <w:szCs w:val="20"/>
          <w:color w:val="auto"/>
        </w:rPr>
      </w:pPr>
      <w:r>
        <w:rPr>
          <w:rFonts w:ascii="Arial" w:cs="Arial" w:eastAsia="Arial" w:hAnsi="Arial"/>
          <w:sz w:val="16"/>
          <w:szCs w:val="16"/>
          <w:color w:val="auto"/>
        </w:rPr>
        <w:t>At June 30, 2021 and December 31, 2020, investment securities having a carrying value of approximately $2.11 billion and $1.81 billion, respectively, were pledged to secure public deposits, short and long-term borrowings, and for other purposes as required or permitted by law.</w:t>
      </w:r>
    </w:p>
    <w:p>
      <w:pPr>
        <w:spacing w:after="0" w:line="138" w:lineRule="exact"/>
        <w:rPr>
          <w:sz w:val="20"/>
          <w:szCs w:val="20"/>
          <w:color w:val="auto"/>
        </w:rPr>
      </w:pPr>
    </w:p>
    <w:p>
      <w:pPr>
        <w:ind w:right="360" w:firstLine="401"/>
        <w:spacing w:after="0" w:line="319" w:lineRule="auto"/>
        <w:rPr>
          <w:sz w:val="20"/>
          <w:szCs w:val="20"/>
          <w:color w:val="auto"/>
        </w:rPr>
      </w:pPr>
      <w:r>
        <w:rPr>
          <w:rFonts w:ascii="Arial" w:cs="Arial" w:eastAsia="Arial" w:hAnsi="Arial"/>
          <w:sz w:val="16"/>
          <w:szCs w:val="16"/>
          <w:color w:val="auto"/>
        </w:rPr>
        <w:t>The amortized cost and fair value of debt securities at June 30, 2021, by contractual maturity, are shown in the table below. Although mortgage-backed and CMO/REMIC securities have weighted average remaining contractual maturities of approximately 20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in one year or less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Due after one year through five years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Due after five years through ten years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ten years</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36861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Available-for-sale</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Held-to-maturity</w:t>
            </w:r>
          </w:p>
        </w:tc>
      </w:tr>
      <w:tr>
        <w:trPr>
          <w:trHeight w:val="196"/>
        </w:trPr>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Amortized Cost</w:t>
            </w: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Amortized Cost</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648"/>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39,963</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40,364</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1,360</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1,365</w:t>
            </w:r>
          </w:p>
        </w:tc>
      </w:tr>
      <w:tr>
        <w:trPr>
          <w:trHeight w:val="203"/>
        </w:trPr>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1,718,199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1,744,873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235,798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243,918</w:t>
            </w:r>
          </w:p>
        </w:tc>
      </w:tr>
      <w:tr>
        <w:trPr>
          <w:trHeight w:val="203"/>
        </w:trPr>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1,045,295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1,042,337</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152,170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154,121</w:t>
            </w:r>
          </w:p>
        </w:tc>
      </w:tr>
      <w:tr>
        <w:trPr>
          <w:trHeight w:val="209"/>
        </w:trPr>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105,289</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104,447</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647,596</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656,119</w:t>
            </w:r>
          </w:p>
        </w:tc>
      </w:tr>
      <w:tr>
        <w:trPr>
          <w:trHeight w:val="196"/>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2,908,746</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2,932,021</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1,036,924</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1,055,523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-676910</wp:posOffset>
            </wp:positionV>
            <wp:extent cx="71323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-419735</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-153670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920"/>
          </w:cols>
          <w:pgMar w:left="320" w:top="409" w:right="339" w:bottom="1440" w:gutter="0" w:footer="0" w:header="0"/>
          <w:type w:val="continuous"/>
        </w:sectPr>
      </w:pPr>
    </w:p>
    <w:p>
      <w:pPr>
        <w:spacing w:after="0" w:line="29" w:lineRule="exact"/>
        <w:rPr>
          <w:sz w:val="20"/>
          <w:szCs w:val="20"/>
          <w:color w:val="auto"/>
        </w:rPr>
      </w:pPr>
    </w:p>
    <w:p>
      <w:pPr>
        <w:ind w:right="460" w:firstLine="405"/>
        <w:spacing w:after="0" w:line="293" w:lineRule="auto"/>
        <w:rPr>
          <w:sz w:val="20"/>
          <w:szCs w:val="20"/>
          <w:color w:val="auto"/>
        </w:rPr>
      </w:pPr>
      <w:r>
        <w:rPr>
          <w:rFonts w:ascii="Arial" w:cs="Arial" w:eastAsia="Arial" w:hAnsi="Arial"/>
          <w:sz w:val="18"/>
          <w:szCs w:val="18"/>
          <w:color w:val="auto"/>
        </w:rPr>
        <w:t>The investment in FHLB stock is periodically evaluated for impairment based on, among other things, the capital adequacy of the FHLB and its overall financial condition. No impairment losses have been recorded through June 30, 2021.</w:t>
      </w:r>
    </w:p>
    <w:p>
      <w:pPr>
        <w:spacing w:after="0" w:line="355" w:lineRule="exact"/>
        <w:rPr>
          <w:sz w:val="20"/>
          <w:szCs w:val="20"/>
          <w:color w:val="auto"/>
        </w:rPr>
      </w:pPr>
    </w:p>
    <w:p>
      <w:pPr>
        <w:ind w:left="400" w:right="3500" w:hanging="392"/>
        <w:spacing w:after="0" w:line="571" w:lineRule="auto"/>
        <w:tabs>
          <w:tab w:leader="none" w:pos="31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LOANS AND LEASE FINANCE RECEIVABLES AND ALLOWANCE FOR CREDIT LOSSES </w:t>
      </w:r>
      <w:r>
        <w:rPr>
          <w:rFonts w:ascii="Arial" w:cs="Arial" w:eastAsia="Arial" w:hAnsi="Arial"/>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June 30, 2021</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 2020</w:t>
            </w:r>
          </w:p>
        </w:tc>
        <w:tc>
          <w:tcPr>
            <w:tcW w:w="100" w:type="dxa"/>
            <w:vAlign w:val="bottom"/>
          </w:tcPr>
          <w:p>
            <w:pPr>
              <w:spacing w:after="0"/>
              <w:rPr>
                <w:sz w:val="20"/>
                <w:szCs w:val="20"/>
                <w:color w:val="auto"/>
              </w:rPr>
            </w:pPr>
          </w:p>
        </w:tc>
      </w:tr>
      <w:tr>
        <w:trPr>
          <w:trHeight w:val="237"/>
        </w:trPr>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gridSpan w:val="5"/>
          </w:tcPr>
          <w:p>
            <w:pPr>
              <w:jc w:val="right"/>
              <w:ind w:right="1480"/>
              <w:spacing w:after="0"/>
              <w:rPr>
                <w:sz w:val="20"/>
                <w:szCs w:val="20"/>
                <w:color w:val="auto"/>
              </w:rPr>
            </w:pPr>
            <w:r>
              <w:rPr>
                <w:rFonts w:ascii="Arial" w:cs="Arial" w:eastAsia="Arial" w:hAnsi="Arial"/>
                <w:sz w:val="16"/>
                <w:szCs w:val="16"/>
                <w:i w:val="1"/>
                <w:iCs w:val="1"/>
                <w:color w:val="auto"/>
              </w:rPr>
              <w:t>(Dollars in thousands)</w:t>
            </w:r>
          </w:p>
        </w:tc>
      </w:tr>
      <w:tr>
        <w:trPr>
          <w:trHeight w:val="276"/>
        </w:trPr>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5,670,696</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5,501,509</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88,280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85,145</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28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291,778</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303,896</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SBA - Paycheck Protection Program (PPP)</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657,815</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882,986</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749,117</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812,062</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257,781</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361,146</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28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44,657</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237,124</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270,511</w:t>
            </w:r>
          </w:p>
        </w:tc>
        <w:tc>
          <w:tcPr>
            <w:tcW w:w="100" w:type="dxa"/>
            <w:vAlign w:val="bottom"/>
          </w:tcPr>
          <w:p>
            <w:pPr>
              <w:spacing w:after="0"/>
              <w:rPr>
                <w:sz w:val="21"/>
                <w:szCs w:val="21"/>
                <w:color w:val="auto"/>
              </w:rPr>
            </w:pPr>
          </w:p>
        </w:tc>
      </w:tr>
      <w:tr>
        <w:trPr>
          <w:trHeight w:val="263"/>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280" w:type="dxa"/>
            <w:vAlign w:val="bottom"/>
            <w:tcBorders>
              <w:bottom w:val="single" w:sz="8" w:color="auto"/>
            </w:tcBorders>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74,062</w:t>
            </w:r>
          </w:p>
        </w:tc>
        <w:tc>
          <w:tcPr>
            <w:tcW w:w="4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6900" w:type="dxa"/>
            <w:vAlign w:val="bottom"/>
          </w:tcPr>
          <w:p>
            <w:pPr>
              <w:ind w:left="400"/>
              <w:spacing w:after="0"/>
              <w:rPr>
                <w:sz w:val="20"/>
                <w:szCs w:val="20"/>
                <w:color w:val="auto"/>
              </w:rPr>
            </w:pPr>
            <w:r>
              <w:rPr>
                <w:rFonts w:ascii="Arial" w:cs="Arial" w:eastAsia="Arial" w:hAnsi="Arial"/>
                <w:sz w:val="18"/>
                <w:szCs w:val="18"/>
                <w:color w:val="auto"/>
              </w:rPr>
              <w:t>Total loans, at amortized cost</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8,071,310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Allowance for credit losses</w:t>
            </w:r>
          </w:p>
        </w:tc>
        <w:tc>
          <w:tcPr>
            <w:tcW w:w="280" w:type="dxa"/>
            <w:vAlign w:val="bottom"/>
            <w:shd w:val="clear" w:color="auto" w:fill="CFF0FC"/>
          </w:tcPr>
          <w:p>
            <w:pPr>
              <w:spacing w:after="0"/>
              <w:rPr>
                <w:sz w:val="22"/>
                <w:szCs w:val="22"/>
                <w:color w:val="auto"/>
              </w:rPr>
            </w:pPr>
          </w:p>
        </w:tc>
        <w:tc>
          <w:tcPr>
            <w:tcW w:w="20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(69,342 )</w:t>
            </w:r>
          </w:p>
        </w:tc>
        <w:tc>
          <w:tcPr>
            <w:tcW w:w="16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(93,692 )</w:t>
            </w:r>
          </w:p>
        </w:tc>
      </w:tr>
      <w:tr>
        <w:trPr>
          <w:trHeight w:val="250"/>
        </w:trPr>
        <w:tc>
          <w:tcPr>
            <w:tcW w:w="690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loans and lease finance receivables,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8,001,968</w:t>
            </w:r>
          </w:p>
        </w:tc>
        <w:tc>
          <w:tcPr>
            <w:tcW w:w="4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-527685</wp:posOffset>
            </wp:positionV>
            <wp:extent cx="26543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-193675</wp:posOffset>
            </wp:positionV>
            <wp:extent cx="26543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As of June 30, 2021, 74.29% of the Company’s total loan portfolio consisted of real estate loans, with commercial real estate loans representing</w:t>
      </w:r>
    </w:p>
    <w:p>
      <w:pPr>
        <w:spacing w:after="0" w:line="35"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70.26% of total loans. Substantially all of the Company’s real estate loans and construction loans are secured by real properties located in California. As of June 30, 2021, $348.0 million, or 6.14% of the total commercial real estate loans included loans secured by farmland, compared to $314.4 million, or</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5.72%, at December 31, 2020. The loans secured by farmland included $126.2 million for loans secured by dairy &amp; livestock land and $221.8 million for loans secured by agricultural land at June 30, 2021, compared to $132.9 million for loans secured by dairy &amp; livestock land and $181.5 million for loans secured by agricultural land at December 31, 2020. As of June 30, 2021, dairy &amp; livestock and agribusiness loans of $257.8 million were comprised of $220.4 million for dairy &amp; livestock loans and $37.4 million for agribusiness loans, compared to $320.1 million for dairy &amp; livestock loans and $41.0 million for agribusiness loans at December 31, 2020.</w:t>
      </w:r>
    </w:p>
    <w:p>
      <w:pPr>
        <w:spacing w:after="0" w:line="203" w:lineRule="exact"/>
        <w:rPr>
          <w:sz w:val="20"/>
          <w:szCs w:val="20"/>
          <w:color w:val="auto"/>
        </w:rPr>
      </w:pPr>
    </w:p>
    <w:p>
      <w:pPr>
        <w:ind w:right="420" w:firstLine="405"/>
        <w:spacing w:after="0" w:line="293" w:lineRule="auto"/>
        <w:rPr>
          <w:sz w:val="20"/>
          <w:szCs w:val="20"/>
          <w:color w:val="auto"/>
        </w:rPr>
      </w:pPr>
      <w:r>
        <w:rPr>
          <w:rFonts w:ascii="Arial" w:cs="Arial" w:eastAsia="Arial" w:hAnsi="Arial"/>
          <w:sz w:val="18"/>
          <w:szCs w:val="18"/>
          <w:color w:val="auto"/>
        </w:rPr>
        <w:t>At June 30, 2021 and December 31, 2020, loans totaling $6.13 billion and $6.07 billion, respectively, were pledged to secure the borrowings and available lines of credit from the FHLB and the Federal Reserve Bank.</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outstanding loans held-for-sale as of June 30, 2021 and December 31, 2020.</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252" w:lineRule="exact"/>
        <w:rPr>
          <w:sz w:val="20"/>
          <w:szCs w:val="20"/>
          <w:color w:val="auto"/>
        </w:rPr>
      </w:pPr>
    </w:p>
    <w:p>
      <w:pPr>
        <w:ind w:right="160" w:firstLine="405"/>
        <w:spacing w:after="0" w:line="359" w:lineRule="auto"/>
        <w:rPr>
          <w:sz w:val="20"/>
          <w:szCs w:val="20"/>
          <w:color w:val="auto"/>
        </w:rPr>
      </w:pPr>
      <w:r>
        <w:rPr>
          <w:rFonts w:ascii="Arial" w:cs="Arial" w:eastAsia="Arial" w:hAnsi="Arial"/>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38" w:lineRule="exact"/>
        <w:rPr>
          <w:sz w:val="20"/>
          <w:szCs w:val="20"/>
          <w:color w:val="auto"/>
        </w:rPr>
      </w:pPr>
    </w:p>
    <w:p>
      <w:pPr>
        <w:ind w:firstLine="405"/>
        <w:spacing w:after="0" w:line="272" w:lineRule="auto"/>
        <w:rPr>
          <w:sz w:val="20"/>
          <w:szCs w:val="20"/>
          <w:color w:val="auto"/>
        </w:rPr>
      </w:pPr>
      <w:r>
        <w:rPr>
          <w:rFonts w:ascii="Arial" w:cs="Arial" w:eastAsia="Arial" w:hAnsi="Arial"/>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204" w:lineRule="exact"/>
        <w:rPr>
          <w:sz w:val="20"/>
          <w:szCs w:val="20"/>
          <w:color w:val="auto"/>
        </w:rPr>
      </w:pPr>
    </w:p>
    <w:p>
      <w:pPr>
        <w:ind w:right="260" w:firstLine="405"/>
        <w:spacing w:after="0" w:line="359" w:lineRule="auto"/>
        <w:rPr>
          <w:sz w:val="20"/>
          <w:szCs w:val="20"/>
          <w:color w:val="auto"/>
        </w:rPr>
      </w:pPr>
      <w:r>
        <w:rPr>
          <w:rFonts w:ascii="Arial" w:cs="Arial" w:eastAsia="Arial" w:hAnsi="Arial"/>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38" w:lineRule="exact"/>
        <w:rPr>
          <w:sz w:val="20"/>
          <w:szCs w:val="20"/>
          <w:color w:val="auto"/>
        </w:rPr>
      </w:pPr>
    </w:p>
    <w:p>
      <w:pPr>
        <w:ind w:right="80" w:firstLine="405"/>
        <w:spacing w:after="0" w:line="275" w:lineRule="auto"/>
        <w:rPr>
          <w:sz w:val="20"/>
          <w:szCs w:val="20"/>
          <w:color w:val="auto"/>
        </w:rPr>
      </w:pPr>
      <w:r>
        <w:rPr>
          <w:rFonts w:ascii="Arial" w:cs="Arial" w:eastAsia="Arial" w:hAnsi="Arial"/>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99" w:lineRule="exact"/>
        <w:rPr>
          <w:sz w:val="20"/>
          <w:szCs w:val="20"/>
          <w:color w:val="auto"/>
        </w:rPr>
      </w:pPr>
    </w:p>
    <w:p>
      <w:pPr>
        <w:jc w:val="both"/>
        <w:ind w:right="160" w:firstLine="405"/>
        <w:spacing w:after="0" w:line="329"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61" w:lineRule="exact"/>
        <w:rPr>
          <w:sz w:val="20"/>
          <w:szCs w:val="20"/>
          <w:color w:val="auto"/>
        </w:rPr>
      </w:pPr>
    </w:p>
    <w:p>
      <w:pPr>
        <w:ind w:right="220" w:firstLine="405"/>
        <w:spacing w:after="0" w:line="303" w:lineRule="auto"/>
        <w:rPr>
          <w:sz w:val="20"/>
          <w:szCs w:val="20"/>
          <w:color w:val="auto"/>
        </w:rPr>
      </w:pPr>
      <w:r>
        <w:rPr>
          <w:rFonts w:ascii="Arial" w:cs="Arial" w:eastAsia="Arial" w:hAnsi="Arial"/>
          <w:sz w:val="17"/>
          <w:szCs w:val="17"/>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8" w:lineRule="exact"/>
        <w:rPr>
          <w:sz w:val="20"/>
          <w:szCs w:val="20"/>
          <w:color w:val="auto"/>
        </w:rPr>
      </w:pPr>
    </w:p>
    <w:p>
      <w:pPr>
        <w:ind w:right="240" w:firstLine="405"/>
        <w:spacing w:after="0" w:line="359" w:lineRule="auto"/>
        <w:rPr>
          <w:sz w:val="20"/>
          <w:szCs w:val="20"/>
          <w:color w:val="auto"/>
        </w:rPr>
      </w:pPr>
      <w:r>
        <w:rPr>
          <w:rFonts w:ascii="Arial" w:cs="Arial" w:eastAsia="Arial" w:hAnsi="Arial"/>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3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400"/>
        <w:spacing w:after="0"/>
        <w:rPr>
          <w:sz w:val="20"/>
          <w:szCs w:val="20"/>
          <w:color w:val="auto"/>
        </w:rPr>
      </w:pPr>
      <w:r>
        <w:rPr>
          <w:rFonts w:ascii="Arial" w:cs="Arial" w:eastAsia="Arial" w:hAnsi="Arial"/>
          <w:sz w:val="18"/>
          <w:szCs w:val="18"/>
          <w:color w:val="auto"/>
        </w:rPr>
        <w:t>The following table summarizes loans by type and origination year, according to our internal risk ratings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83"/>
              </w:rPr>
              <w:t>Revolving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Origination Year</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loans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Revolving loans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converted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1"/>
              </w:rPr>
              <w:t>cost basis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term loans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gridSpan w:val="7"/>
          </w:tcPr>
          <w:p>
            <w:pPr>
              <w:jc w:val="right"/>
              <w:ind w:right="37"/>
              <w:spacing w:after="0"/>
              <w:rPr>
                <w:sz w:val="20"/>
                <w:szCs w:val="20"/>
                <w:color w:val="auto"/>
              </w:rPr>
            </w:pPr>
            <w:r>
              <w:rPr>
                <w:rFonts w:ascii="Arial" w:cs="Arial" w:eastAsia="Arial" w:hAnsi="Arial"/>
                <w:sz w:val="13"/>
                <w:szCs w:val="13"/>
                <w:i w:val="1"/>
                <w:iCs w:val="1"/>
                <w:color w:val="auto"/>
                <w:w w:val="93"/>
              </w:rPr>
              <w:t>(Dollars 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jc w:val="right"/>
              <w:ind w:right="1157"/>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590,633</w:t>
            </w:r>
          </w:p>
        </w:tc>
        <w:tc>
          <w:tcPr>
            <w:tcW w:w="400" w:type="dxa"/>
            <w:vAlign w:val="bottom"/>
            <w:gridSpan w:val="3"/>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983,583</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643,212</w:t>
            </w:r>
          </w:p>
        </w:tc>
        <w:tc>
          <w:tcPr>
            <w:tcW w:w="440" w:type="dxa"/>
            <w:vAlign w:val="bottom"/>
            <w:gridSpan w:val="3"/>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569,056</w:t>
            </w:r>
          </w:p>
        </w:tc>
        <w:tc>
          <w:tcPr>
            <w:tcW w:w="34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536,282</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1,918,411</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179,984</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36,916</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5,458,077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9,178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29,047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48,258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67,790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16,348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194,720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9,600</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real</w:t>
            </w: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603,433</w:t>
            </w:r>
          </w:p>
        </w:tc>
        <w:tc>
          <w:tcPr>
            <w:tcW w:w="40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992,761</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652,848</w:t>
            </w:r>
          </w:p>
        </w:tc>
        <w:tc>
          <w:tcPr>
            <w:tcW w:w="440" w:type="dxa"/>
            <w:vAlign w:val="bottom"/>
            <w:gridSpan w:val="3"/>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598,103</w:t>
            </w:r>
          </w:p>
        </w:tc>
        <w:tc>
          <w:tcPr>
            <w:tcW w:w="34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589,597</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1,995,801</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184,568</w:t>
            </w:r>
          </w:p>
        </w:tc>
        <w:tc>
          <w:tcPr>
            <w:tcW w:w="300" w:type="dxa"/>
            <w:vAlign w:val="bottom"/>
            <w:gridSpan w:val="3"/>
            <w:vMerge w:val="restart"/>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53,585</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5,670,696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shd w:val="clear" w:color="auto" w:fill="CFF0FC"/>
          </w:tcPr>
          <w:p>
            <w:pPr>
              <w:jc w:val="right"/>
              <w:ind w:right="1157"/>
              <w:spacing w:after="0"/>
              <w:rPr>
                <w:sz w:val="20"/>
                <w:szCs w:val="20"/>
                <w:color w:val="auto"/>
              </w:rPr>
            </w:pPr>
            <w:r>
              <w:rPr>
                <w:rFonts w:ascii="Arial" w:cs="Arial" w:eastAsia="Arial" w:hAnsi="Arial"/>
                <w:sz w:val="13"/>
                <w:szCs w:val="13"/>
                <w:b w:val="1"/>
                <w:bCs w:val="1"/>
                <w:color w:val="auto"/>
                <w:w w:val="95"/>
              </w:rPr>
              <w:t>estate loans:</w:t>
            </w:r>
          </w:p>
        </w:tc>
        <w:tc>
          <w:tcPr>
            <w:tcW w:w="20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jc w:val="right"/>
              <w:ind w:right="1157"/>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3,707</w:t>
            </w:r>
          </w:p>
        </w:tc>
        <w:tc>
          <w:tcPr>
            <w:tcW w:w="400" w:type="dxa"/>
            <w:vAlign w:val="bottom"/>
            <w:gridSpan w:val="3"/>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17,859</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6,993</w:t>
            </w:r>
          </w:p>
        </w:tc>
        <w:tc>
          <w:tcPr>
            <w:tcW w:w="440" w:type="dxa"/>
            <w:vAlign w:val="bottom"/>
            <w:gridSpan w:val="3"/>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3,038</w:t>
            </w:r>
          </w:p>
        </w:tc>
        <w:tc>
          <w:tcPr>
            <w:tcW w:w="34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47,207</w:t>
            </w:r>
          </w:p>
        </w:tc>
        <w:tc>
          <w:tcPr>
            <w:tcW w:w="300" w:type="dxa"/>
            <w:vAlign w:val="bottom"/>
            <w:gridSpan w:val="3"/>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78,804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7,793</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Construction</w:t>
            </w: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3,707</w:t>
            </w:r>
          </w:p>
        </w:tc>
        <w:tc>
          <w:tcPr>
            <w:tcW w:w="400" w:type="dxa"/>
            <w:vAlign w:val="bottom"/>
            <w:gridSpan w:val="3"/>
            <w:vMerge w:val="restart"/>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17,859</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6,993</w:t>
            </w:r>
          </w:p>
        </w:tc>
        <w:tc>
          <w:tcPr>
            <w:tcW w:w="440" w:type="dxa"/>
            <w:vAlign w:val="bottom"/>
            <w:gridSpan w:val="3"/>
            <w:vMerge w:val="restart"/>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10,831</w:t>
            </w:r>
          </w:p>
        </w:tc>
        <w:tc>
          <w:tcPr>
            <w:tcW w:w="34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48,890</w:t>
            </w:r>
          </w:p>
        </w:tc>
        <w:tc>
          <w:tcPr>
            <w:tcW w:w="300" w:type="dxa"/>
            <w:vAlign w:val="bottom"/>
            <w:gridSpan w:val="3"/>
            <w:vMerge w:val="restart"/>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88,280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SBA loans:</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0" w:type="dxa"/>
            <w:vAlign w:val="bottom"/>
          </w:tcPr>
          <w:p>
            <w:pPr>
              <w:jc w:val="right"/>
              <w:ind w:right="1157"/>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34,423</w:t>
            </w:r>
          </w:p>
        </w:tc>
        <w:tc>
          <w:tcPr>
            <w:tcW w:w="400" w:type="dxa"/>
            <w:vAlign w:val="bottom"/>
            <w:gridSpan w:val="3"/>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42,665</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11,315</w:t>
            </w:r>
          </w:p>
        </w:tc>
        <w:tc>
          <w:tcPr>
            <w:tcW w:w="440" w:type="dxa"/>
            <w:vAlign w:val="bottom"/>
            <w:gridSpan w:val="3"/>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42,296</w:t>
            </w:r>
          </w:p>
        </w:tc>
        <w:tc>
          <w:tcPr>
            <w:tcW w:w="34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47,190</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95,505</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273,394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5,988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864</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2,859</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SBA loans: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34,423</w:t>
            </w:r>
          </w:p>
        </w:tc>
        <w:tc>
          <w:tcPr>
            <w:tcW w:w="400" w:type="dxa"/>
            <w:vAlign w:val="bottom"/>
            <w:gridSpan w:val="3"/>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42,665</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11,315</w:t>
            </w:r>
          </w:p>
        </w:tc>
        <w:tc>
          <w:tcPr>
            <w:tcW w:w="440" w:type="dxa"/>
            <w:vAlign w:val="bottom"/>
            <w:gridSpan w:val="3"/>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43,160</w:t>
            </w:r>
          </w:p>
        </w:tc>
        <w:tc>
          <w:tcPr>
            <w:tcW w:w="34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55,863</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104,352</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291,778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SBA - PPP loans:</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jc w:val="right"/>
              <w:ind w:right="1157"/>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395,349</w:t>
            </w:r>
          </w:p>
        </w:tc>
        <w:tc>
          <w:tcPr>
            <w:tcW w:w="400" w:type="dxa"/>
            <w:vAlign w:val="bottom"/>
            <w:gridSpan w:val="3"/>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260,963</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656,312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SBA - PPP loans: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395,349</w:t>
            </w:r>
          </w:p>
        </w:tc>
        <w:tc>
          <w:tcPr>
            <w:tcW w:w="400" w:type="dxa"/>
            <w:vAlign w:val="bottom"/>
            <w:gridSpan w:val="3"/>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262,466</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657,815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and</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jc w:val="right"/>
              <w:ind w:right="1157"/>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50,590</w:t>
            </w:r>
          </w:p>
        </w:tc>
        <w:tc>
          <w:tcPr>
            <w:tcW w:w="400" w:type="dxa"/>
            <w:vAlign w:val="bottom"/>
            <w:gridSpan w:val="3"/>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93,190</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147,698</w:t>
            </w:r>
          </w:p>
        </w:tc>
        <w:tc>
          <w:tcPr>
            <w:tcW w:w="440" w:type="dxa"/>
            <w:vAlign w:val="bottom"/>
            <w:gridSpan w:val="3"/>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58,447</w:t>
            </w:r>
          </w:p>
        </w:tc>
        <w:tc>
          <w:tcPr>
            <w:tcW w:w="34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43,464</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87,688</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234,803</w:t>
            </w:r>
          </w:p>
        </w:tc>
        <w:tc>
          <w:tcPr>
            <w:tcW w:w="300" w:type="dxa"/>
            <w:vAlign w:val="bottom"/>
            <w:gridSpan w:val="3"/>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6,423</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722,303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2,154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2,163</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and</w:t>
            </w: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53,700</w:t>
            </w:r>
          </w:p>
        </w:tc>
        <w:tc>
          <w:tcPr>
            <w:tcW w:w="200" w:type="dxa"/>
            <w:vAlign w:val="bottom"/>
            <w:gridSpan w:val="2"/>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96,391</w:t>
            </w:r>
          </w:p>
        </w:tc>
        <w:tc>
          <w:tcPr>
            <w:tcW w:w="200" w:type="dxa"/>
            <w:vAlign w:val="bottom"/>
            <w:gridSpan w:val="2"/>
            <w:vMerge w:val="restart"/>
            <w:shd w:val="clear" w:color="auto" w:fill="CFF0FC"/>
          </w:tcPr>
          <w:p>
            <w:pPr>
              <w:spacing w:after="0"/>
              <w:rPr>
                <w:sz w:val="14"/>
                <w:szCs w:val="14"/>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149,557</w:t>
            </w:r>
          </w:p>
        </w:tc>
        <w:tc>
          <w:tcPr>
            <w:tcW w:w="200" w:type="dxa"/>
            <w:vAlign w:val="bottom"/>
            <w:gridSpan w:val="2"/>
            <w:vMerge w:val="restart"/>
            <w:shd w:val="clear" w:color="auto" w:fill="CFF0FC"/>
          </w:tcPr>
          <w:p>
            <w:pPr>
              <w:spacing w:after="0"/>
              <w:rPr>
                <w:sz w:val="14"/>
                <w:szCs w:val="14"/>
                <w:color w:val="auto"/>
              </w:rPr>
            </w:pPr>
          </w:p>
        </w:tc>
        <w:tc>
          <w:tcPr>
            <w:tcW w:w="240" w:type="dxa"/>
            <w:vAlign w:val="bottom"/>
            <w:vMerge w:val="restart"/>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62,764</w:t>
            </w:r>
          </w:p>
        </w:tc>
        <w:tc>
          <w:tcPr>
            <w:tcW w:w="16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45,404</w:t>
            </w:r>
          </w:p>
        </w:tc>
        <w:tc>
          <w:tcPr>
            <w:tcW w:w="18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88,605</w:t>
            </w:r>
          </w:p>
        </w:tc>
        <w:tc>
          <w:tcPr>
            <w:tcW w:w="160" w:type="dxa"/>
            <w:vAlign w:val="bottom"/>
            <w:gridSpan w:val="2"/>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244,659</w:t>
            </w:r>
          </w:p>
        </w:tc>
        <w:tc>
          <w:tcPr>
            <w:tcW w:w="200" w:type="dxa"/>
            <w:vAlign w:val="bottom"/>
            <w:gridSpan w:val="2"/>
            <w:vMerge w:val="restart"/>
            <w:shd w:val="clear" w:color="auto" w:fill="CFF0FC"/>
          </w:tcPr>
          <w:p>
            <w:pPr>
              <w:spacing w:after="0"/>
              <w:rPr>
                <w:sz w:val="14"/>
                <w:szCs w:val="14"/>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8,037</w:t>
            </w:r>
          </w:p>
        </w:tc>
        <w:tc>
          <w:tcPr>
            <w:tcW w:w="18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749,117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5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-4205605</wp:posOffset>
            </wp:positionV>
            <wp:extent cx="12890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-4205605</wp:posOffset>
            </wp:positionV>
            <wp:extent cx="12890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-4205605</wp:posOffset>
            </wp:positionV>
            <wp:extent cx="1289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-4205605</wp:posOffset>
            </wp:positionV>
            <wp:extent cx="1111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-4205605</wp:posOffset>
            </wp:positionV>
            <wp:extent cx="11176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-4205605</wp:posOffset>
            </wp:positionV>
            <wp:extent cx="11176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-4205605</wp:posOffset>
            </wp:positionV>
            <wp:extent cx="13716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-4205605</wp:posOffset>
            </wp:positionV>
            <wp:extent cx="1111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-4205605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-3356610</wp:posOffset>
            </wp:positionV>
            <wp:extent cx="12890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-3356610</wp:posOffset>
            </wp:positionV>
            <wp:extent cx="1289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-3356610</wp:posOffset>
            </wp:positionV>
            <wp:extent cx="12890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-3356610</wp:posOffset>
            </wp:positionV>
            <wp:extent cx="11112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-3356610</wp:posOffset>
            </wp:positionV>
            <wp:extent cx="11176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-3356610</wp:posOffset>
            </wp:positionV>
            <wp:extent cx="11176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-3356610</wp:posOffset>
            </wp:positionV>
            <wp:extent cx="13716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-3356610</wp:posOffset>
            </wp:positionV>
            <wp:extent cx="11112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-3356610</wp:posOffset>
            </wp:positionV>
            <wp:extent cx="685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-2156460</wp:posOffset>
            </wp:positionV>
            <wp:extent cx="1289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-2156460</wp:posOffset>
            </wp:positionV>
            <wp:extent cx="12890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-2156460</wp:posOffset>
            </wp:positionV>
            <wp:extent cx="1289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-2156460</wp:posOffset>
            </wp:positionV>
            <wp:extent cx="1111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-2156460</wp:posOffset>
            </wp:positionV>
            <wp:extent cx="11176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-2156460</wp:posOffset>
            </wp:positionV>
            <wp:extent cx="11176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-2156460</wp:posOffset>
            </wp:positionV>
            <wp:extent cx="1371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-2156460</wp:posOffset>
            </wp:positionV>
            <wp:extent cx="1111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-2156460</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-1308100</wp:posOffset>
            </wp:positionV>
            <wp:extent cx="1289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-1308100</wp:posOffset>
            </wp:positionV>
            <wp:extent cx="12890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-1308100</wp:posOffset>
            </wp:positionV>
            <wp:extent cx="12890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-1308100</wp:posOffset>
            </wp:positionV>
            <wp:extent cx="11112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-1308100</wp:posOffset>
            </wp:positionV>
            <wp:extent cx="11176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-1308100</wp:posOffset>
            </wp:positionV>
            <wp:extent cx="11176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-1308100</wp:posOffset>
            </wp:positionV>
            <wp:extent cx="13716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-1308100</wp:posOffset>
            </wp:positionV>
            <wp:extent cx="11112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-1308100</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-5080</wp:posOffset>
            </wp:positionV>
            <wp:extent cx="1289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-5080</wp:posOffset>
            </wp:positionV>
            <wp:extent cx="1289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-5080</wp:posOffset>
            </wp:positionV>
            <wp:extent cx="12890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-5080</wp:posOffset>
            </wp:positionV>
            <wp:extent cx="11112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-5080</wp:posOffset>
            </wp:positionV>
            <wp:extent cx="11176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-5080</wp:posOffset>
            </wp:positionV>
            <wp:extent cx="11176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-5080</wp:posOffset>
            </wp:positionV>
            <wp:extent cx="13716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-5080</wp:posOffset>
            </wp:positionV>
            <wp:extent cx="1111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Revolving</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5"/>
            <w:vMerge w:val="restart"/>
          </w:tcPr>
          <w:p>
            <w:pPr>
              <w:jc w:val="right"/>
              <w:ind w:right="417"/>
              <w:spacing w:after="0"/>
              <w:rPr>
                <w:sz w:val="20"/>
                <w:szCs w:val="20"/>
                <w:color w:val="auto"/>
              </w:rPr>
            </w:pPr>
            <w:r>
              <w:rPr>
                <w:rFonts w:ascii="Arial" w:cs="Arial" w:eastAsia="Arial" w:hAnsi="Arial"/>
                <w:sz w:val="13"/>
                <w:szCs w:val="13"/>
                <w:b w:val="1"/>
                <w:bCs w:val="1"/>
                <w:color w:val="auto"/>
              </w:rPr>
              <w:t>Origination Year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loans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Revolving loans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amortized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converted to</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cost basis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term loans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gridSpan w:val="7"/>
          </w:tcPr>
          <w:p>
            <w:pPr>
              <w:jc w:val="right"/>
              <w:ind w:right="37"/>
              <w:spacing w:after="0"/>
              <w:rPr>
                <w:sz w:val="20"/>
                <w:szCs w:val="20"/>
                <w:color w:val="auto"/>
              </w:rPr>
            </w:pPr>
            <w:r>
              <w:rPr>
                <w:rFonts w:ascii="Arial" w:cs="Arial" w:eastAsia="Arial" w:hAnsi="Arial"/>
                <w:sz w:val="13"/>
                <w:szCs w:val="13"/>
                <w:i w:val="1"/>
                <w:iCs w:val="1"/>
                <w:color w:val="auto"/>
                <w:w w:val="94"/>
              </w:rPr>
              <w:t>(Dollars in thousands)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Dairy &amp; livestock and</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1,014</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1,527</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40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226,192</w:t>
            </w:r>
          </w:p>
        </w:tc>
        <w:tc>
          <w:tcPr>
            <w:tcW w:w="28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230,899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11,152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6,104</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Dairy &amp; livestock</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and agribusiness</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1,014</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1,527</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1,453</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40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1,206</w:t>
            </w:r>
          </w:p>
        </w:tc>
        <w:tc>
          <w:tcPr>
            <w:tcW w:w="3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237,344</w:t>
            </w:r>
          </w:p>
        </w:tc>
        <w:tc>
          <w:tcPr>
            <w:tcW w:w="28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15,012</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257,781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5,262</w:t>
            </w:r>
          </w:p>
        </w:tc>
        <w:tc>
          <w:tcPr>
            <w:tcW w:w="400" w:type="dxa"/>
            <w:vAlign w:val="bottom"/>
            <w:gridSpan w:val="3"/>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8,122</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279</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10,061</w:t>
            </w:r>
          </w:p>
        </w:tc>
        <w:tc>
          <w:tcPr>
            <w:tcW w:w="40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20,557</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44,281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Municipal lease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finance receivables</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5,262</w:t>
            </w:r>
          </w:p>
        </w:tc>
        <w:tc>
          <w:tcPr>
            <w:tcW w:w="400" w:type="dxa"/>
            <w:vAlign w:val="bottom"/>
            <w:gridSpan w:val="3"/>
            <w:vMerge w:val="restart"/>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8,122</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279</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10,061</w:t>
            </w:r>
          </w:p>
        </w:tc>
        <w:tc>
          <w:tcPr>
            <w:tcW w:w="40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20,933</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44,657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SFR mortgage loans:</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19,740</w:t>
            </w:r>
          </w:p>
        </w:tc>
        <w:tc>
          <w:tcPr>
            <w:tcW w:w="400" w:type="dxa"/>
            <w:vAlign w:val="bottom"/>
            <w:gridSpan w:val="3"/>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53,029</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47,707</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23,121</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19,398</w:t>
            </w:r>
          </w:p>
        </w:tc>
        <w:tc>
          <w:tcPr>
            <w:tcW w:w="40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71,945</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28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235,092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SFR mortgage</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19,740</w:t>
            </w:r>
          </w:p>
        </w:tc>
        <w:tc>
          <w:tcPr>
            <w:tcW w:w="40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53,029</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47,707</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23,121</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19,398</w:t>
            </w:r>
          </w:p>
        </w:tc>
        <w:tc>
          <w:tcPr>
            <w:tcW w:w="40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73,557</w:t>
            </w:r>
          </w:p>
        </w:tc>
        <w:tc>
          <w:tcPr>
            <w:tcW w:w="3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28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420</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237,124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3,204</w:t>
            </w:r>
          </w:p>
        </w:tc>
        <w:tc>
          <w:tcPr>
            <w:tcW w:w="400" w:type="dxa"/>
            <w:vAlign w:val="bottom"/>
            <w:gridSpan w:val="3"/>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3,091</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1,659</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686</w:t>
            </w:r>
          </w:p>
        </w:tc>
        <w:tc>
          <w:tcPr>
            <w:tcW w:w="34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778</w:t>
            </w:r>
          </w:p>
        </w:tc>
        <w:tc>
          <w:tcPr>
            <w:tcW w:w="40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2,020</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57,531</w:t>
            </w:r>
          </w:p>
        </w:tc>
        <w:tc>
          <w:tcPr>
            <w:tcW w:w="280" w:type="dxa"/>
            <w:vAlign w:val="bottom"/>
            <w:gridSpan w:val="3"/>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2,403</w:t>
            </w:r>
          </w:p>
        </w:tc>
        <w:tc>
          <w:tcPr>
            <w:tcW w:w="38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71,372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Total Consumer and</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4,180</w:t>
            </w:r>
          </w:p>
        </w:tc>
        <w:tc>
          <w:tcPr>
            <w:tcW w:w="400" w:type="dxa"/>
            <w:vAlign w:val="bottom"/>
            <w:gridSpan w:val="3"/>
            <w:vMerge w:val="restart"/>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3,091</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1,659</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686</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778</w:t>
            </w:r>
          </w:p>
        </w:tc>
        <w:tc>
          <w:tcPr>
            <w:tcW w:w="40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2,277</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58,529</w:t>
            </w:r>
          </w:p>
        </w:tc>
        <w:tc>
          <w:tcPr>
            <w:tcW w:w="280" w:type="dxa"/>
            <w:vAlign w:val="bottom"/>
            <w:gridSpan w:val="3"/>
            <w:vMerge w:val="restart"/>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2,862</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74,062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other loans:</w:t>
            </w: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1,102,908</w:t>
            </w:r>
          </w:p>
        </w:tc>
        <w:tc>
          <w:tcPr>
            <w:tcW w:w="400" w:type="dxa"/>
            <w:vAlign w:val="bottom"/>
            <w:gridSpan w:val="3"/>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1,463,516</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860,111</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697,928</w:t>
            </w:r>
          </w:p>
        </w:tc>
        <w:tc>
          <w:tcPr>
            <w:tcW w:w="34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657,398</w:t>
            </w:r>
          </w:p>
        </w:tc>
        <w:tc>
          <w:tcPr>
            <w:tcW w:w="40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2,196,475</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745,869</w:t>
            </w:r>
          </w:p>
        </w:tc>
        <w:tc>
          <w:tcPr>
            <w:tcW w:w="28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46,329</w:t>
            </w:r>
          </w:p>
        </w:tc>
        <w:tc>
          <w:tcPr>
            <w:tcW w:w="38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7,770,534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11,793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39,324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53,079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75,511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25,363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24,890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251,732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5,093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3,145</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10,849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14,745</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2,910</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8,697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1,119,794</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1,477,398</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871,606</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740,397</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721,326</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2,286,731</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774,142</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79,916</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8,071,310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-4522470</wp:posOffset>
            </wp:positionV>
            <wp:extent cx="12890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-4522470</wp:posOffset>
            </wp:positionV>
            <wp:extent cx="12890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-4522470</wp:posOffset>
            </wp:positionV>
            <wp:extent cx="12890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-4522470</wp:posOffset>
            </wp:positionV>
            <wp:extent cx="1200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-4522470</wp:posOffset>
            </wp:positionV>
            <wp:extent cx="13716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-4522470</wp:posOffset>
            </wp:positionV>
            <wp:extent cx="11112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-4522470</wp:posOffset>
            </wp:positionV>
            <wp:extent cx="11176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-4522470</wp:posOffset>
            </wp:positionV>
            <wp:extent cx="11112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-4522470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-3571240</wp:posOffset>
            </wp:positionV>
            <wp:extent cx="12890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-3571240</wp:posOffset>
            </wp:positionV>
            <wp:extent cx="12890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-3571240</wp:posOffset>
            </wp:positionV>
            <wp:extent cx="12890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-3571240</wp:posOffset>
            </wp:positionV>
            <wp:extent cx="12001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-3571240</wp:posOffset>
            </wp:positionV>
            <wp:extent cx="13716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-3571240</wp:posOffset>
            </wp:positionV>
            <wp:extent cx="11112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-3571240</wp:posOffset>
            </wp:positionV>
            <wp:extent cx="11176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-3571240</wp:posOffset>
            </wp:positionV>
            <wp:extent cx="11112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-3571240</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-2173605</wp:posOffset>
            </wp:positionV>
            <wp:extent cx="12890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-2173605</wp:posOffset>
            </wp:positionV>
            <wp:extent cx="12890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-2173605</wp:posOffset>
            </wp:positionV>
            <wp:extent cx="12890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-2173605</wp:posOffset>
            </wp:positionV>
            <wp:extent cx="1200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-2173605</wp:posOffset>
            </wp:positionV>
            <wp:extent cx="13716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-2173605</wp:posOffset>
            </wp:positionV>
            <wp:extent cx="11112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-2173605</wp:posOffset>
            </wp:positionV>
            <wp:extent cx="11176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-2173605</wp:posOffset>
            </wp:positionV>
            <wp:extent cx="1111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-1222375</wp:posOffset>
            </wp:positionV>
            <wp:extent cx="12890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-1222375</wp:posOffset>
            </wp:positionV>
            <wp:extent cx="12890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-1222375</wp:posOffset>
            </wp:positionV>
            <wp:extent cx="12890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-1222375</wp:posOffset>
            </wp:positionV>
            <wp:extent cx="12001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-1222375</wp:posOffset>
            </wp:positionV>
            <wp:extent cx="13716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-1222375</wp:posOffset>
            </wp:positionV>
            <wp:extent cx="11112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-1222375</wp:posOffset>
            </wp:positionV>
            <wp:extent cx="11176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-1222375</wp:posOffset>
            </wp:positionV>
            <wp:extent cx="11112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-24765</wp:posOffset>
            </wp:positionV>
            <wp:extent cx="1289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-7620</wp:posOffset>
            </wp:positionV>
            <wp:extent cx="1289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1289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1289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1289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1289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1200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1200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37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1117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117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111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Origination Year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Revolving loans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Revolving loans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94"/>
              </w:rPr>
              <w:t>amortized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converted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75"/>
              </w:rPr>
              <w:t>2017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7"/>
              </w:rPr>
              <w:t>cost basis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term loans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7"/>
          </w:tcPr>
          <w:p>
            <w:pPr>
              <w:jc w:val="right"/>
              <w:ind w:right="57"/>
              <w:spacing w:after="0"/>
              <w:rPr>
                <w:sz w:val="20"/>
                <w:szCs w:val="20"/>
                <w:color w:val="auto"/>
              </w:rPr>
            </w:pPr>
            <w:r>
              <w:rPr>
                <w:rFonts w:ascii="Arial" w:cs="Arial" w:eastAsia="Arial" w:hAnsi="Arial"/>
                <w:sz w:val="13"/>
                <w:szCs w:val="13"/>
                <w:i w:val="1"/>
                <w:iCs w:val="1"/>
                <w:color w:val="auto"/>
                <w:w w:val="93"/>
              </w:rPr>
              <w:t>(Dollars in thousands)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20" w:type="dxa"/>
            <w:vAlign w:val="bottom"/>
          </w:tcPr>
          <w:p>
            <w:pPr>
              <w:jc w:val="right"/>
              <w:ind w:right="1177"/>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979,499</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691,091</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607,753</w:t>
            </w:r>
          </w:p>
        </w:tc>
        <w:tc>
          <w:tcPr>
            <w:tcW w:w="4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617,640</w:t>
            </w:r>
          </w:p>
        </w:tc>
        <w:tc>
          <w:tcPr>
            <w:tcW w:w="38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550,105</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1,646,876</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192,583</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24,548</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5,310,095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30,049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43,870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17,398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49,840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164,365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2,528</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13,790</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real</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988,831</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698,744</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639,959</w:t>
            </w:r>
          </w:p>
        </w:tc>
        <w:tc>
          <w:tcPr>
            <w:tcW w:w="46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668,892</w:t>
            </w:r>
          </w:p>
        </w:tc>
        <w:tc>
          <w:tcPr>
            <w:tcW w:w="380" w:type="dxa"/>
            <w:vAlign w:val="bottom"/>
            <w:gridSpan w:val="3"/>
            <w:vMerge w:val="restart"/>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570,031</w:t>
            </w:r>
          </w:p>
        </w:tc>
        <w:tc>
          <w:tcPr>
            <w:tcW w:w="36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1,710,506</w:t>
            </w:r>
          </w:p>
        </w:tc>
        <w:tc>
          <w:tcPr>
            <w:tcW w:w="30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198,663</w:t>
            </w:r>
          </w:p>
        </w:tc>
        <w:tc>
          <w:tcPr>
            <w:tcW w:w="28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25,883</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5,501,509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shd w:val="clear" w:color="auto" w:fill="CFF0FC"/>
          </w:tcPr>
          <w:p>
            <w:pPr>
              <w:jc w:val="right"/>
              <w:ind w:right="1177"/>
              <w:spacing w:after="0"/>
              <w:rPr>
                <w:sz w:val="20"/>
                <w:szCs w:val="20"/>
                <w:color w:val="auto"/>
              </w:rPr>
            </w:pPr>
            <w:r>
              <w:rPr>
                <w:rFonts w:ascii="Arial" w:cs="Arial" w:eastAsia="Arial" w:hAnsi="Arial"/>
                <w:sz w:val="13"/>
                <w:szCs w:val="13"/>
                <w:b w:val="1"/>
                <w:bCs w:val="1"/>
                <w:color w:val="auto"/>
                <w:w w:val="95"/>
              </w:rPr>
              <w:t>estate loans:</w:t>
            </w:r>
          </w:p>
        </w:tc>
        <w:tc>
          <w:tcPr>
            <w:tcW w:w="2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6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jc w:val="right"/>
              <w:ind w:right="1177"/>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14,511</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9,350</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14,945</w:t>
            </w:r>
          </w:p>
        </w:tc>
        <w:tc>
          <w:tcPr>
            <w:tcW w:w="4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2,258</w:t>
            </w:r>
          </w:p>
        </w:tc>
        <w:tc>
          <w:tcPr>
            <w:tcW w:w="38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44,077</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85,145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Total Construction</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14,511</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9,350</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14,945</w:t>
            </w:r>
          </w:p>
        </w:tc>
        <w:tc>
          <w:tcPr>
            <w:tcW w:w="4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2,258</w:t>
            </w:r>
          </w:p>
        </w:tc>
        <w:tc>
          <w:tcPr>
            <w:tcW w:w="380" w:type="dxa"/>
            <w:vAlign w:val="bottom"/>
            <w:gridSpan w:val="3"/>
            <w:vMerge w:val="restart"/>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44,077</w:t>
            </w:r>
          </w:p>
        </w:tc>
        <w:tc>
          <w:tcPr>
            <w:tcW w:w="280" w:type="dxa"/>
            <w:vAlign w:val="bottom"/>
            <w:gridSpan w:val="3"/>
            <w:vMerge w:val="restart"/>
          </w:tcPr>
          <w:p>
            <w:pPr>
              <w:ind w:left="18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85,145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SBA loans:</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20" w:type="dxa"/>
            <w:vAlign w:val="bottom"/>
          </w:tcPr>
          <w:p>
            <w:pPr>
              <w:jc w:val="right"/>
              <w:ind w:right="1177"/>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47,901</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12,821</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44,950</w:t>
            </w:r>
          </w:p>
        </w:tc>
        <w:tc>
          <w:tcPr>
            <w:tcW w:w="4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58,839</w:t>
            </w:r>
          </w:p>
        </w:tc>
        <w:tc>
          <w:tcPr>
            <w:tcW w:w="38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26,136</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86,085</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279,708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5,446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5,648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SBA loans: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47,901</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12,821</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45,854</w:t>
            </w:r>
          </w:p>
        </w:tc>
        <w:tc>
          <w:tcPr>
            <w:tcW w:w="4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69,788</w:t>
            </w:r>
          </w:p>
        </w:tc>
        <w:tc>
          <w:tcPr>
            <w:tcW w:w="38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29,026</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95,530</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303,896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20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SBA - PPP loans:</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jc w:val="right"/>
              <w:ind w:right="1177"/>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882,986</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882,986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Total SBA - PPP loans: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882,986</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882,986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Commercial and</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20" w:type="dxa"/>
            <w:vAlign w:val="bottom"/>
          </w:tcPr>
          <w:p>
            <w:pPr>
              <w:jc w:val="right"/>
              <w:ind w:right="1177"/>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104,478</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168,050</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62,453</w:t>
            </w:r>
          </w:p>
        </w:tc>
        <w:tc>
          <w:tcPr>
            <w:tcW w:w="4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56,043</w:t>
            </w:r>
          </w:p>
        </w:tc>
        <w:tc>
          <w:tcPr>
            <w:tcW w:w="38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32,149</w:t>
            </w:r>
          </w:p>
        </w:tc>
        <w:tc>
          <w:tcPr>
            <w:tcW w:w="3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76,019</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257,250</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6,058</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4,882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17,395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Commercial and</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110,819</w:t>
            </w:r>
          </w:p>
        </w:tc>
        <w:tc>
          <w:tcPr>
            <w:tcW w:w="200" w:type="dxa"/>
            <w:vAlign w:val="bottom"/>
            <w:gridSpan w:val="2"/>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169,991</w:t>
            </w:r>
          </w:p>
        </w:tc>
        <w:tc>
          <w:tcPr>
            <w:tcW w:w="20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68,341</w:t>
            </w:r>
          </w:p>
        </w:tc>
        <w:tc>
          <w:tcPr>
            <w:tcW w:w="200" w:type="dxa"/>
            <w:vAlign w:val="bottom"/>
            <w:gridSpan w:val="2"/>
            <w:vMerge w:val="restart"/>
            <w:shd w:val="clear" w:color="auto" w:fill="CFF0FC"/>
          </w:tcPr>
          <w:p>
            <w:pPr>
              <w:spacing w:after="0"/>
              <w:rPr>
                <w:sz w:val="14"/>
                <w:szCs w:val="14"/>
                <w:color w:val="auto"/>
              </w:rPr>
            </w:pPr>
          </w:p>
        </w:tc>
        <w:tc>
          <w:tcPr>
            <w:tcW w:w="260" w:type="dxa"/>
            <w:vAlign w:val="bottom"/>
            <w:vMerge w:val="restart"/>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59,353</w:t>
            </w:r>
          </w:p>
        </w:tc>
        <w:tc>
          <w:tcPr>
            <w:tcW w:w="220" w:type="dxa"/>
            <w:vAlign w:val="bottom"/>
            <w:gridSpan w:val="2"/>
            <w:vMerge w:val="restart"/>
            <w:shd w:val="clear" w:color="auto" w:fill="CFF0FC"/>
          </w:tcPr>
          <w:p>
            <w:pPr>
              <w:spacing w:after="0"/>
              <w:rPr>
                <w:sz w:val="14"/>
                <w:szCs w:val="14"/>
                <w:color w:val="auto"/>
              </w:rPr>
            </w:pPr>
          </w:p>
        </w:tc>
        <w:tc>
          <w:tcPr>
            <w:tcW w:w="160" w:type="dxa"/>
            <w:vAlign w:val="bottom"/>
            <w:vMerge w:val="restart"/>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32,529</w:t>
            </w:r>
          </w:p>
        </w:tc>
        <w:tc>
          <w:tcPr>
            <w:tcW w:w="160" w:type="dxa"/>
            <w:vAlign w:val="bottom"/>
            <w:gridSpan w:val="2"/>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80,995</w:t>
            </w:r>
          </w:p>
        </w:tc>
        <w:tc>
          <w:tcPr>
            <w:tcW w:w="180" w:type="dxa"/>
            <w:vAlign w:val="bottom"/>
            <w:gridSpan w:val="2"/>
            <w:vMerge w:val="restart"/>
            <w:shd w:val="clear" w:color="auto" w:fill="CFF0FC"/>
          </w:tcPr>
          <w:p>
            <w:pPr>
              <w:spacing w:after="0"/>
              <w:rPr>
                <w:sz w:val="14"/>
                <w:szCs w:val="14"/>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281,322</w:t>
            </w:r>
          </w:p>
        </w:tc>
        <w:tc>
          <w:tcPr>
            <w:tcW w:w="180" w:type="dxa"/>
            <w:vAlign w:val="bottom"/>
            <w:gridSpan w:val="2"/>
            <w:vMerge w:val="restart"/>
            <w:shd w:val="clear" w:color="auto" w:fill="CFF0FC"/>
          </w:tcPr>
          <w:p>
            <w:pPr>
              <w:spacing w:after="0"/>
              <w:rPr>
                <w:sz w:val="14"/>
                <w:szCs w:val="14"/>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8,712</w:t>
            </w:r>
          </w:p>
        </w:tc>
        <w:tc>
          <w:tcPr>
            <w:tcW w:w="18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812,062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-4205605</wp:posOffset>
            </wp:positionV>
            <wp:extent cx="12890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-4205605</wp:posOffset>
            </wp:positionV>
            <wp:extent cx="12890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-4205605</wp:posOffset>
            </wp:positionV>
            <wp:extent cx="12890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-4205605</wp:posOffset>
            </wp:positionV>
            <wp:extent cx="12890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-4205605</wp:posOffset>
            </wp:positionV>
            <wp:extent cx="11112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-4205605</wp:posOffset>
            </wp:positionV>
            <wp:extent cx="11112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-4205605</wp:posOffset>
            </wp:positionV>
            <wp:extent cx="11112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-4205605</wp:posOffset>
            </wp:positionV>
            <wp:extent cx="11112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-4205605</wp:posOffset>
            </wp:positionV>
            <wp:extent cx="685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-3356610</wp:posOffset>
            </wp:positionV>
            <wp:extent cx="12890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-3356610</wp:posOffset>
            </wp:positionV>
            <wp:extent cx="12890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-3356610</wp:posOffset>
            </wp:positionV>
            <wp:extent cx="12890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-3356610</wp:posOffset>
            </wp:positionV>
            <wp:extent cx="12890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-3356610</wp:posOffset>
            </wp:positionV>
            <wp:extent cx="11112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-3356610</wp:posOffset>
            </wp:positionV>
            <wp:extent cx="11112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-3356610</wp:posOffset>
            </wp:positionV>
            <wp:extent cx="11112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-3356610</wp:posOffset>
            </wp:positionV>
            <wp:extent cx="11112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-3356610</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-2156460</wp:posOffset>
            </wp:positionV>
            <wp:extent cx="12890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-2156460</wp:posOffset>
            </wp:positionV>
            <wp:extent cx="12890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-2156460</wp:posOffset>
            </wp:positionV>
            <wp:extent cx="12890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-2156460</wp:posOffset>
            </wp:positionV>
            <wp:extent cx="12890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-2156460</wp:posOffset>
            </wp:positionV>
            <wp:extent cx="1111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-2156460</wp:posOffset>
            </wp:positionV>
            <wp:extent cx="11112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-2156460</wp:posOffset>
            </wp:positionV>
            <wp:extent cx="11112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-2156460</wp:posOffset>
            </wp:positionV>
            <wp:extent cx="11112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-2156460</wp:posOffset>
            </wp:positionV>
            <wp:extent cx="685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-1308100</wp:posOffset>
            </wp:positionV>
            <wp:extent cx="12890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-1308100</wp:posOffset>
            </wp:positionV>
            <wp:extent cx="12890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-1308100</wp:posOffset>
            </wp:positionV>
            <wp:extent cx="12890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-1308100</wp:posOffset>
            </wp:positionV>
            <wp:extent cx="12890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-1308100</wp:posOffset>
            </wp:positionV>
            <wp:extent cx="11112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-1308100</wp:posOffset>
            </wp:positionV>
            <wp:extent cx="11112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-1308100</wp:posOffset>
            </wp:positionV>
            <wp:extent cx="11112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-1308100</wp:posOffset>
            </wp:positionV>
            <wp:extent cx="11112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-1308100</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-5080</wp:posOffset>
            </wp:positionV>
            <wp:extent cx="12890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-5080</wp:posOffset>
            </wp:positionV>
            <wp:extent cx="12890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-5080</wp:posOffset>
            </wp:positionV>
            <wp:extent cx="12890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-5080</wp:posOffset>
            </wp:positionV>
            <wp:extent cx="12890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-5080</wp:posOffset>
            </wp:positionV>
            <wp:extent cx="11112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-5080</wp:posOffset>
            </wp:positionV>
            <wp:extent cx="11112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-5080</wp:posOffset>
            </wp:positionV>
            <wp:extent cx="11112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-5080</wp:posOffset>
            </wp:positionV>
            <wp:extent cx="11112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Origination Year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Revolving loans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Revolving loans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94"/>
              </w:rPr>
              <w:t>amortized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converted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75"/>
              </w:rPr>
              <w:t>2017</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7"/>
              </w:rPr>
              <w:t>cost basis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term loans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7"/>
          </w:tcPr>
          <w:p>
            <w:pPr>
              <w:jc w:val="right"/>
              <w:ind w:right="37"/>
              <w:spacing w:after="0"/>
              <w:rPr>
                <w:sz w:val="20"/>
                <w:szCs w:val="20"/>
                <w:color w:val="auto"/>
              </w:rPr>
            </w:pPr>
            <w:r>
              <w:rPr>
                <w:rFonts w:ascii="Arial" w:cs="Arial" w:eastAsia="Arial" w:hAnsi="Arial"/>
                <w:sz w:val="13"/>
                <w:szCs w:val="13"/>
                <w:i w:val="1"/>
                <w:iCs w:val="1"/>
                <w:color w:val="auto"/>
                <w:w w:val="93"/>
              </w:rPr>
              <w:t>(Dollars 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Dairy &amp; livestock and</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1,041</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1,765</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w:t>
            </w:r>
          </w:p>
        </w:tc>
        <w:tc>
          <w:tcPr>
            <w:tcW w:w="4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5,680</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319,211</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329,699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13,255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11,677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Dairy &amp; livestock</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and agribusiness</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1,919</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1,765</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2,347</w:t>
            </w:r>
          </w:p>
        </w:tc>
        <w:tc>
          <w:tcPr>
            <w:tcW w:w="46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6,373</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2,405</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28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332,466</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13,551</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361,146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6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8,478</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2,556</w:t>
            </w:r>
          </w:p>
        </w:tc>
        <w:tc>
          <w:tcPr>
            <w:tcW w:w="4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10,249</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3,586</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20,266</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Total Municipal lease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20"/>
              <w:spacing w:after="0"/>
              <w:rPr>
                <w:sz w:val="20"/>
                <w:szCs w:val="20"/>
                <w:color w:val="auto"/>
              </w:rPr>
            </w:pPr>
            <w:r>
              <w:rPr>
                <w:rFonts w:ascii="Arial" w:cs="Arial" w:eastAsia="Arial" w:hAnsi="Arial"/>
                <w:sz w:val="13"/>
                <w:szCs w:val="13"/>
                <w:b w:val="1"/>
                <w:bCs w:val="1"/>
                <w:color w:val="auto"/>
              </w:rPr>
              <w:t>finance receivables</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8,478</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2,556</w:t>
            </w:r>
          </w:p>
        </w:tc>
        <w:tc>
          <w:tcPr>
            <w:tcW w:w="4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10,249</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3,586</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20,678</w:t>
            </w:r>
          </w:p>
        </w:tc>
        <w:tc>
          <w:tcPr>
            <w:tcW w:w="280" w:type="dxa"/>
            <w:vAlign w:val="bottom"/>
            <w:gridSpan w:val="3"/>
            <w:vMerge w:val="restart"/>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45,547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SFR mortgage loans:</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65,463</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59,596</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29,142</w:t>
            </w:r>
          </w:p>
        </w:tc>
        <w:tc>
          <w:tcPr>
            <w:tcW w:w="4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22,452</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27,192</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62,593</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266,441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SFR mortgage</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65,463</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59,596</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29,142</w:t>
            </w:r>
          </w:p>
        </w:tc>
        <w:tc>
          <w:tcPr>
            <w:tcW w:w="46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22,452</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27,421</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66,002</w:t>
            </w:r>
          </w:p>
        </w:tc>
        <w:tc>
          <w:tcPr>
            <w:tcW w:w="28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36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270,511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6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8,557</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2,077</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871</w:t>
            </w:r>
          </w:p>
        </w:tc>
        <w:tc>
          <w:tcPr>
            <w:tcW w:w="4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969</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1,586</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961</w:t>
            </w:r>
          </w:p>
        </w:tc>
        <w:tc>
          <w:tcPr>
            <w:tcW w:w="28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67,774</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1,688</w:t>
            </w:r>
          </w:p>
        </w:tc>
        <w:tc>
          <w:tcPr>
            <w:tcW w:w="36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84,483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Total Consumer and</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8,557</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2,077</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4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969</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1,586</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1,224</w:t>
            </w:r>
          </w:p>
        </w:tc>
        <w:tc>
          <w:tcPr>
            <w:tcW w:w="280" w:type="dxa"/>
            <w:vAlign w:val="bottom"/>
            <w:gridSpan w:val="3"/>
            <w:vMerge w:val="restart"/>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68,291</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2,431</w:t>
            </w:r>
          </w:p>
        </w:tc>
        <w:tc>
          <w:tcPr>
            <w:tcW w:w="36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86,006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120"/>
              <w:spacing w:after="0"/>
              <w:rPr>
                <w:sz w:val="20"/>
                <w:szCs w:val="20"/>
                <w:color w:val="auto"/>
              </w:rPr>
            </w:pPr>
            <w:r>
              <w:rPr>
                <w:rFonts w:ascii="Arial" w:cs="Arial" w:eastAsia="Arial" w:hAnsi="Arial"/>
                <w:sz w:val="13"/>
                <w:szCs w:val="13"/>
                <w:b w:val="1"/>
                <w:bCs w:val="1"/>
                <w:color w:val="auto"/>
              </w:rPr>
              <w:t>other loans:</w:t>
            </w: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140"/>
              <w:spacing w:after="0"/>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2,112,914</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944,750</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763,869</w:t>
            </w:r>
          </w:p>
        </w:tc>
        <w:tc>
          <w:tcPr>
            <w:tcW w:w="4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774,130</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640,874</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1,893,124</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880,898</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35,633</w:t>
            </w:r>
          </w:p>
        </w:tc>
        <w:tc>
          <w:tcPr>
            <w:tcW w:w="36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8,046,192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8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12,205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32,305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50,344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18,829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61,325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36,887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223,797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15,860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6,881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20,810</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14,693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78,819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80"/>
              <w:spacing w:after="0"/>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2,129,465</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954,344</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804,015</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840,334</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666,584</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1,975,259</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924,822</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53,985</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8,348,808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-4522470</wp:posOffset>
            </wp:positionV>
            <wp:extent cx="12890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-4522470</wp:posOffset>
            </wp:positionV>
            <wp:extent cx="12890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-4522470</wp:posOffset>
            </wp:positionV>
            <wp:extent cx="12890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-4522470</wp:posOffset>
            </wp:positionV>
            <wp:extent cx="12001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-4522470</wp:posOffset>
            </wp:positionV>
            <wp:extent cx="11176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-4522470</wp:posOffset>
            </wp:positionV>
            <wp:extent cx="11176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-4522470</wp:posOffset>
            </wp:positionV>
            <wp:extent cx="11176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-4522470</wp:posOffset>
            </wp:positionV>
            <wp:extent cx="11112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-4522470</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-3571240</wp:posOffset>
            </wp:positionV>
            <wp:extent cx="12890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-3571240</wp:posOffset>
            </wp:positionV>
            <wp:extent cx="12890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-3571240</wp:posOffset>
            </wp:positionV>
            <wp:extent cx="12890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-3571240</wp:posOffset>
            </wp:positionV>
            <wp:extent cx="12001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-3571240</wp:posOffset>
            </wp:positionV>
            <wp:extent cx="11176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-3571240</wp:posOffset>
            </wp:positionV>
            <wp:extent cx="11176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-3571240</wp:posOffset>
            </wp:positionV>
            <wp:extent cx="11176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-3571240</wp:posOffset>
            </wp:positionV>
            <wp:extent cx="11112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-3571240</wp:posOffset>
            </wp:positionV>
            <wp:extent cx="685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-2173605</wp:posOffset>
            </wp:positionV>
            <wp:extent cx="12890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-2173605</wp:posOffset>
            </wp:positionV>
            <wp:extent cx="12890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-2173605</wp:posOffset>
            </wp:positionV>
            <wp:extent cx="12890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-2173605</wp:posOffset>
            </wp:positionV>
            <wp:extent cx="12001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-2173605</wp:posOffset>
            </wp:positionV>
            <wp:extent cx="11176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-2173605</wp:posOffset>
            </wp:positionV>
            <wp:extent cx="11176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-2173605</wp:posOffset>
            </wp:positionV>
            <wp:extent cx="11176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-2173605</wp:posOffset>
            </wp:positionV>
            <wp:extent cx="11112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-1222375</wp:posOffset>
            </wp:positionV>
            <wp:extent cx="12890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-1222375</wp:posOffset>
            </wp:positionV>
            <wp:extent cx="12890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-1222375</wp:posOffset>
            </wp:positionV>
            <wp:extent cx="12890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-1222375</wp:posOffset>
            </wp:positionV>
            <wp:extent cx="12001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-1222375</wp:posOffset>
            </wp:positionV>
            <wp:extent cx="11176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-1222375</wp:posOffset>
            </wp:positionV>
            <wp:extent cx="11176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-1222375</wp:posOffset>
            </wp:positionV>
            <wp:extent cx="11176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-1222375</wp:posOffset>
            </wp:positionV>
            <wp:extent cx="11112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-24765</wp:posOffset>
            </wp:positionV>
            <wp:extent cx="1289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-7620</wp:posOffset>
            </wp:positionV>
            <wp:extent cx="1289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12890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1289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12890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1289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1200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1200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1117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1117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1117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1117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1117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117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1111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("ACL")</w:t>
      </w:r>
    </w:p>
    <w:p>
      <w:pPr>
        <w:spacing w:after="0" w:line="252" w:lineRule="exact"/>
        <w:rPr>
          <w:sz w:val="20"/>
          <w:szCs w:val="20"/>
          <w:color w:val="auto"/>
        </w:rPr>
      </w:pPr>
    </w:p>
    <w:p>
      <w:pPr>
        <w:ind w:right="20" w:firstLine="405"/>
        <w:spacing w:after="0" w:line="299" w:lineRule="auto"/>
        <w:rPr>
          <w:sz w:val="20"/>
          <w:szCs w:val="20"/>
          <w:color w:val="auto"/>
        </w:rPr>
      </w:pPr>
      <w:r>
        <w:rPr>
          <w:rFonts w:ascii="Arial" w:cs="Arial" w:eastAsia="Arial" w:hAnsi="Arial"/>
          <w:sz w:val="16"/>
          <w:szCs w:val="16"/>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8" w:name="page19"/>
    <w:bookmarkEnd w:id="18"/>
    <w:p>
      <w:pPr>
        <w:jc w:val="both"/>
        <w:ind w:right="40"/>
        <w:spacing w:after="0" w:line="279" w:lineRule="auto"/>
        <w:rPr>
          <w:sz w:val="20"/>
          <w:szCs w:val="20"/>
          <w:color w:val="auto"/>
        </w:rPr>
      </w:pPr>
      <w:r>
        <w:rPr>
          <w:rFonts w:ascii="Arial" w:cs="Arial" w:eastAsia="Arial" w:hAnsi="Arial"/>
          <w:sz w:val="18"/>
          <w:szCs w:val="18"/>
          <w:color w:val="auto"/>
        </w:rPr>
        <w:t xml:space="preserve">portfolio, and expectations for macroeconomic changes. Our methodology for assessing the appropriateness of the allowance is reviewed on a regular basis and considers overall risks in the Bank’s loan portfolio.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contained herein for a more detailed discussion concerning the allowance for credit losses.</w:t>
      </w:r>
    </w:p>
    <w:p>
      <w:pPr>
        <w:spacing w:after="0" w:line="196"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Our allowance for credit losses at June 30, 2021 decreased from the prior quarter end by $2.5 million, primarily due to a $2.0 million recapture of provision for credit losses, as a result of a modest improvement in our economic forecast</w:t>
      </w:r>
      <w:r>
        <w:rPr>
          <w:rFonts w:ascii="Arial" w:cs="Arial" w:eastAsia="Arial" w:hAnsi="Arial"/>
          <w:sz w:val="17"/>
          <w:szCs w:val="17"/>
          <w:color w:val="CC0000"/>
        </w:rPr>
        <w:t>.</w:t>
      </w:r>
      <w:r>
        <w:rPr>
          <w:rFonts w:ascii="Arial" w:cs="Arial" w:eastAsia="Arial" w:hAnsi="Arial"/>
          <w:sz w:val="17"/>
          <w:szCs w:val="17"/>
          <w:color w:val="auto"/>
        </w:rPr>
        <w:t xml:space="preserve"> In comparison, the first quarter of 2021 included a $19.5 million recapture of provision, as our forecast of macroeconomic variables improved more significantly in relation to the forecast at the end of 2020. During the second quarter of 2020, we recorded a provision for credit losses of $11.5 million, due to the initial forecast of a severe economic downturn from the COVID-19 pandemic, in addition to $12.0 million in provision for credit losses reflected in the first quarter of 2020. Based on the magnitude of government economic stimulus and the wide availability of vaccines, our economic forecasts have continued to reflect improvements in key macroeconomic variables, including GDP, the commercial real estate price index and the unemployment rate. Our economic forecast continues to be a blend of multiple forecasts produced by Moody’s, including Moody’s baseline forecast, as well as upside and downside forecasts. Our forecast at the end of the second quarter of 2021, assumes GDP will increase by 6.1% in 2021 and then by 2.7% in 2022 and 2.5% in 2023. The forecast for the unemployment rate is 6.1% in 2021 and 2022, then falling to 5.3% in 2023. At June 30, 2021, the allowance for credit losses of $69.3 million was 0.86% of total loans, compared to 1.12% and 1.12% at December 31, 2020 and June 30, 2020, respectively.</w:t>
      </w:r>
    </w:p>
    <w:p>
      <w:pPr>
        <w:spacing w:after="0" w:line="192" w:lineRule="exact"/>
        <w:rPr>
          <w:sz w:val="20"/>
          <w:szCs w:val="20"/>
          <w:color w:val="auto"/>
        </w:rPr>
      </w:pPr>
    </w:p>
    <w:p>
      <w:pPr>
        <w:ind w:right="80" w:firstLine="405"/>
        <w:spacing w:after="0" w:line="275" w:lineRule="auto"/>
        <w:rPr>
          <w:sz w:val="20"/>
          <w:szCs w:val="20"/>
          <w:color w:val="auto"/>
        </w:rPr>
      </w:pPr>
      <w:r>
        <w:rPr>
          <w:rFonts w:ascii="Arial" w:cs="Arial" w:eastAsia="Arial" w:hAnsi="Arial"/>
          <w:sz w:val="18"/>
          <w:szCs w:val="18"/>
          <w:color w:val="auto"/>
        </w:rPr>
        <w:t>Management believes that the ACL was appropriate at June 30, 2021 and December 31, 2020. As there is a high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increased provisions for credit losses in the future.</w:t>
      </w:r>
    </w:p>
    <w:p>
      <w:pPr>
        <w:spacing w:after="0" w:line="145" w:lineRule="exact"/>
        <w:rPr>
          <w:sz w:val="20"/>
          <w:szCs w:val="20"/>
          <w:color w:val="auto"/>
        </w:rPr>
      </w:pPr>
    </w:p>
    <w:p>
      <w:pPr>
        <w:ind w:right="260" w:firstLine="401"/>
        <w:spacing w:after="0" w:line="293" w:lineRule="auto"/>
        <w:rPr>
          <w:sz w:val="20"/>
          <w:szCs w:val="20"/>
          <w:color w:val="auto"/>
        </w:rPr>
      </w:pPr>
      <w:r>
        <w:rPr>
          <w:rFonts w:ascii="Arial" w:cs="Arial" w:eastAsia="Arial" w:hAnsi="Arial"/>
          <w:sz w:val="18"/>
          <w:szCs w:val="18"/>
          <w:color w:val="auto"/>
        </w:rPr>
        <w:t>The following tables present the balance and activity related to the allowance for credit losses for held-for-investment loans by type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 June 30, 2021</w:t>
            </w: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(Recapture of)</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8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Ending Balance March</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Provision for</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4"/>
              </w:rPr>
              <w:t>Ending Balance June</w:t>
            </w:r>
          </w:p>
        </w:tc>
        <w:tc>
          <w:tcPr>
            <w:tcW w:w="100" w:type="dxa"/>
            <w:vAlign w:val="bottom"/>
          </w:tcPr>
          <w:p>
            <w:pPr>
              <w:spacing w:after="0"/>
              <w:rPr>
                <w:sz w:val="15"/>
                <w:szCs w:val="15"/>
                <w:color w:val="auto"/>
              </w:rPr>
            </w:pPr>
          </w:p>
        </w:tc>
      </w:tr>
      <w:tr>
        <w:trPr>
          <w:trHeight w:val="192"/>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31, 2021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Charge-offs</w:t>
            </w:r>
          </w:p>
        </w:tc>
        <w:tc>
          <w:tcPr>
            <w:tcW w:w="240" w:type="dxa"/>
            <w:vAlign w:val="bottom"/>
          </w:tcPr>
          <w:p>
            <w:pPr>
              <w:spacing w:after="0"/>
              <w:rPr>
                <w:sz w:val="16"/>
                <w:szCs w:val="16"/>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b w:val="1"/>
                <w:bCs w:val="1"/>
                <w:color w:val="auto"/>
              </w:rPr>
              <w:t>Recoveries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Credit Losses</w:t>
            </w:r>
          </w:p>
        </w:tc>
        <w:tc>
          <w:tcPr>
            <w:tcW w:w="28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6"/>
                <w:szCs w:val="16"/>
                <w:color w:val="auto"/>
              </w:rPr>
            </w:pPr>
          </w:p>
        </w:tc>
      </w:tr>
      <w:tr>
        <w:trPr>
          <w:trHeight w:val="196"/>
        </w:trPr>
        <w:tc>
          <w:tcPr>
            <w:tcW w:w="2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56,572</w:t>
            </w:r>
          </w:p>
        </w:tc>
        <w:tc>
          <w:tcPr>
            <w:tcW w:w="5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(1,372 )</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55,200</w:t>
            </w:r>
          </w:p>
        </w:tc>
        <w:tc>
          <w:tcPr>
            <w:tcW w:w="100" w:type="dxa"/>
            <w:vAlign w:val="bottom"/>
            <w:shd w:val="clear" w:color="auto" w:fill="CFF0FC"/>
          </w:tcPr>
          <w:p>
            <w:pPr>
              <w:spacing w:after="0"/>
              <w:rPr>
                <w:sz w:val="18"/>
                <w:szCs w:val="18"/>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(94 )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7"/>
                <w:szCs w:val="17"/>
                <w:color w:val="auto"/>
              </w:rPr>
            </w:pPr>
          </w:p>
        </w:tc>
      </w:tr>
      <w:tr>
        <w:trPr>
          <w:trHeight w:val="20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2,546</w:t>
            </w:r>
          </w:p>
        </w:tc>
        <w:tc>
          <w:tcPr>
            <w:tcW w:w="100" w:type="dxa"/>
            <w:vAlign w:val="bottom"/>
            <w:shd w:val="clear" w:color="auto" w:fill="CFF0FC"/>
          </w:tcPr>
          <w:p>
            <w:pPr>
              <w:spacing w:after="0"/>
              <w:rPr>
                <w:sz w:val="18"/>
                <w:szCs w:val="18"/>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6,439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(500 )</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(274 )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5,667</w:t>
            </w:r>
          </w:p>
        </w:tc>
        <w:tc>
          <w:tcPr>
            <w:tcW w:w="100" w:type="dxa"/>
            <w:vAlign w:val="bottom"/>
          </w:tcPr>
          <w:p>
            <w:pPr>
              <w:spacing w:after="0"/>
              <w:rPr>
                <w:sz w:val="17"/>
                <w:szCs w:val="17"/>
                <w:color w:val="auto"/>
              </w:rPr>
            </w:pPr>
          </w:p>
        </w:tc>
      </w:tr>
      <w:tr>
        <w:trPr>
          <w:trHeight w:val="20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FF0FC"/>
          </w:tcPr>
          <w:p>
            <w:pPr>
              <w:spacing w:after="0"/>
              <w:rPr>
                <w:sz w:val="18"/>
                <w:szCs w:val="18"/>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r>
      <w:tr>
        <w:trPr>
          <w:trHeight w:val="20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(14 )</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FF0FC"/>
          </w:tcPr>
          <w:p>
            <w:pPr>
              <w:spacing w:after="0"/>
              <w:rPr>
                <w:sz w:val="18"/>
                <w:szCs w:val="18"/>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(10 )</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(361 )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7"/>
                <w:szCs w:val="17"/>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Total allowance for credit losses</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(510 )</w:t>
            </w:r>
          </w:p>
        </w:tc>
        <w:tc>
          <w:tcPr>
            <w:tcW w:w="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(2,000 )</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69,342</w:t>
            </w:r>
          </w:p>
        </w:tc>
        <w:tc>
          <w:tcPr>
            <w:tcW w:w="100" w:type="dxa"/>
            <w:vAlign w:val="bottom"/>
            <w:shd w:val="clear" w:color="auto" w:fill="CFF0FC"/>
          </w:tcPr>
          <w:p>
            <w:pPr>
              <w:spacing w:after="0"/>
              <w:rPr>
                <w:sz w:val="18"/>
                <w:szCs w:val="18"/>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-24765</wp:posOffset>
            </wp:positionV>
            <wp:extent cx="1885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1885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17970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1797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7145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1714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714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7145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real estate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Construction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SBA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and industrial</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Dairy &amp; livestock and agribusiness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Municipal lease finance receivables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SFR mortgage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Consumer and other loans</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Total allowance for credit losses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52889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Provision for</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Ending Balance March</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(Recapture of)</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4"/>
              </w:rPr>
              <w:t>Ending Balance June</w:t>
            </w:r>
          </w:p>
        </w:tc>
      </w:tr>
      <w:tr>
        <w:trPr>
          <w:trHeight w:val="192"/>
        </w:trPr>
        <w:tc>
          <w:tcPr>
            <w:tcW w:w="28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31, 2020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Charge-offs</w:t>
            </w:r>
          </w:p>
        </w:tc>
        <w:tc>
          <w:tcPr>
            <w:tcW w:w="1340" w:type="dxa"/>
            <w:vAlign w:val="bottom"/>
          </w:tcPr>
          <w:p>
            <w:pPr>
              <w:ind w:left="380"/>
              <w:spacing w:after="0"/>
              <w:rPr>
                <w:sz w:val="20"/>
                <w:szCs w:val="20"/>
                <w:color w:val="auto"/>
              </w:rPr>
            </w:pPr>
            <w:r>
              <w:rPr>
                <w:rFonts w:ascii="Arial" w:cs="Arial" w:eastAsia="Arial" w:hAnsi="Arial"/>
                <w:sz w:val="14"/>
                <w:szCs w:val="14"/>
                <w:b w:val="1"/>
                <w:bCs w:val="1"/>
                <w:color w:val="auto"/>
              </w:rPr>
              <w:t>Recoveries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Credit Losses</w:t>
            </w:r>
          </w:p>
        </w:tc>
        <w:tc>
          <w:tcPr>
            <w:tcW w:w="28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30, 2020</w:t>
            </w:r>
          </w:p>
        </w:tc>
      </w:tr>
      <w:tr>
        <w:trPr>
          <w:trHeight w:val="190"/>
        </w:trPr>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w w:val="95"/>
              </w:rPr>
              <w:t>(Dollars in thousands)</w:t>
            </w:r>
          </w:p>
        </w:tc>
        <w:tc>
          <w:tcPr>
            <w:tcW w:w="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03"/>
        </w:trPr>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58,427</w:t>
            </w:r>
          </w:p>
        </w:tc>
        <w:tc>
          <w:tcPr>
            <w:tcW w:w="5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16,501</w:t>
            </w:r>
          </w:p>
        </w:tc>
        <w:tc>
          <w:tcPr>
            <w:tcW w:w="26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74,928</w:t>
            </w:r>
          </w:p>
        </w:tc>
      </w:tr>
      <w:tr>
        <w:trPr>
          <w:trHeight w:val="203"/>
        </w:trPr>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4,632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(2,345 )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2,290</w:t>
            </w:r>
          </w:p>
        </w:tc>
      </w:tr>
      <w:tr>
        <w:trPr>
          <w:trHeight w:val="203"/>
        </w:trPr>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3,946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(156 )</w:t>
            </w:r>
          </w:p>
        </w:tc>
        <w:tc>
          <w:tcPr>
            <w:tcW w:w="1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(142 )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3,651</w:t>
            </w:r>
          </w:p>
        </w:tc>
      </w:tr>
      <w:tr>
        <w:trPr>
          <w:trHeight w:val="203"/>
        </w:trPr>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9,387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(11 )</w:t>
            </w:r>
          </w:p>
        </w:tc>
        <w:tc>
          <w:tcPr>
            <w:tcW w:w="1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(1,388 )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7,991</w:t>
            </w:r>
          </w:p>
        </w:tc>
      </w:tr>
      <w:tr>
        <w:trPr>
          <w:trHeight w:val="203"/>
        </w:trPr>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4,266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(887 )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3,379</w:t>
            </w:r>
          </w:p>
        </w:tc>
      </w:tr>
      <w:tr>
        <w:trPr>
          <w:trHeight w:val="203"/>
        </w:trPr>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03"/>
        </w:trPr>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(59 )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09"/>
        </w:trPr>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(205 )</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1,220</w:t>
            </w:r>
          </w:p>
        </w:tc>
      </w:tr>
      <w:tr>
        <w:trPr>
          <w:trHeight w:val="20"/>
        </w:trPr>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196"/>
        </w:trPr>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82,641</w:t>
            </w:r>
          </w:p>
        </w:tc>
        <w:tc>
          <w:tcPr>
            <w:tcW w:w="3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(167 )</w:t>
            </w:r>
          </w:p>
        </w:tc>
        <w:tc>
          <w:tcPr>
            <w:tcW w:w="1340" w:type="dxa"/>
            <w:vAlign w:val="bottom"/>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11,500</w:t>
            </w:r>
          </w:p>
        </w:tc>
        <w:tc>
          <w:tcPr>
            <w:tcW w:w="26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93,983</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-1190625</wp:posOffset>
            </wp:positionV>
            <wp:extent cx="7132320" cy="128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-933450</wp:posOffset>
            </wp:positionV>
            <wp:extent cx="7132320" cy="1289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-676275</wp:posOffset>
            </wp:positionV>
            <wp:extent cx="7132320" cy="1289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-419100</wp:posOffset>
            </wp:positionV>
            <wp:extent cx="7132320"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-153670</wp:posOffset>
            </wp:positionV>
            <wp:extent cx="7132320" cy="154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60"/>
            <w:col w:w="8440"/>
          </w:cols>
          <w:pgMar w:left="320" w:top="409" w:right="3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3"/>
              </w:rPr>
              <w:t>Six Months Ended June 30, 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(Recapture of)</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Ending Balance</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Provision for</w:t>
            </w: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4"/>
              </w:rPr>
              <w:t>Ending Balance June</w:t>
            </w:r>
          </w:p>
        </w:tc>
        <w:tc>
          <w:tcPr>
            <w:tcW w:w="100" w:type="dxa"/>
            <w:vAlign w:val="bottom"/>
          </w:tcPr>
          <w:p>
            <w:pPr>
              <w:spacing w:after="0"/>
              <w:rPr>
                <w:sz w:val="15"/>
                <w:szCs w:val="15"/>
                <w:color w:val="auto"/>
              </w:rPr>
            </w:pPr>
          </w:p>
        </w:tc>
      </w:tr>
      <w:tr>
        <w:trPr>
          <w:trHeight w:val="192"/>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Charge-offs</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Recoveries</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0"/>
              </w:rPr>
              <w:t>Credit Losses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6"/>
                <w:szCs w:val="16"/>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75,439</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67"/>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(20,239 )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55,200</w:t>
            </w:r>
          </w:p>
        </w:tc>
        <w:tc>
          <w:tcPr>
            <w:tcW w:w="100" w:type="dxa"/>
            <w:vAlign w:val="bottom"/>
            <w:shd w:val="clear" w:color="auto" w:fill="CFF0FC"/>
          </w:tcPr>
          <w:p>
            <w:pPr>
              <w:spacing w:after="0"/>
              <w:rPr>
                <w:sz w:val="18"/>
                <w:szCs w:val="18"/>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1,934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(153 )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7"/>
                <w:szCs w:val="17"/>
                <w:color w:val="auto"/>
              </w:rPr>
            </w:pPr>
          </w:p>
        </w:tc>
      </w:tr>
      <w:tr>
        <w:trPr>
          <w:trHeight w:val="208"/>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2,992</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(454 )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2,546</w:t>
            </w:r>
          </w:p>
        </w:tc>
        <w:tc>
          <w:tcPr>
            <w:tcW w:w="100" w:type="dxa"/>
            <w:vAlign w:val="bottom"/>
            <w:shd w:val="clear" w:color="auto" w:fill="CFF0FC"/>
          </w:tcPr>
          <w:p>
            <w:pPr>
              <w:spacing w:after="0"/>
              <w:rPr>
                <w:sz w:val="18"/>
                <w:szCs w:val="18"/>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7,142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color w:val="auto"/>
              </w:rPr>
              <w:t>(2,975 )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5,667</w:t>
            </w:r>
          </w:p>
        </w:tc>
        <w:tc>
          <w:tcPr>
            <w:tcW w:w="100" w:type="dxa"/>
            <w:vAlign w:val="bottom"/>
          </w:tcPr>
          <w:p>
            <w:pPr>
              <w:spacing w:after="0"/>
              <w:rPr>
                <w:sz w:val="17"/>
                <w:szCs w:val="17"/>
                <w:color w:val="auto"/>
              </w:rPr>
            </w:pPr>
          </w:p>
        </w:tc>
      </w:tr>
      <w:tr>
        <w:trPr>
          <w:trHeight w:val="208"/>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3,949</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(1,174 )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FF0FC"/>
          </w:tcPr>
          <w:p>
            <w:pPr>
              <w:spacing w:after="0"/>
              <w:rPr>
                <w:sz w:val="18"/>
                <w:szCs w:val="18"/>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r>
      <w:tr>
        <w:trPr>
          <w:trHeight w:val="208"/>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(162 )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FF0FC"/>
          </w:tcPr>
          <w:p>
            <w:pPr>
              <w:spacing w:after="0"/>
              <w:rPr>
                <w:sz w:val="18"/>
                <w:szCs w:val="18"/>
                <w:color w:val="auto"/>
              </w:rPr>
            </w:pPr>
          </w:p>
        </w:tc>
      </w:tr>
      <w:tr>
        <w:trPr>
          <w:trHeight w:val="203"/>
        </w:trPr>
        <w:tc>
          <w:tcPr>
            <w:tcW w:w="282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1,795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97"/>
              </w:rPr>
              <w:t>(10 )</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(807 )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7"/>
                <w:szCs w:val="17"/>
                <w:color w:val="auto"/>
              </w:rPr>
            </w:pPr>
          </w:p>
        </w:tc>
      </w:tr>
      <w:tr>
        <w:trPr>
          <w:trHeight w:val="20"/>
        </w:trPr>
        <w:tc>
          <w:tcPr>
            <w:tcW w:w="28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93,692</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67"/>
              <w:spacing w:after="0"/>
              <w:rPr>
                <w:sz w:val="20"/>
                <w:szCs w:val="20"/>
                <w:color w:val="auto"/>
              </w:rPr>
            </w:pPr>
            <w:r>
              <w:rPr>
                <w:rFonts w:ascii="Arial" w:cs="Arial" w:eastAsia="Arial" w:hAnsi="Arial"/>
                <w:sz w:val="5"/>
                <w:szCs w:val="5"/>
                <w:color w:val="auto"/>
                <w:w w:val="70"/>
              </w:rPr>
              <w:t>$</w:t>
            </w: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(2,985 )</w:t>
            </w:r>
          </w:p>
        </w:tc>
        <w:tc>
          <w:tcPr>
            <w:tcW w:w="9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(21,500 )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69,342</w:t>
            </w:r>
          </w:p>
        </w:tc>
        <w:tc>
          <w:tcPr>
            <w:tcW w:w="100" w:type="dxa"/>
            <w:vAlign w:val="bottom"/>
            <w:shd w:val="clear" w:color="auto" w:fill="CFF0FC"/>
          </w:tcPr>
          <w:p>
            <w:pPr>
              <w:spacing w:after="0"/>
              <w:rPr>
                <w:sz w:val="18"/>
                <w:szCs w:val="18"/>
                <w:color w:val="auto"/>
              </w:rPr>
            </w:pPr>
          </w:p>
        </w:tc>
      </w:tr>
      <w:tr>
        <w:trPr>
          <w:trHeight w:val="20"/>
        </w:trPr>
        <w:tc>
          <w:tcPr>
            <w:tcW w:w="28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3"/>
        </w:trPr>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2"/>
              </w:rPr>
              <w:t>Six Months Ended June 30, 2020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Ending Balance,</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prior to adoption</w:t>
            </w:r>
          </w:p>
        </w:tc>
        <w:tc>
          <w:tcPr>
            <w:tcW w:w="16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Impact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Provision for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of ASU 2016-13</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Adoption of ASU</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(Recapture of)</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Ending Balance</w:t>
            </w:r>
          </w:p>
        </w:tc>
        <w:tc>
          <w:tcPr>
            <w:tcW w:w="100" w:type="dxa"/>
            <w:vAlign w:val="bottom"/>
          </w:tcPr>
          <w:p>
            <w:pPr>
              <w:spacing w:after="0"/>
              <w:rPr>
                <w:sz w:val="15"/>
                <w:szCs w:val="15"/>
                <w:color w:val="auto"/>
              </w:rPr>
            </w:pPr>
          </w:p>
        </w:tc>
      </w:tr>
      <w:tr>
        <w:trPr>
          <w:trHeight w:val="192"/>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December 31, 2019</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4"/>
              </w:rPr>
              <w:t>Charge-offs</w:t>
            </w:r>
          </w:p>
        </w:tc>
        <w:tc>
          <w:tcPr>
            <w:tcW w:w="280" w:type="dxa"/>
            <w:vAlign w:val="bottom"/>
          </w:tcPr>
          <w:p>
            <w:pPr>
              <w:spacing w:after="0"/>
              <w:rPr>
                <w:sz w:val="16"/>
                <w:szCs w:val="16"/>
                <w:color w:val="auto"/>
              </w:rPr>
            </w:pPr>
          </w:p>
        </w:tc>
        <w:tc>
          <w:tcPr>
            <w:tcW w:w="10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Recoveries</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Credit Losses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6"/>
                <w:szCs w:val="16"/>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48,629</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3,547</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22,752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74,928</w:t>
            </w:r>
          </w:p>
        </w:tc>
        <w:tc>
          <w:tcPr>
            <w:tcW w:w="100" w:type="dxa"/>
            <w:vAlign w:val="bottom"/>
            <w:shd w:val="clear" w:color="auto" w:fill="CFF0FC"/>
          </w:tcPr>
          <w:p>
            <w:pPr>
              <w:spacing w:after="0"/>
              <w:rPr>
                <w:sz w:val="18"/>
                <w:szCs w:val="18"/>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2,290</w:t>
            </w:r>
          </w:p>
        </w:tc>
        <w:tc>
          <w:tcPr>
            <w:tcW w:w="100" w:type="dxa"/>
            <w:vAlign w:val="bottom"/>
          </w:tcPr>
          <w:p>
            <w:pPr>
              <w:spacing w:after="0"/>
              <w:rPr>
                <w:sz w:val="17"/>
                <w:szCs w:val="17"/>
                <w:color w:val="auto"/>
              </w:rPr>
            </w:pPr>
          </w:p>
        </w:tc>
      </w:tr>
      <w:tr>
        <w:trPr>
          <w:trHeight w:val="209"/>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1,453</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w:t>
            </w:r>
          </w:p>
        </w:tc>
        <w:tc>
          <w:tcPr>
            <w:tcW w:w="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(156 )</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533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3,651</w:t>
            </w:r>
          </w:p>
        </w:tc>
        <w:tc>
          <w:tcPr>
            <w:tcW w:w="100" w:type="dxa"/>
            <w:vAlign w:val="bottom"/>
            <w:shd w:val="clear" w:color="auto" w:fill="CFF0FC"/>
          </w:tcPr>
          <w:p>
            <w:pPr>
              <w:spacing w:after="0"/>
              <w:rPr>
                <w:sz w:val="18"/>
                <w:szCs w:val="18"/>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8,880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(2,442 )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(11 )</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1,559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7,991</w:t>
            </w:r>
          </w:p>
        </w:tc>
        <w:tc>
          <w:tcPr>
            <w:tcW w:w="100" w:type="dxa"/>
            <w:vAlign w:val="bottom"/>
          </w:tcPr>
          <w:p>
            <w:pPr>
              <w:spacing w:after="0"/>
              <w:rPr>
                <w:sz w:val="17"/>
                <w:szCs w:val="17"/>
                <w:color w:val="auto"/>
              </w:rPr>
            </w:pPr>
          </w:p>
        </w:tc>
      </w:tr>
      <w:tr>
        <w:trPr>
          <w:trHeight w:val="209"/>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5,255</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(186 )</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8"/>
              <w:spacing w:after="0"/>
              <w:rPr>
                <w:sz w:val="20"/>
                <w:szCs w:val="20"/>
                <w:color w:val="auto"/>
              </w:rPr>
            </w:pPr>
            <w:r>
              <w:rPr>
                <w:rFonts w:ascii="Arial" w:cs="Arial" w:eastAsia="Arial" w:hAnsi="Arial"/>
                <w:sz w:val="14"/>
                <w:szCs w:val="14"/>
                <w:color w:val="auto"/>
              </w:rPr>
              <w:t>(1,690 )</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3,379</w:t>
            </w:r>
          </w:p>
        </w:tc>
        <w:tc>
          <w:tcPr>
            <w:tcW w:w="100" w:type="dxa"/>
            <w:vAlign w:val="bottom"/>
            <w:shd w:val="clear" w:color="auto" w:fill="CFF0FC"/>
          </w:tcPr>
          <w:p>
            <w:pPr>
              <w:spacing w:after="0"/>
              <w:rPr>
                <w:sz w:val="18"/>
                <w:szCs w:val="18"/>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(416 )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r>
      <w:tr>
        <w:trPr>
          <w:trHeight w:val="209"/>
        </w:trPr>
        <w:tc>
          <w:tcPr>
            <w:tcW w:w="28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2,339</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(2,043 )</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206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8"/>
              <w:spacing w:after="0"/>
              <w:rPr>
                <w:sz w:val="20"/>
                <w:szCs w:val="20"/>
                <w:color w:val="auto"/>
              </w:rPr>
            </w:pPr>
            <w:r>
              <w:rPr>
                <w:rFonts w:ascii="Arial" w:cs="Arial" w:eastAsia="Arial" w:hAnsi="Arial"/>
                <w:sz w:val="14"/>
                <w:szCs w:val="14"/>
                <w:color w:val="auto"/>
              </w:rPr>
              <w:t>(280 )</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FF0FC"/>
          </w:tcPr>
          <w:p>
            <w:pPr>
              <w:spacing w:after="0"/>
              <w:rPr>
                <w:sz w:val="18"/>
                <w:szCs w:val="18"/>
                <w:color w:val="auto"/>
              </w:rPr>
            </w:pPr>
          </w:p>
        </w:tc>
      </w:tr>
      <w:tr>
        <w:trPr>
          <w:trHeight w:val="202"/>
        </w:trPr>
        <w:tc>
          <w:tcPr>
            <w:tcW w:w="282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(86 )</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88"/>
              <w:spacing w:after="0"/>
              <w:rPr>
                <w:sz w:val="20"/>
                <w:szCs w:val="20"/>
                <w:color w:val="auto"/>
              </w:rPr>
            </w:pPr>
            <w:r>
              <w:rPr>
                <w:rFonts w:ascii="Arial" w:cs="Arial" w:eastAsia="Arial" w:hAnsi="Arial"/>
                <w:sz w:val="14"/>
                <w:szCs w:val="14"/>
                <w:color w:val="auto"/>
              </w:rPr>
              <w:t>(240 )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2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68,660</w:t>
            </w: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w:t>
            </w:r>
          </w:p>
        </w:tc>
        <w:tc>
          <w:tcPr>
            <w:tcW w:w="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(253 )</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236</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23,500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93,983</w:t>
            </w:r>
          </w:p>
        </w:tc>
        <w:tc>
          <w:tcPr>
            <w:tcW w:w="100" w:type="dxa"/>
            <w:vAlign w:val="bottom"/>
            <w:shd w:val="clear" w:color="auto" w:fill="CFF0FC"/>
          </w:tcPr>
          <w:p>
            <w:pPr>
              <w:spacing w:after="0"/>
              <w:rPr>
                <w:sz w:val="18"/>
                <w:szCs w:val="18"/>
                <w:color w:val="auto"/>
              </w:rPr>
            </w:pPr>
          </w:p>
        </w:tc>
      </w:tr>
      <w:tr>
        <w:trPr>
          <w:trHeight w:val="20"/>
        </w:trPr>
        <w:tc>
          <w:tcPr>
            <w:tcW w:w="28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-2091055</wp:posOffset>
            </wp:positionV>
            <wp:extent cx="1885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-2073910</wp:posOffset>
            </wp:positionV>
            <wp:extent cx="1885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-2091055</wp:posOffset>
            </wp:positionV>
            <wp:extent cx="1797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-2073910</wp:posOffset>
            </wp:positionV>
            <wp:extent cx="1797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-2091055</wp:posOffset>
            </wp:positionV>
            <wp:extent cx="17145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-2073910</wp:posOffset>
            </wp:positionV>
            <wp:extent cx="17145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-2091055</wp:posOffset>
            </wp:positionV>
            <wp:extent cx="17145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-2073910</wp:posOffset>
            </wp:positionV>
            <wp:extent cx="1714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-24765</wp:posOffset>
            </wp:positionV>
            <wp:extent cx="1885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-8255</wp:posOffset>
            </wp:positionV>
            <wp:extent cx="18859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1885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18859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1714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17145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7145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1714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37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1371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220" w:firstLine="401"/>
        <w:spacing w:after="0" w:line="293" w:lineRule="auto"/>
        <w:rPr>
          <w:sz w:val="20"/>
          <w:szCs w:val="20"/>
          <w:color w:val="auto"/>
        </w:rPr>
      </w:pPr>
      <w:r>
        <w:rPr>
          <w:rFonts w:ascii="Arial" w:cs="Arial" w:eastAsia="Arial" w:hAnsi="Arial"/>
          <w:sz w:val="18"/>
          <w:szCs w:val="18"/>
          <w:color w:val="auto"/>
        </w:rPr>
        <w:t>As of June 30, 2021, the remaining outstanding balance of PPP loans was $657.8 million. As these loans are fully guaranteed by the SBA, the ACL does not include an allowance.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Due and Nonperforming Loans</w:t>
      </w:r>
    </w:p>
    <w:p>
      <w:pPr>
        <w:spacing w:after="0" w:line="252" w:lineRule="exact"/>
        <w:rPr>
          <w:sz w:val="20"/>
          <w:szCs w:val="20"/>
          <w:color w:val="auto"/>
        </w:rPr>
      </w:pPr>
    </w:p>
    <w:p>
      <w:pPr>
        <w:ind w:right="80" w:firstLine="405"/>
        <w:spacing w:after="0" w:line="269" w:lineRule="auto"/>
        <w:rPr>
          <w:sz w:val="20"/>
          <w:szCs w:val="20"/>
          <w:color w:val="auto"/>
        </w:rPr>
      </w:pPr>
      <w:r>
        <w:rPr>
          <w:rFonts w:ascii="Arial" w:cs="Arial" w:eastAsia="Arial" w:hAnsi="Arial"/>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included in our Annual Report on Form 10-K for the year ended December 31, 2020, for additional discussion concerning the Bank’s policy for past due and nonperforming loans.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0" w:name="page21"/>
    <w:bookmarkEnd w:id="20"/>
    <w:p>
      <w:pPr>
        <w:ind w:right="40" w:firstLine="401"/>
        <w:spacing w:after="0" w:line="293" w:lineRule="auto"/>
        <w:rPr>
          <w:sz w:val="20"/>
          <w:szCs w:val="20"/>
          <w:color w:val="auto"/>
        </w:rPr>
      </w:pPr>
      <w:r>
        <w:rPr>
          <w:rFonts w:ascii="Arial" w:cs="Arial" w:eastAsia="Arial" w:hAnsi="Arial"/>
          <w:sz w:val="18"/>
          <w:szCs w:val="18"/>
          <w:color w:val="auto"/>
        </w:rPr>
        <w:t>The following table presents the recorded investment in, and the aging of, past due loans (including nonaccrual loans), by type of loans as of the dates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Greater than 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Total Loans and</w:t>
            </w:r>
          </w:p>
        </w:tc>
        <w:tc>
          <w:tcPr>
            <w:tcW w:w="100" w:type="dxa"/>
            <w:vAlign w:val="bottom"/>
          </w:tcPr>
          <w:p>
            <w:pPr>
              <w:spacing w:after="0"/>
              <w:rPr>
                <w:sz w:val="15"/>
                <w:szCs w:val="15"/>
                <w:color w:val="auto"/>
              </w:rPr>
            </w:pPr>
          </w:p>
        </w:tc>
      </w:tr>
      <w:tr>
        <w:trPr>
          <w:trHeight w:val="175"/>
        </w:trPr>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30-59 Days Past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60-89 Days Past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Loans Not Past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5"/>
                <w:szCs w:val="15"/>
                <w:color w:val="auto"/>
              </w:rPr>
            </w:pPr>
          </w:p>
        </w:tc>
      </w:tr>
      <w:tr>
        <w:trPr>
          <w:trHeight w:val="192"/>
        </w:trPr>
        <w:tc>
          <w:tcPr>
            <w:tcW w:w="3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Past 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Total Past 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Receivables</w:t>
            </w:r>
          </w:p>
        </w:tc>
        <w:tc>
          <w:tcPr>
            <w:tcW w:w="100" w:type="dxa"/>
            <w:vAlign w:val="bottom"/>
          </w:tcPr>
          <w:p>
            <w:pPr>
              <w:spacing w:after="0"/>
              <w:rPr>
                <w:sz w:val="16"/>
                <w:szCs w:val="16"/>
                <w:color w:val="auto"/>
              </w:rPr>
            </w:pPr>
          </w:p>
        </w:tc>
      </w:tr>
      <w:tr>
        <w:trPr>
          <w:trHeight w:val="196"/>
        </w:trPr>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right"/>
              <w:ind w:right="608"/>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80"/>
              <w:spacing w:after="0"/>
              <w:rPr>
                <w:sz w:val="20"/>
                <w:szCs w:val="20"/>
                <w:color w:val="auto"/>
              </w:rPr>
            </w:pPr>
            <w:r>
              <w:rPr>
                <w:rFonts w:ascii="Arial" w:cs="Arial" w:eastAsia="Arial" w:hAnsi="Arial"/>
                <w:sz w:val="14"/>
                <w:szCs w:val="14"/>
                <w:color w:val="auto"/>
              </w:rPr>
              <w:t>Owner occupied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3,239</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3,239</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2,135,252</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2,138,491</w:t>
            </w: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Non-owner occupied</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3,531,450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3,532,205</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Speculative (1)</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68,175</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80"/>
              <w:spacing w:after="0"/>
              <w:rPr>
                <w:sz w:val="20"/>
                <w:szCs w:val="20"/>
                <w:color w:val="auto"/>
              </w:rPr>
            </w:pPr>
            <w:r>
              <w:rPr>
                <w:rFonts w:ascii="Arial" w:cs="Arial" w:eastAsia="Arial" w:hAnsi="Arial"/>
                <w:sz w:val="14"/>
                <w:szCs w:val="14"/>
                <w:color w:val="auto"/>
              </w:rPr>
              <w:t>Non-speculative</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20,105</w:t>
            </w: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290,543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291,778</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0"/>
              <w:spacing w:after="0"/>
              <w:rPr>
                <w:sz w:val="20"/>
                <w:szCs w:val="20"/>
                <w:color w:val="auto"/>
              </w:rPr>
            </w:pPr>
            <w:r>
              <w:rPr>
                <w:rFonts w:ascii="Arial" w:cs="Arial" w:eastAsia="Arial" w:hAnsi="Arial"/>
                <w:sz w:val="14"/>
                <w:szCs w:val="14"/>
                <w:color w:val="auto"/>
              </w:rPr>
              <w:t>SBA - PPP</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657,815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657,815</w:t>
            </w: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747,247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749,117</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257,781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257,781</w:t>
            </w: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44,657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44,657</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236,906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237,124</w:t>
            </w:r>
          </w:p>
        </w:tc>
        <w:tc>
          <w:tcPr>
            <w:tcW w:w="100" w:type="dxa"/>
            <w:vAlign w:val="bottom"/>
          </w:tcPr>
          <w:p>
            <w:pPr>
              <w:spacing w:after="0"/>
              <w:rPr>
                <w:sz w:val="17"/>
                <w:szCs w:val="17"/>
                <w:color w:val="auto"/>
              </w:rPr>
            </w:pPr>
          </w:p>
        </w:tc>
      </w:tr>
      <w:tr>
        <w:trPr>
          <w:trHeight w:val="208"/>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74,016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74,062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3100" w:type="dxa"/>
            <w:vAlign w:val="bottom"/>
          </w:tcPr>
          <w:p>
            <w:pPr>
              <w:ind w:left="400"/>
              <w:spacing w:after="0"/>
              <w:rPr>
                <w:sz w:val="20"/>
                <w:szCs w:val="20"/>
                <w:color w:val="auto"/>
              </w:rPr>
            </w:pPr>
            <w:r>
              <w:rPr>
                <w:rFonts w:ascii="Arial" w:cs="Arial" w:eastAsia="Arial" w:hAnsi="Arial"/>
                <w:sz w:val="14"/>
                <w:szCs w:val="14"/>
                <w:color w:val="auto"/>
              </w:rPr>
              <w:t>Total loans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415</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6,906</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7,363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8,063,947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8,071,310</w:t>
            </w:r>
          </w:p>
        </w:tc>
        <w:tc>
          <w:tcPr>
            <w:tcW w:w="10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-159385</wp:posOffset>
            </wp:positionV>
            <wp:extent cx="154305"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-159385</wp:posOffset>
            </wp:positionV>
            <wp:extent cx="15430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-159385</wp:posOffset>
            </wp:positionV>
            <wp:extent cx="14605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13716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wp:posOffset>
            </wp:positionV>
            <wp:extent cx="13716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Speculative construction loans are generally for properties where there is no identified buyer or renter.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Greater than 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Total Loans and</w:t>
            </w:r>
          </w:p>
        </w:tc>
        <w:tc>
          <w:tcPr>
            <w:tcW w:w="100" w:type="dxa"/>
            <w:vAlign w:val="bottom"/>
          </w:tcPr>
          <w:p>
            <w:pPr>
              <w:spacing w:after="0"/>
              <w:rPr>
                <w:sz w:val="15"/>
                <w:szCs w:val="15"/>
                <w:color w:val="auto"/>
              </w:rPr>
            </w:pPr>
          </w:p>
        </w:tc>
      </w:tr>
      <w:tr>
        <w:trPr>
          <w:trHeight w:val="176"/>
        </w:trPr>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30-59 Days Past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60-89 Days Past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Loans Not Past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5"/>
                <w:szCs w:val="15"/>
                <w:color w:val="auto"/>
              </w:rPr>
            </w:pPr>
          </w:p>
        </w:tc>
      </w:tr>
      <w:tr>
        <w:trPr>
          <w:trHeight w:val="192"/>
        </w:trPr>
        <w:tc>
          <w:tcPr>
            <w:tcW w:w="3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Past 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Total Past 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Receivables</w:t>
            </w:r>
          </w:p>
        </w:tc>
        <w:tc>
          <w:tcPr>
            <w:tcW w:w="100" w:type="dxa"/>
            <w:vAlign w:val="bottom"/>
          </w:tcPr>
          <w:p>
            <w:pPr>
              <w:spacing w:after="0"/>
              <w:rPr>
                <w:sz w:val="16"/>
                <w:szCs w:val="16"/>
                <w:color w:val="auto"/>
              </w:rPr>
            </w:pPr>
          </w:p>
        </w:tc>
      </w:tr>
      <w:tr>
        <w:trPr>
          <w:trHeight w:val="196"/>
        </w:trPr>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right"/>
              <w:ind w:right="608"/>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80"/>
              <w:spacing w:after="0"/>
              <w:rPr>
                <w:sz w:val="20"/>
                <w:szCs w:val="20"/>
                <w:color w:val="auto"/>
              </w:rPr>
            </w:pPr>
            <w:r>
              <w:rPr>
                <w:rFonts w:ascii="Arial" w:cs="Arial" w:eastAsia="Arial" w:hAnsi="Arial"/>
                <w:sz w:val="14"/>
                <w:szCs w:val="14"/>
                <w:color w:val="auto"/>
              </w:rPr>
              <w:t>Owner occupied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7,208</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7,208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2,136,051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2,143,259</w:t>
            </w: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Non-owner occupied</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3,358,250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3,358,250</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Speculative (1)</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72,126</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80"/>
              <w:spacing w:after="0"/>
              <w:rPr>
                <w:sz w:val="20"/>
                <w:szCs w:val="20"/>
                <w:color w:val="auto"/>
              </w:rPr>
            </w:pPr>
            <w:r>
              <w:rPr>
                <w:rFonts w:ascii="Arial" w:cs="Arial" w:eastAsia="Arial" w:hAnsi="Arial"/>
                <w:sz w:val="14"/>
                <w:szCs w:val="14"/>
                <w:color w:val="auto"/>
              </w:rPr>
              <w:t>Non-speculative</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13,019</w:t>
            </w: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299,925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303,896</w:t>
            </w:r>
          </w:p>
        </w:tc>
        <w:tc>
          <w:tcPr>
            <w:tcW w:w="100" w:type="dxa"/>
            <w:vAlign w:val="bottom"/>
            <w:shd w:val="clear" w:color="auto" w:fill="CFF0FC"/>
          </w:tcPr>
          <w:p>
            <w:pPr>
              <w:spacing w:after="0"/>
              <w:rPr>
                <w:sz w:val="18"/>
                <w:szCs w:val="18"/>
                <w:color w:val="auto"/>
              </w:rPr>
            </w:pPr>
          </w:p>
        </w:tc>
      </w:tr>
      <w:tr>
        <w:trPr>
          <w:trHeight w:val="197"/>
        </w:trPr>
        <w:tc>
          <w:tcPr>
            <w:tcW w:w="3100" w:type="dxa"/>
            <w:vAlign w:val="bottom"/>
          </w:tcPr>
          <w:p>
            <w:pPr>
              <w:ind w:left="20"/>
              <w:spacing w:after="0"/>
              <w:rPr>
                <w:sz w:val="20"/>
                <w:szCs w:val="20"/>
                <w:color w:val="auto"/>
              </w:rPr>
            </w:pPr>
            <w:r>
              <w:rPr>
                <w:rFonts w:ascii="Arial" w:cs="Arial" w:eastAsia="Arial" w:hAnsi="Arial"/>
                <w:sz w:val="14"/>
                <w:szCs w:val="14"/>
                <w:color w:val="auto"/>
              </w:rPr>
              <w:t>SBA - PPP</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882,986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882,986</w:t>
            </w:r>
          </w:p>
        </w:tc>
        <w:tc>
          <w:tcPr>
            <w:tcW w:w="100" w:type="dxa"/>
            <w:vAlign w:val="bottom"/>
          </w:tcPr>
          <w:p>
            <w:pPr>
              <w:spacing w:after="0"/>
              <w:rPr>
                <w:sz w:val="17"/>
                <w:szCs w:val="17"/>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808,305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812,062</w:t>
            </w:r>
          </w:p>
        </w:tc>
        <w:tc>
          <w:tcPr>
            <w:tcW w:w="100" w:type="dxa"/>
            <w:vAlign w:val="bottom"/>
            <w:shd w:val="clear" w:color="auto" w:fill="CFF0FC"/>
          </w:tcPr>
          <w:p>
            <w:pPr>
              <w:spacing w:after="0"/>
              <w:rPr>
                <w:sz w:val="18"/>
                <w:szCs w:val="18"/>
                <w:color w:val="auto"/>
              </w:rPr>
            </w:pPr>
          </w:p>
        </w:tc>
      </w:tr>
      <w:tr>
        <w:trPr>
          <w:trHeight w:val="196"/>
        </w:trPr>
        <w:tc>
          <w:tcPr>
            <w:tcW w:w="310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360,362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361,146</w:t>
            </w:r>
          </w:p>
        </w:tc>
        <w:tc>
          <w:tcPr>
            <w:tcW w:w="100" w:type="dxa"/>
            <w:vAlign w:val="bottom"/>
          </w:tcPr>
          <w:p>
            <w:pPr>
              <w:spacing w:after="0"/>
              <w:rPr>
                <w:sz w:val="17"/>
                <w:szCs w:val="17"/>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45,547</w:t>
            </w:r>
          </w:p>
        </w:tc>
        <w:tc>
          <w:tcPr>
            <w:tcW w:w="100" w:type="dxa"/>
            <w:vAlign w:val="bottom"/>
            <w:shd w:val="clear" w:color="auto" w:fill="CFF0FC"/>
          </w:tcPr>
          <w:p>
            <w:pPr>
              <w:spacing w:after="0"/>
              <w:rPr>
                <w:sz w:val="18"/>
                <w:szCs w:val="18"/>
                <w:color w:val="auto"/>
              </w:rPr>
            </w:pPr>
          </w:p>
        </w:tc>
      </w:tr>
      <w:tr>
        <w:trPr>
          <w:trHeight w:val="196"/>
        </w:trPr>
        <w:tc>
          <w:tcPr>
            <w:tcW w:w="310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270,282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270,511</w:t>
            </w:r>
          </w:p>
        </w:tc>
        <w:tc>
          <w:tcPr>
            <w:tcW w:w="100" w:type="dxa"/>
            <w:vAlign w:val="bottom"/>
          </w:tcPr>
          <w:p>
            <w:pPr>
              <w:spacing w:after="0"/>
              <w:rPr>
                <w:sz w:val="17"/>
                <w:szCs w:val="17"/>
                <w:color w:val="auto"/>
              </w:rPr>
            </w:pPr>
          </w:p>
        </w:tc>
      </w:tr>
      <w:tr>
        <w:trPr>
          <w:trHeight w:val="209"/>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86,006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86,006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3100" w:type="dxa"/>
            <w:vAlign w:val="bottom"/>
          </w:tcPr>
          <w:p>
            <w:pPr>
              <w:ind w:left="400"/>
              <w:spacing w:after="0"/>
              <w:rPr>
                <w:sz w:val="20"/>
                <w:szCs w:val="20"/>
                <w:color w:val="auto"/>
              </w:rPr>
            </w:pPr>
            <w:r>
              <w:rPr>
                <w:rFonts w:ascii="Arial" w:cs="Arial" w:eastAsia="Arial" w:hAnsi="Arial"/>
                <w:sz w:val="14"/>
                <w:szCs w:val="14"/>
                <w:color w:val="auto"/>
              </w:rPr>
              <w:t>Total loans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1,139</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3,226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11,584</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15,949</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8,332,859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8,348,808</w:t>
            </w:r>
          </w:p>
        </w:tc>
        <w:tc>
          <w:tcPr>
            <w:tcW w:w="10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-159385</wp:posOffset>
            </wp:positionV>
            <wp:extent cx="15430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-159385</wp:posOffset>
            </wp:positionV>
            <wp:extent cx="15430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-159385</wp:posOffset>
            </wp:positionV>
            <wp:extent cx="14605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13716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wp:posOffset>
            </wp:positionV>
            <wp:extent cx="13716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5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p>
      <w:pPr>
        <w:ind w:right="400" w:firstLine="405"/>
        <w:spacing w:after="0" w:line="293" w:lineRule="auto"/>
        <w:rPr>
          <w:sz w:val="20"/>
          <w:szCs w:val="20"/>
          <w:color w:val="auto"/>
        </w:rPr>
      </w:pPr>
      <w:r>
        <w:rPr>
          <w:rFonts w:ascii="Arial" w:cs="Arial" w:eastAsia="Arial" w:hAnsi="Arial"/>
          <w:sz w:val="18"/>
          <w:szCs w:val="18"/>
          <w:color w:val="auto"/>
        </w:rPr>
        <w:t>Amortized cost of our finance receivables and loans that are on nonaccrual status, including loans with no allowance are presented as of June 30, 2021 and December 31, 2020 by type of loan.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 2021</w:t>
            </w: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Nonaccrual with</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Loans Past Due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30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 Allowance for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Nonaccrual</w:t>
            </w:r>
          </w:p>
        </w:tc>
        <w:tc>
          <w:tcPr>
            <w:tcW w:w="13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Over 89 Days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6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Credit Losses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Still Accruing</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20" w:type="dxa"/>
            <w:vAlign w:val="bottom"/>
            <w:gridSpan w:val="4"/>
          </w:tcPr>
          <w:p>
            <w:pPr>
              <w:jc w:val="center"/>
              <w:ind w:right="20"/>
              <w:spacing w:after="0"/>
              <w:rPr>
                <w:sz w:val="20"/>
                <w:szCs w:val="20"/>
                <w:color w:val="auto"/>
              </w:rPr>
            </w:pPr>
            <w:r>
              <w:rPr>
                <w:rFonts w:ascii="Arial" w:cs="Arial" w:eastAsia="Arial" w:hAnsi="Arial"/>
                <w:sz w:val="18"/>
                <w:szCs w:val="18"/>
                <w:i w:val="1"/>
                <w:iCs w:val="1"/>
                <w:color w:val="auto"/>
                <w:w w:val="93"/>
              </w:rPr>
              <w:t>(Dollars 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300" w:type="dxa"/>
            <w:vAlign w:val="bottom"/>
          </w:tcPr>
          <w:p>
            <w:pPr>
              <w:ind w:left="280"/>
              <w:spacing w:after="0"/>
              <w:rPr>
                <w:sz w:val="20"/>
                <w:szCs w:val="20"/>
                <w:color w:val="auto"/>
              </w:rPr>
            </w:pPr>
            <w:r>
              <w:rPr>
                <w:rFonts w:ascii="Arial" w:cs="Arial" w:eastAsia="Arial" w:hAnsi="Arial"/>
                <w:sz w:val="18"/>
                <w:szCs w:val="18"/>
                <w:color w:val="auto"/>
              </w:rPr>
              <w:t>Owner occupied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3,684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3,684</w:t>
            </w:r>
          </w:p>
        </w:tc>
        <w:tc>
          <w:tcPr>
            <w:tcW w:w="300" w:type="dxa"/>
            <w:vAlign w:val="bottom"/>
          </w:tcPr>
          <w:p>
            <w:pPr>
              <w:spacing w:after="0"/>
              <w:rPr>
                <w:sz w:val="21"/>
                <w:szCs w:val="21"/>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Non-owner occupied</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Speculative (2)</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00" w:type="dxa"/>
            <w:vAlign w:val="bottom"/>
          </w:tcPr>
          <w:p>
            <w:pPr>
              <w:ind w:left="280"/>
              <w:spacing w:after="0"/>
              <w:rPr>
                <w:sz w:val="20"/>
                <w:szCs w:val="20"/>
                <w:color w:val="auto"/>
              </w:rPr>
            </w:pPr>
            <w:r>
              <w:rPr>
                <w:rFonts w:ascii="Arial" w:cs="Arial" w:eastAsia="Arial" w:hAnsi="Arial"/>
                <w:sz w:val="18"/>
                <w:szCs w:val="18"/>
                <w:color w:val="auto"/>
              </w:rPr>
              <w:t>Non-speculative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SBA - PPP</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14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300" w:type="dxa"/>
            <w:vAlign w:val="bottom"/>
          </w:tcPr>
          <w:p>
            <w:pPr>
              <w:ind w:left="40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6,407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8,471</w:t>
            </w:r>
          </w:p>
        </w:tc>
        <w:tc>
          <w:tcPr>
            <w:tcW w:w="300" w:type="dxa"/>
            <w:vAlign w:val="bottom"/>
          </w:tcPr>
          <w:p>
            <w:pPr>
              <w:spacing w:after="0"/>
              <w:rPr>
                <w:sz w:val="21"/>
                <w:szCs w:val="21"/>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-193675</wp:posOffset>
            </wp:positionV>
            <wp:extent cx="20574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18859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June 30, 2021, $1.5 million of nonaccruing loans were current, $42,000 were 60-89 days past due, and $6.9 million were 90+ days past due.</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2020</w:t>
            </w: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32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Nonaccrual with</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Loans Past Due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32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 Allowance for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Nonaccrual</w:t>
            </w:r>
          </w:p>
        </w:tc>
        <w:tc>
          <w:tcPr>
            <w:tcW w:w="13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Over 89 Days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Credit Losses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 (3)</w:t>
            </w:r>
          </w:p>
        </w:tc>
        <w:tc>
          <w:tcPr>
            <w:tcW w:w="3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Still Accruing</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20" w:type="dxa"/>
            <w:vAlign w:val="bottom"/>
            <w:gridSpan w:val="4"/>
          </w:tcPr>
          <w:p>
            <w:pPr>
              <w:jc w:val="center"/>
              <w:ind w:right="20"/>
              <w:spacing w:after="0"/>
              <w:rPr>
                <w:sz w:val="20"/>
                <w:szCs w:val="20"/>
                <w:color w:val="auto"/>
              </w:rPr>
            </w:pPr>
            <w:r>
              <w:rPr>
                <w:rFonts w:ascii="Arial" w:cs="Arial" w:eastAsia="Arial" w:hAnsi="Arial"/>
                <w:sz w:val="16"/>
                <w:szCs w:val="16"/>
                <w:i w:val="1"/>
                <w:iCs w:val="1"/>
                <w:color w:val="auto"/>
                <w:w w:val="95"/>
              </w:rPr>
              <w:t>(Dollars 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6320" w:type="dxa"/>
            <w:vAlign w:val="bottom"/>
          </w:tcPr>
          <w:p>
            <w:pPr>
              <w:ind w:left="280"/>
              <w:spacing w:after="0"/>
              <w:rPr>
                <w:sz w:val="20"/>
                <w:szCs w:val="20"/>
                <w:color w:val="auto"/>
              </w:rPr>
            </w:pPr>
            <w:r>
              <w:rPr>
                <w:rFonts w:ascii="Arial" w:cs="Arial" w:eastAsia="Arial" w:hAnsi="Arial"/>
                <w:sz w:val="18"/>
                <w:szCs w:val="18"/>
                <w:color w:val="auto"/>
              </w:rPr>
              <w:t>Owner occupied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7,563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7,563</w:t>
            </w:r>
          </w:p>
        </w:tc>
        <w:tc>
          <w:tcPr>
            <w:tcW w:w="300" w:type="dxa"/>
            <w:vAlign w:val="bottom"/>
          </w:tcPr>
          <w:p>
            <w:pPr>
              <w:spacing w:after="0"/>
              <w:rPr>
                <w:sz w:val="21"/>
                <w:szCs w:val="21"/>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Non-owner occupied</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Speculative (2)</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20" w:type="dxa"/>
            <w:vAlign w:val="bottom"/>
          </w:tcPr>
          <w:p>
            <w:pPr>
              <w:ind w:left="280"/>
              <w:spacing w:after="0"/>
              <w:rPr>
                <w:sz w:val="20"/>
                <w:szCs w:val="20"/>
                <w:color w:val="auto"/>
              </w:rPr>
            </w:pPr>
            <w:r>
              <w:rPr>
                <w:rFonts w:ascii="Arial" w:cs="Arial" w:eastAsia="Arial" w:hAnsi="Arial"/>
                <w:sz w:val="18"/>
                <w:szCs w:val="18"/>
                <w:color w:val="auto"/>
              </w:rPr>
              <w:t>Non-speculative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SBA - PPP</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63"/>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1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320" w:type="dxa"/>
            <w:vAlign w:val="bottom"/>
          </w:tcPr>
          <w:p>
            <w:pPr>
              <w:ind w:left="40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12,556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14,347</w:t>
            </w:r>
          </w:p>
        </w:tc>
        <w:tc>
          <w:tcPr>
            <w:tcW w:w="300" w:type="dxa"/>
            <w:vAlign w:val="bottom"/>
          </w:tcPr>
          <w:p>
            <w:pPr>
              <w:spacing w:after="0"/>
              <w:rPr>
                <w:sz w:val="21"/>
                <w:szCs w:val="21"/>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-193675</wp:posOffset>
            </wp:positionV>
            <wp:extent cx="2057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18859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660" w:right="300" w:hanging="328"/>
        <w:spacing w:after="0" w:line="26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December 31, 2020, $1.4 million of nonaccruing loans were current, $2,000 were 30-59 days past due, $1.3 million were 60-89 days past due, and $11.6 million were 90+ days past due.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$184,000 of guaranteed portion of nonaccrual SBA loans that are in process of collection.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252" w:lineRule="exact"/>
        <w:rPr>
          <w:sz w:val="20"/>
          <w:szCs w:val="20"/>
          <w:color w:val="auto"/>
        </w:rPr>
      </w:pPr>
    </w:p>
    <w:p>
      <w:pPr>
        <w:ind w:right="220" w:firstLine="401"/>
        <w:spacing w:after="0" w:line="279" w:lineRule="auto"/>
        <w:rPr>
          <w:sz w:val="20"/>
          <w:szCs w:val="20"/>
          <w:color w:val="auto"/>
        </w:rPr>
      </w:pPr>
      <w:r>
        <w:rPr>
          <w:rFonts w:ascii="Arial" w:cs="Arial" w:eastAsia="Arial" w:hAnsi="Arial"/>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June 30, 2021</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Loans</w:t>
            </w:r>
          </w:p>
        </w:tc>
        <w:tc>
          <w:tcPr>
            <w:tcW w:w="100" w:type="dxa"/>
            <w:vAlign w:val="bottom"/>
          </w:tcPr>
          <w:p>
            <w:pPr>
              <w:spacing w:after="0"/>
              <w:rPr>
                <w:sz w:val="19"/>
                <w:szCs w:val="19"/>
                <w:color w:val="auto"/>
              </w:rPr>
            </w:pPr>
          </w:p>
        </w:tc>
      </w:tr>
      <w:tr>
        <w:trPr>
          <w:trHeight w:val="202"/>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Dependent on</w:t>
            </w:r>
          </w:p>
        </w:tc>
        <w:tc>
          <w:tcPr>
            <w:tcW w:w="100" w:type="dxa"/>
            <w:vAlign w:val="bottom"/>
          </w:tcPr>
          <w:p>
            <w:pPr>
              <w:spacing w:after="0"/>
              <w:rPr>
                <w:sz w:val="17"/>
                <w:szCs w:val="17"/>
                <w:color w:val="auto"/>
              </w:rPr>
            </w:pPr>
          </w:p>
        </w:tc>
      </w:tr>
      <w:tr>
        <w:trPr>
          <w:trHeight w:val="223"/>
        </w:trPr>
        <w:tc>
          <w:tcPr>
            <w:tcW w:w="4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Real Estate</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5"/>
              </w:rPr>
              <w:t>Business Assets</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9"/>
                <w:szCs w:val="19"/>
                <w:color w:val="auto"/>
              </w:rPr>
            </w:pPr>
          </w:p>
        </w:tc>
      </w:tr>
      <w:tr>
        <w:trPr>
          <w:trHeight w:val="220"/>
        </w:trPr>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4"/>
          </w:tcPr>
          <w:p>
            <w:pPr>
              <w:jc w:val="right"/>
              <w:ind w:right="799"/>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7,144</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SBA - PPP</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6,475</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r>
      <w:tr>
        <w:trPr>
          <w:trHeight w:val="233"/>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100" w:type="dxa"/>
            <w:vAlign w:val="bottom"/>
          </w:tcPr>
          <w:p>
            <w:pPr>
              <w:ind w:left="280"/>
              <w:spacing w:after="0"/>
              <w:rPr>
                <w:sz w:val="20"/>
                <w:szCs w:val="20"/>
                <w:color w:val="auto"/>
              </w:rPr>
            </w:pPr>
            <w:r>
              <w:rPr>
                <w:rFonts w:ascii="Arial" w:cs="Arial" w:eastAsia="Arial" w:hAnsi="Arial"/>
                <w:sz w:val="16"/>
                <w:szCs w:val="16"/>
                <w:color w:val="auto"/>
              </w:rPr>
              <w:t>Total collateral-dependent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8,870</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7,203</w:t>
            </w: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-176530</wp:posOffset>
            </wp:positionV>
            <wp:extent cx="2057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-176530</wp:posOffset>
            </wp:positionV>
            <wp:extent cx="18859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-176530</wp:posOffset>
            </wp:positionV>
            <wp:extent cx="21463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4"/>
              </w:rPr>
              <w:t>December 31, 2020</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Loans</w:t>
            </w:r>
          </w:p>
        </w:tc>
        <w:tc>
          <w:tcPr>
            <w:tcW w:w="100" w:type="dxa"/>
            <w:vAlign w:val="bottom"/>
          </w:tcPr>
          <w:p>
            <w:pPr>
              <w:spacing w:after="0"/>
              <w:rPr>
                <w:sz w:val="19"/>
                <w:szCs w:val="19"/>
                <w:color w:val="auto"/>
              </w:rPr>
            </w:pPr>
          </w:p>
        </w:tc>
      </w:tr>
      <w:tr>
        <w:trPr>
          <w:trHeight w:val="202"/>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Dependent on</w:t>
            </w:r>
          </w:p>
        </w:tc>
        <w:tc>
          <w:tcPr>
            <w:tcW w:w="100" w:type="dxa"/>
            <w:vAlign w:val="bottom"/>
          </w:tcPr>
          <w:p>
            <w:pPr>
              <w:spacing w:after="0"/>
              <w:rPr>
                <w:sz w:val="17"/>
                <w:szCs w:val="17"/>
                <w:color w:val="auto"/>
              </w:rPr>
            </w:pPr>
          </w:p>
        </w:tc>
      </w:tr>
      <w:tr>
        <w:trPr>
          <w:trHeight w:val="223"/>
        </w:trPr>
        <w:tc>
          <w:tcPr>
            <w:tcW w:w="4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Real Estate</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5"/>
              </w:rPr>
              <w:t>Business Assets</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9"/>
                <w:szCs w:val="19"/>
                <w:color w:val="auto"/>
              </w:rPr>
            </w:pPr>
          </w:p>
        </w:tc>
      </w:tr>
      <w:tr>
        <w:trPr>
          <w:trHeight w:val="220"/>
        </w:trPr>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4"/>
          </w:tcPr>
          <w:p>
            <w:pPr>
              <w:jc w:val="right"/>
              <w:ind w:right="799"/>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7,883</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SBA - PPP</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5,542</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r>
      <w:tr>
        <w:trPr>
          <w:trHeight w:val="233"/>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100" w:type="dxa"/>
            <w:vAlign w:val="bottom"/>
          </w:tcPr>
          <w:p>
            <w:pPr>
              <w:ind w:left="280"/>
              <w:spacing w:after="0"/>
              <w:rPr>
                <w:sz w:val="20"/>
                <w:szCs w:val="20"/>
                <w:color w:val="auto"/>
              </w:rPr>
            </w:pPr>
            <w:r>
              <w:rPr>
                <w:rFonts w:ascii="Arial" w:cs="Arial" w:eastAsia="Arial" w:hAnsi="Arial"/>
                <w:sz w:val="16"/>
                <w:szCs w:val="16"/>
                <w:color w:val="auto"/>
              </w:rPr>
              <w:t>Total collateral-dependent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10,712</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6,653</w:t>
            </w: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-176530</wp:posOffset>
            </wp:positionV>
            <wp:extent cx="20574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-176530</wp:posOffset>
            </wp:positionV>
            <wp:extent cx="18859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-176530</wp:posOffset>
            </wp:positionV>
            <wp:extent cx="21463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Unfunded Loan Commitments</w:t>
      </w:r>
    </w:p>
    <w:p>
      <w:pPr>
        <w:spacing w:after="0" w:line="252"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June 30, 2021. This resulted in a $1.0 million recapture of provision for unfunded loan commitments for the three months ended June 30, 2021, compared to no provision or recapture of provision for unfunded loan commitments for the six months ended June 30, 2020. As of June 30, 2021 and December 31, 2020, the balance in this reserve was $8.0 million and $9.0 million, respectively, and was included in other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252" w:lineRule="exact"/>
        <w:rPr>
          <w:sz w:val="20"/>
          <w:szCs w:val="20"/>
          <w:color w:val="auto"/>
        </w:rPr>
      </w:pPr>
    </w:p>
    <w:p>
      <w:pPr>
        <w:ind w:right="220" w:firstLine="405"/>
        <w:spacing w:after="0" w:line="275" w:lineRule="auto"/>
        <w:rPr>
          <w:sz w:val="20"/>
          <w:szCs w:val="20"/>
          <w:color w:val="auto"/>
        </w:rPr>
      </w:pPr>
      <w:r>
        <w:rPr>
          <w:rFonts w:ascii="Arial" w:cs="Arial" w:eastAsia="Arial" w:hAnsi="Arial"/>
          <w:sz w:val="18"/>
          <w:szCs w:val="18"/>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our Annual Report on Form 10-K for the year ended December 31, 2020 for a more detailed discussion regarding TDRs.</w:t>
      </w:r>
    </w:p>
    <w:p>
      <w:pPr>
        <w:spacing w:after="0" w:line="199" w:lineRule="exact"/>
        <w:rPr>
          <w:sz w:val="20"/>
          <w:szCs w:val="20"/>
          <w:color w:val="auto"/>
        </w:rPr>
      </w:pPr>
    </w:p>
    <w:p>
      <w:pPr>
        <w:ind w:right="80" w:firstLine="405"/>
        <w:spacing w:after="0" w:line="299" w:lineRule="auto"/>
        <w:rPr>
          <w:sz w:val="20"/>
          <w:szCs w:val="20"/>
          <w:color w:val="auto"/>
        </w:rPr>
      </w:pPr>
      <w:r>
        <w:rPr>
          <w:rFonts w:ascii="Arial" w:cs="Arial" w:eastAsia="Arial" w:hAnsi="Arial"/>
          <w:sz w:val="16"/>
          <w:szCs w:val="16"/>
          <w:color w:val="auto"/>
        </w:rPr>
        <w:t>As of June 30, 2021, there were $8.2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June 30, 2021, performing TDRs were comprised of three commercial and industrial loans of $4.5 million, two commercial real estate loans of $2.7 million, and five SFR mortgage loans of $1.0 million.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p>
      <w:pPr>
        <w:ind w:right="440" w:firstLine="405"/>
        <w:spacing w:after="0" w:line="293" w:lineRule="auto"/>
        <w:rPr>
          <w:sz w:val="20"/>
          <w:szCs w:val="20"/>
          <w:color w:val="auto"/>
        </w:rPr>
      </w:pPr>
      <w:r>
        <w:rPr>
          <w:rFonts w:ascii="Arial" w:cs="Arial" w:eastAsia="Arial" w:hAnsi="Arial"/>
          <w:sz w:val="18"/>
          <w:szCs w:val="18"/>
          <w:color w:val="auto"/>
        </w:rPr>
        <w:t>The majority of TDRs have no specific allowance allocated as any impairment amount is normally charged off at the time the loan is considered uncollectible. We have no allocated allowance to TDRs as of June 30, 2021 and December 31, 2020.</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a summary of the activity related to TDRs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3420" w:type="dxa"/>
            <w:vAlign w:val="bottom"/>
            <w:gridSpan w:val="6"/>
          </w:tcPr>
          <w:p>
            <w:pPr>
              <w:jc w:val="right"/>
              <w:ind w:right="11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7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7"/>
        </w:trPr>
        <w:tc>
          <w:tcPr>
            <w:tcW w:w="4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40" w:type="dxa"/>
            <w:vAlign w:val="bottom"/>
            <w:gridSpan w:val="5"/>
          </w:tcPr>
          <w:p>
            <w:pPr>
              <w:jc w:val="right"/>
              <w:ind w:right="11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Performing TDRs:</w:t>
            </w:r>
          </w:p>
        </w:tc>
        <w:tc>
          <w:tcPr>
            <w:tcW w:w="90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4780" w:type="dxa"/>
            <w:vAlign w:val="bottom"/>
          </w:tcPr>
          <w:p>
            <w:pPr>
              <w:ind w:left="280"/>
              <w:spacing w:after="0"/>
              <w:rPr>
                <w:sz w:val="20"/>
                <w:szCs w:val="20"/>
                <w:color w:val="auto"/>
              </w:rPr>
            </w:pPr>
            <w:r>
              <w:rPr>
                <w:rFonts w:ascii="Arial" w:cs="Arial" w:eastAsia="Arial" w:hAnsi="Arial"/>
                <w:sz w:val="18"/>
                <w:szCs w:val="18"/>
                <w:color w:val="auto"/>
              </w:rPr>
              <w:t>Beginning balance</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5,813</w:t>
            </w:r>
          </w:p>
        </w:tc>
        <w:tc>
          <w:tcPr>
            <w:tcW w:w="3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2,813</w:t>
            </w:r>
          </w:p>
        </w:tc>
        <w:tc>
          <w:tcPr>
            <w:tcW w:w="4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2,159</w:t>
            </w:r>
          </w:p>
        </w:tc>
        <w:tc>
          <w:tcPr>
            <w:tcW w:w="3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New modifications</w:t>
            </w:r>
          </w:p>
        </w:tc>
        <w:tc>
          <w:tcPr>
            <w:tcW w:w="9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2,453</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520"/>
              <w:spacing w:after="0"/>
              <w:rPr>
                <w:sz w:val="20"/>
                <w:szCs w:val="20"/>
                <w:color w:val="auto"/>
              </w:rPr>
            </w:pPr>
            <w:r>
              <w:rPr>
                <w:rFonts w:ascii="Arial" w:cs="Arial" w:eastAsia="Arial" w:hAnsi="Arial"/>
                <w:sz w:val="18"/>
                <w:szCs w:val="18"/>
                <w:color w:val="auto"/>
              </w:rPr>
              <w:t>Payoffs/payments, net and other</w:t>
            </w:r>
          </w:p>
        </w:tc>
        <w:tc>
          <w:tcPr>
            <w:tcW w:w="9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(51 )</w:t>
            </w:r>
          </w:p>
        </w:tc>
        <w:tc>
          <w:tcPr>
            <w:tcW w:w="34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(42 )</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(1,040 )</w:t>
            </w:r>
          </w:p>
        </w:tc>
        <w:tc>
          <w:tcPr>
            <w:tcW w:w="3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(341 )</w:t>
            </w:r>
          </w:p>
        </w:tc>
      </w:tr>
      <w:tr>
        <w:trPr>
          <w:trHeight w:val="263"/>
        </w:trPr>
        <w:tc>
          <w:tcPr>
            <w:tcW w:w="4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TDRs returned to accrual status</w:t>
            </w:r>
          </w:p>
        </w:tc>
        <w:tc>
          <w:tcPr>
            <w:tcW w:w="9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4780" w:type="dxa"/>
            <w:vAlign w:val="bottom"/>
          </w:tcPr>
          <w:p>
            <w:pPr>
              <w:ind w:left="520"/>
              <w:spacing w:after="0"/>
              <w:rPr>
                <w:sz w:val="20"/>
                <w:szCs w:val="20"/>
                <w:color w:val="auto"/>
              </w:rPr>
            </w:pPr>
            <w:r>
              <w:rPr>
                <w:rFonts w:ascii="Arial" w:cs="Arial" w:eastAsia="Arial" w:hAnsi="Arial"/>
                <w:sz w:val="18"/>
                <w:szCs w:val="18"/>
                <w:color w:val="auto"/>
              </w:rPr>
              <w:t>TDRs placed on nonaccrual status</w:t>
            </w: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4780" w:type="dxa"/>
            <w:vAlign w:val="bottom"/>
            <w:tcBorders>
              <w:bottom w:val="single" w:sz="8" w:color="CFF0FC"/>
            </w:tcBorders>
            <w:shd w:val="clear" w:color="auto" w:fill="CFF0FC"/>
          </w:tcPr>
          <w:p>
            <w:pPr>
              <w:jc w:val="center"/>
              <w:ind w:right="2010"/>
              <w:spacing w:after="0"/>
              <w:rPr>
                <w:sz w:val="20"/>
                <w:szCs w:val="20"/>
                <w:color w:val="auto"/>
              </w:rPr>
            </w:pPr>
            <w:r>
              <w:rPr>
                <w:rFonts w:ascii="Arial" w:cs="Arial" w:eastAsia="Arial" w:hAnsi="Arial"/>
                <w:sz w:val="18"/>
                <w:szCs w:val="18"/>
                <w:color w:val="auto"/>
                <w:w w:val="90"/>
              </w:rPr>
              <w:t>Ending balance</w:t>
            </w: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8,215</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4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Nonperforming TDRs:</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520"/>
              <w:spacing w:after="0"/>
              <w:rPr>
                <w:sz w:val="20"/>
                <w:szCs w:val="20"/>
                <w:color w:val="auto"/>
              </w:rPr>
            </w:pPr>
            <w:r>
              <w:rPr>
                <w:rFonts w:ascii="Arial" w:cs="Arial" w:eastAsia="Arial" w:hAnsi="Arial"/>
                <w:sz w:val="18"/>
                <w:szCs w:val="18"/>
                <w:color w:val="auto"/>
              </w:rPr>
              <w:t>New modifications</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Charge-offs</w:t>
            </w:r>
          </w:p>
        </w:tc>
        <w:tc>
          <w:tcPr>
            <w:tcW w:w="9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520"/>
              <w:spacing w:after="0"/>
              <w:rPr>
                <w:sz w:val="20"/>
                <w:szCs w:val="20"/>
                <w:color w:val="auto"/>
              </w:rPr>
            </w:pPr>
            <w:r>
              <w:rPr>
                <w:rFonts w:ascii="Arial" w:cs="Arial" w:eastAsia="Arial" w:hAnsi="Arial"/>
                <w:sz w:val="18"/>
                <w:szCs w:val="18"/>
                <w:color w:val="auto"/>
              </w:rPr>
              <w:t>Payoffs/payments, net and other</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(244 )</w:t>
            </w:r>
          </w:p>
        </w:tc>
      </w:tr>
      <w:tr>
        <w:trPr>
          <w:trHeight w:val="263"/>
        </w:trPr>
        <w:tc>
          <w:tcPr>
            <w:tcW w:w="4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TDRs returned to accrual status</w:t>
            </w:r>
          </w:p>
        </w:tc>
        <w:tc>
          <w:tcPr>
            <w:tcW w:w="9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6"/>
        </w:trPr>
        <w:tc>
          <w:tcPr>
            <w:tcW w:w="4780" w:type="dxa"/>
            <w:vAlign w:val="bottom"/>
          </w:tcPr>
          <w:p>
            <w:pPr>
              <w:ind w:left="520"/>
              <w:spacing w:after="0"/>
              <w:rPr>
                <w:sz w:val="20"/>
                <w:szCs w:val="20"/>
                <w:color w:val="auto"/>
              </w:rPr>
            </w:pPr>
            <w:r>
              <w:rPr>
                <w:rFonts w:ascii="Arial" w:cs="Arial" w:eastAsia="Arial" w:hAnsi="Arial"/>
                <w:sz w:val="18"/>
                <w:szCs w:val="18"/>
                <w:color w:val="auto"/>
              </w:rPr>
              <w:t>TDRs placed on nonaccrual status</w:t>
            </w: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4780" w:type="dxa"/>
            <w:vAlign w:val="bottom"/>
            <w:tcBorders>
              <w:bottom w:val="single" w:sz="8" w:color="CFF0FC"/>
            </w:tcBorders>
            <w:shd w:val="clear" w:color="auto" w:fill="CFF0FC"/>
          </w:tcPr>
          <w:p>
            <w:pPr>
              <w:jc w:val="center"/>
              <w:ind w:right="2010"/>
              <w:spacing w:after="0"/>
              <w:rPr>
                <w:sz w:val="20"/>
                <w:szCs w:val="20"/>
                <w:color w:val="auto"/>
              </w:rPr>
            </w:pPr>
            <w:r>
              <w:rPr>
                <w:rFonts w:ascii="Arial" w:cs="Arial" w:eastAsia="Arial" w:hAnsi="Arial"/>
                <w:sz w:val="18"/>
                <w:szCs w:val="18"/>
                <w:color w:val="auto"/>
                <w:w w:val="90"/>
              </w:rPr>
              <w:t>Ending balance</w:t>
            </w: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780" w:type="dxa"/>
            <w:vAlign w:val="bottom"/>
          </w:tcPr>
          <w:p>
            <w:pPr>
              <w:jc w:val="center"/>
              <w:ind w:right="2050"/>
              <w:spacing w:after="0"/>
              <w:rPr>
                <w:sz w:val="20"/>
                <w:szCs w:val="20"/>
                <w:color w:val="auto"/>
              </w:rPr>
            </w:pPr>
            <w:r>
              <w:rPr>
                <w:rFonts w:ascii="Arial" w:cs="Arial" w:eastAsia="Arial" w:hAnsi="Arial"/>
                <w:sz w:val="18"/>
                <w:szCs w:val="18"/>
                <w:color w:val="auto"/>
                <w:w w:val="92"/>
              </w:rPr>
              <w:t>Total TDRs</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8,215</w:t>
            </w:r>
          </w:p>
        </w:tc>
        <w:tc>
          <w:tcPr>
            <w:tcW w:w="3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4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3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-1513840</wp:posOffset>
            </wp:positionV>
            <wp:extent cx="2057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-1513840</wp:posOffset>
            </wp:positionV>
            <wp:extent cx="26543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-1513840</wp:posOffset>
            </wp:positionV>
            <wp:extent cx="18859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-1513840</wp:posOffset>
            </wp:positionV>
            <wp:extent cx="6858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-193675</wp:posOffset>
            </wp:positionV>
            <wp:extent cx="2057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-193675</wp:posOffset>
            </wp:positionV>
            <wp:extent cx="26543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-193675</wp:posOffset>
            </wp:positionV>
            <wp:extent cx="18859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loans modified as TDRs for the period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Modifications (1)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6"/>
          </w:tcPr>
          <w:p>
            <w:pPr>
              <w:jc w:val="center"/>
              <w:ind w:left="1288"/>
              <w:spacing w:after="0"/>
              <w:rPr>
                <w:sz w:val="20"/>
                <w:szCs w:val="20"/>
                <w:color w:val="auto"/>
              </w:rPr>
            </w:pPr>
            <w:r>
              <w:rPr>
                <w:rFonts w:ascii="Arial" w:cs="Arial" w:eastAsia="Arial" w:hAnsi="Arial"/>
                <w:sz w:val="14"/>
                <w:szCs w:val="14"/>
                <w:b w:val="1"/>
                <w:bCs w:val="1"/>
                <w:color w:val="auto"/>
                <w:w w:val="93"/>
              </w:rPr>
              <w:t>For the Three Months Ended June 30, 2021</w:t>
            </w: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Pre-Modification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Post-Modification</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Outstanding Recorded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Financial Effect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Outstanding Recorded</w:t>
            </w:r>
          </w:p>
        </w:tc>
        <w:tc>
          <w:tcPr>
            <w:tcW w:w="240" w:type="dxa"/>
            <w:vAlign w:val="bottom"/>
          </w:tcPr>
          <w:p>
            <w:pPr>
              <w:spacing w:after="0"/>
              <w:rPr>
                <w:sz w:val="15"/>
                <w:szCs w:val="15"/>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Outstanding Recorded</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Investment at June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Resulting From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9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4"/>
                <w:szCs w:val="14"/>
                <w:i w:val="1"/>
                <w:iCs w:val="1"/>
                <w:color w:val="auto"/>
                <w:w w:val="95"/>
              </w:rPr>
              <w:t>(Dollars in thousands)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gridSpan w:val="2"/>
          </w:tcPr>
          <w:p>
            <w:pPr>
              <w:ind w:left="280"/>
              <w:spacing w:after="0"/>
              <w:rPr>
                <w:sz w:val="20"/>
                <w:szCs w:val="20"/>
                <w:color w:val="auto"/>
              </w:rPr>
            </w:pPr>
            <w:r>
              <w:rPr>
                <w:rFonts w:ascii="Arial" w:cs="Arial" w:eastAsia="Arial" w:hAnsi="Arial"/>
                <w:sz w:val="14"/>
                <w:szCs w:val="14"/>
                <w:color w:val="auto"/>
              </w:rPr>
              <w:t>Interest rate reduction</w:t>
            </w:r>
          </w:p>
        </w:tc>
        <w:tc>
          <w:tcPr>
            <w:tcW w:w="12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2,453</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2,453</w:t>
            </w:r>
          </w:p>
        </w:tc>
        <w:tc>
          <w:tcPr>
            <w:tcW w:w="24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2,450</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Change in amortization period</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or maturity</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Interest rate reduction</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ind w:left="280"/>
              <w:spacing w:after="0"/>
              <w:rPr>
                <w:sz w:val="20"/>
                <w:szCs w:val="20"/>
                <w:color w:val="auto"/>
              </w:rPr>
            </w:pPr>
            <w:r>
              <w:rPr>
                <w:rFonts w:ascii="Arial" w:cs="Arial" w:eastAsia="Arial" w:hAnsi="Arial"/>
                <w:sz w:val="14"/>
                <w:szCs w:val="14"/>
                <w:color w:val="auto"/>
              </w:rPr>
              <w:t>Change in amortization period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380"/>
              <w:spacing w:after="0"/>
              <w:rPr>
                <w:sz w:val="20"/>
                <w:szCs w:val="20"/>
                <w:color w:val="auto"/>
              </w:rPr>
            </w:pPr>
            <w:r>
              <w:rPr>
                <w:rFonts w:ascii="Arial" w:cs="Arial" w:eastAsia="Arial" w:hAnsi="Arial"/>
                <w:sz w:val="14"/>
                <w:szCs w:val="14"/>
                <w:color w:val="auto"/>
              </w:rPr>
              <w:t>or maturity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SFR mortgage: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gridSpan w:val="2"/>
          </w:tcPr>
          <w:p>
            <w:pPr>
              <w:ind w:left="280"/>
              <w:spacing w:after="0"/>
              <w:rPr>
                <w:sz w:val="20"/>
                <w:szCs w:val="20"/>
                <w:color w:val="auto"/>
              </w:rPr>
            </w:pPr>
            <w:r>
              <w:rPr>
                <w:rFonts w:ascii="Arial" w:cs="Arial" w:eastAsia="Arial" w:hAnsi="Arial"/>
                <w:sz w:val="14"/>
                <w:szCs w:val="14"/>
                <w:color w:val="auto"/>
              </w:rPr>
              <w:t>Interest rate reduction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Change in amortization period</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or maturity</w:t>
            </w:r>
          </w:p>
        </w:tc>
        <w:tc>
          <w:tcPr>
            <w:tcW w:w="9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0" w:type="dxa"/>
            <w:vAlign w:val="bottom"/>
            <w:gridSpan w:val="2"/>
          </w:tcPr>
          <w:p>
            <w:pPr>
              <w:ind w:left="1020"/>
              <w:spacing w:after="0"/>
              <w:rPr>
                <w:sz w:val="20"/>
                <w:szCs w:val="20"/>
                <w:color w:val="auto"/>
              </w:rPr>
            </w:pPr>
            <w:r>
              <w:rPr>
                <w:rFonts w:ascii="Arial" w:cs="Arial" w:eastAsia="Arial" w:hAnsi="Arial"/>
                <w:sz w:val="14"/>
                <w:szCs w:val="14"/>
                <w:color w:val="auto"/>
              </w:rPr>
              <w:t>Total loans</w:t>
            </w:r>
          </w:p>
        </w:tc>
        <w:tc>
          <w:tcPr>
            <w:tcW w:w="12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2,453</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2,453</w:t>
            </w:r>
          </w:p>
        </w:tc>
        <w:tc>
          <w:tcPr>
            <w:tcW w:w="24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2,450</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-159385</wp:posOffset>
            </wp:positionV>
            <wp:extent cx="15430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-159385</wp:posOffset>
            </wp:positionV>
            <wp:extent cx="15430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-159385</wp:posOffset>
            </wp:positionV>
            <wp:extent cx="15430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15430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6"/>
          </w:tcPr>
          <w:p>
            <w:pPr>
              <w:jc w:val="center"/>
              <w:ind w:left="1328"/>
              <w:spacing w:after="0"/>
              <w:rPr>
                <w:sz w:val="20"/>
                <w:szCs w:val="20"/>
                <w:color w:val="auto"/>
              </w:rPr>
            </w:pPr>
            <w:r>
              <w:rPr>
                <w:rFonts w:ascii="Arial" w:cs="Arial" w:eastAsia="Arial" w:hAnsi="Arial"/>
                <w:sz w:val="14"/>
                <w:szCs w:val="14"/>
                <w:b w:val="1"/>
                <w:bCs w:val="1"/>
                <w:color w:val="auto"/>
                <w:w w:val="93"/>
              </w:rPr>
              <w:t>For the Six Months Ended June 30, 2021</w:t>
            </w: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Pre-Modification</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Post-Modification</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Outstanding Recorded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Financial Effect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Outstanding Recorded</w:t>
            </w:r>
          </w:p>
        </w:tc>
        <w:tc>
          <w:tcPr>
            <w:tcW w:w="260" w:type="dxa"/>
            <w:vAlign w:val="bottom"/>
          </w:tcPr>
          <w:p>
            <w:pPr>
              <w:spacing w:after="0"/>
              <w:rPr>
                <w:sz w:val="15"/>
                <w:szCs w:val="15"/>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Outstanding Recorded</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Investment at June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Resulting From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8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5"/>
              </w:rPr>
              <w:t>(Dollars in thousands)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gridSpan w:val="2"/>
          </w:tcPr>
          <w:p>
            <w:pPr>
              <w:ind w:left="280"/>
              <w:spacing w:after="0"/>
              <w:rPr>
                <w:sz w:val="20"/>
                <w:szCs w:val="20"/>
                <w:color w:val="auto"/>
              </w:rPr>
            </w:pPr>
            <w:r>
              <w:rPr>
                <w:rFonts w:ascii="Arial" w:cs="Arial" w:eastAsia="Arial" w:hAnsi="Arial"/>
                <w:sz w:val="14"/>
                <w:szCs w:val="14"/>
                <w:color w:val="auto"/>
              </w:rPr>
              <w:t>Interest rate reduction</w:t>
            </w:r>
          </w:p>
        </w:tc>
        <w:tc>
          <w:tcPr>
            <w:tcW w:w="12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2,453</w:t>
            </w: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2,453</w:t>
            </w:r>
          </w:p>
        </w:tc>
        <w:tc>
          <w:tcPr>
            <w:tcW w:w="24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2,450</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Change in amortization period</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or maturity</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Interest rate reduction</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ind w:left="280"/>
              <w:spacing w:after="0"/>
              <w:rPr>
                <w:sz w:val="20"/>
                <w:szCs w:val="20"/>
                <w:color w:val="auto"/>
              </w:rPr>
            </w:pPr>
            <w:r>
              <w:rPr>
                <w:rFonts w:ascii="Arial" w:cs="Arial" w:eastAsia="Arial" w:hAnsi="Arial"/>
                <w:sz w:val="14"/>
                <w:szCs w:val="14"/>
                <w:color w:val="auto"/>
              </w:rPr>
              <w:t>Change in amortization period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380"/>
              <w:spacing w:after="0"/>
              <w:rPr>
                <w:sz w:val="20"/>
                <w:szCs w:val="20"/>
                <w:color w:val="auto"/>
              </w:rPr>
            </w:pPr>
            <w:r>
              <w:rPr>
                <w:rFonts w:ascii="Arial" w:cs="Arial" w:eastAsia="Arial" w:hAnsi="Arial"/>
                <w:sz w:val="14"/>
                <w:szCs w:val="14"/>
                <w:color w:val="auto"/>
              </w:rPr>
              <w:t>or maturity</w:t>
            </w:r>
          </w:p>
        </w:tc>
        <w:tc>
          <w:tcPr>
            <w:tcW w:w="12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4,643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4,643</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4,443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SFR mortgage:</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00" w:type="dxa"/>
            <w:vAlign w:val="bottom"/>
            <w:gridSpan w:val="2"/>
          </w:tcPr>
          <w:p>
            <w:pPr>
              <w:ind w:left="280"/>
              <w:spacing w:after="0"/>
              <w:rPr>
                <w:sz w:val="20"/>
                <w:szCs w:val="20"/>
                <w:color w:val="auto"/>
              </w:rPr>
            </w:pPr>
            <w:r>
              <w:rPr>
                <w:rFonts w:ascii="Arial" w:cs="Arial" w:eastAsia="Arial" w:hAnsi="Arial"/>
                <w:sz w:val="14"/>
                <w:szCs w:val="14"/>
                <w:color w:val="auto"/>
              </w:rPr>
              <w:t>Interest rate reduction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Change in amortization period</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or maturity</w:t>
            </w:r>
          </w:p>
        </w:tc>
        <w:tc>
          <w:tcPr>
            <w:tcW w:w="8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0" w:type="dxa"/>
            <w:vAlign w:val="bottom"/>
            <w:gridSpan w:val="2"/>
          </w:tcPr>
          <w:p>
            <w:pPr>
              <w:ind w:left="1020"/>
              <w:spacing w:after="0"/>
              <w:rPr>
                <w:sz w:val="20"/>
                <w:szCs w:val="20"/>
                <w:color w:val="auto"/>
              </w:rPr>
            </w:pPr>
            <w:r>
              <w:rPr>
                <w:rFonts w:ascii="Arial" w:cs="Arial" w:eastAsia="Arial" w:hAnsi="Arial"/>
                <w:sz w:val="14"/>
                <w:szCs w:val="14"/>
                <w:color w:val="auto"/>
              </w:rPr>
              <w:t>Total loans</w:t>
            </w:r>
          </w:p>
        </w:tc>
        <w:tc>
          <w:tcPr>
            <w:tcW w:w="120" w:type="dxa"/>
            <w:vAlign w:val="bottom"/>
          </w:tcPr>
          <w:p>
            <w:pPr>
              <w:jc w:val="right"/>
              <w:spacing w:after="0"/>
              <w:rPr>
                <w:sz w:val="20"/>
                <w:szCs w:val="20"/>
                <w:color w:val="auto"/>
              </w:rPr>
            </w:pPr>
            <w:r>
              <w:rPr>
                <w:rFonts w:ascii="Arial" w:cs="Arial" w:eastAsia="Arial" w:hAnsi="Arial"/>
                <w:sz w:val="14"/>
                <w:szCs w:val="14"/>
                <w:color w:val="auto"/>
              </w:rPr>
              <w:t>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7,096</w:t>
            </w: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7,096</w:t>
            </w:r>
          </w:p>
        </w:tc>
        <w:tc>
          <w:tcPr>
            <w:tcW w:w="24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6,893</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-159385</wp:posOffset>
            </wp:positionV>
            <wp:extent cx="17145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-159385</wp:posOffset>
            </wp:positionV>
            <wp:extent cx="17145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-159385</wp:posOffset>
            </wp:positionV>
            <wp:extent cx="15430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wp:posOffset>
            </wp:positionV>
            <wp:extent cx="13716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tables above exclude modified loans that were paid off prior to the end of the period.</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effects resulting from modifications represent charge-offs and current allowance for credit losses at modification date.</w:t>
      </w:r>
    </w:p>
    <w:p>
      <w:pPr>
        <w:spacing w:after="0" w:line="253" w:lineRule="exact"/>
        <w:rPr>
          <w:sz w:val="20"/>
          <w:szCs w:val="20"/>
          <w:color w:val="auto"/>
        </w:rPr>
      </w:pPr>
    </w:p>
    <w:p>
      <w:pPr>
        <w:ind w:right="20" w:firstLine="405"/>
        <w:spacing w:after="0" w:line="293" w:lineRule="auto"/>
        <w:rPr>
          <w:sz w:val="20"/>
          <w:szCs w:val="20"/>
          <w:color w:val="auto"/>
        </w:rPr>
      </w:pPr>
      <w:r>
        <w:rPr>
          <w:rFonts w:ascii="Arial" w:cs="Arial" w:eastAsia="Arial" w:hAnsi="Arial"/>
          <w:sz w:val="18"/>
          <w:szCs w:val="18"/>
          <w:color w:val="auto"/>
        </w:rPr>
        <w:t>As of June 30, 2021 and 2020, there were no loans that were modified as a TDR within the previous 12 months that subsequently defaulted during the six months ended June 30, 2021 and 2020, respectively.</w:t>
      </w:r>
    </w:p>
    <w:p>
      <w:pPr>
        <w:spacing w:after="0" w:line="200" w:lineRule="exact"/>
        <w:rPr>
          <w:sz w:val="20"/>
          <w:szCs w:val="20"/>
          <w:color w:val="auto"/>
        </w:rPr>
      </w:pPr>
    </w:p>
    <w:p>
      <w:pPr>
        <w:spacing w:after="0" w:line="2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EARNINGS PER SHARE RECONCILIATION</w:t>
      </w:r>
    </w:p>
    <w:p>
      <w:pPr>
        <w:spacing w:after="0" w:line="256" w:lineRule="exact"/>
        <w:rPr>
          <w:sz w:val="20"/>
          <w:szCs w:val="20"/>
          <w:color w:val="auto"/>
        </w:rPr>
      </w:pPr>
    </w:p>
    <w:p>
      <w:pPr>
        <w:ind w:right="140" w:firstLine="405"/>
        <w:spacing w:after="0" w:line="290" w:lineRule="auto"/>
        <w:rPr>
          <w:sz w:val="20"/>
          <w:szCs w:val="20"/>
          <w:color w:val="auto"/>
        </w:rPr>
      </w:pPr>
      <w:r>
        <w:rPr>
          <w:rFonts w:ascii="Arial" w:cs="Arial" w:eastAsia="Arial" w:hAnsi="Arial"/>
          <w:sz w:val="17"/>
          <w:szCs w:val="17"/>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six months ended June 30, 2021, shares deemed to be antidilutive, and thus excluded from the computation of earnings per common share, were 115,000 and 116,000, respectively. For the three and six months ended June 30, 2020, shares deemed to be antidilutive, and thus excluded from the computation of earnings per common share, were 338,000 and 303,000, respectively.</w:t>
      </w:r>
    </w:p>
    <w:p>
      <w:pPr>
        <w:spacing w:after="0" w:line="189" w:lineRule="exact"/>
        <w:rPr>
          <w:sz w:val="20"/>
          <w:szCs w:val="20"/>
          <w:color w:val="auto"/>
        </w:rPr>
      </w:pPr>
    </w:p>
    <w:p>
      <w:pPr>
        <w:ind w:right="280" w:firstLine="405"/>
        <w:spacing w:after="0" w:line="293" w:lineRule="auto"/>
        <w:rPr>
          <w:sz w:val="20"/>
          <w:szCs w:val="20"/>
          <w:color w:val="auto"/>
        </w:rPr>
      </w:pPr>
      <w:r>
        <w:rPr>
          <w:rFonts w:ascii="Arial" w:cs="Arial" w:eastAsia="Arial" w:hAnsi="Arial"/>
          <w:sz w:val="18"/>
          <w:szCs w:val="18"/>
          <w:color w:val="auto"/>
        </w:rPr>
        <w:t>The table below shows earnings per common share and diluted earnings per common share, and reconciles the numerator and denominator of both earnings per common share calculations.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20" w:type="dxa"/>
            <w:vAlign w:val="bottom"/>
            <w:gridSpan w:val="7"/>
          </w:tcPr>
          <w:p>
            <w:pPr>
              <w:ind w:left="160"/>
              <w:spacing w:after="0"/>
              <w:rPr>
                <w:sz w:val="20"/>
                <w:szCs w:val="20"/>
                <w:color w:val="auto"/>
              </w:rPr>
            </w:pPr>
            <w:r>
              <w:rPr>
                <w:rFonts w:ascii="Arial" w:cs="Arial" w:eastAsia="Arial" w:hAnsi="Arial"/>
                <w:sz w:val="16"/>
                <w:szCs w:val="16"/>
                <w:i w:val="1"/>
                <w:iCs w:val="1"/>
                <w:color w:val="auto"/>
                <w:w w:val="95"/>
              </w:rPr>
              <w:t>(In thousands, except per share amounts)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11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51,179</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41,631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115,072</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Less: Net earnings allocated to restricted stock</w:t>
            </w:r>
          </w:p>
        </w:tc>
        <w:tc>
          <w:tcPr>
            <w:tcW w:w="1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Pr>
          <w:p>
            <w:pPr>
              <w:ind w:left="280"/>
              <w:spacing w:after="0"/>
              <w:rPr>
                <w:sz w:val="20"/>
                <w:szCs w:val="20"/>
                <w:color w:val="auto"/>
              </w:rPr>
            </w:pPr>
            <w:r>
              <w:rPr>
                <w:rFonts w:ascii="Arial" w:cs="Arial" w:eastAsia="Arial" w:hAnsi="Arial"/>
                <w:sz w:val="18"/>
                <w:szCs w:val="18"/>
                <w:color w:val="auto"/>
              </w:rPr>
              <w:t>Net earnings allocated to common shareholders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50,940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41,473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114,525</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Weighted average shares outstanding</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135,286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134,998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135,235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Basic earnings per common share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280"/>
              <w:spacing w:after="0"/>
              <w:rPr>
                <w:sz w:val="20"/>
                <w:szCs w:val="20"/>
                <w:color w:val="auto"/>
              </w:rPr>
            </w:pPr>
            <w:r>
              <w:rPr>
                <w:rFonts w:ascii="Arial" w:cs="Arial" w:eastAsia="Arial" w:hAnsi="Arial"/>
                <w:sz w:val="18"/>
                <w:szCs w:val="18"/>
                <w:color w:val="auto"/>
              </w:rPr>
              <w:t>Net income allocated to common shareholders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50,940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41,473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114,525</w:t>
            </w:r>
          </w:p>
        </w:tc>
        <w:tc>
          <w:tcPr>
            <w:tcW w:w="2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79,374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Weighted average shares outstanding</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135,286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134,998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135,235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700" w:type="dxa"/>
            <w:vAlign w:val="bottom"/>
          </w:tcPr>
          <w:p>
            <w:pPr>
              <w:ind w:left="520"/>
              <w:spacing w:after="0"/>
              <w:rPr>
                <w:sz w:val="20"/>
                <w:szCs w:val="20"/>
                <w:color w:val="auto"/>
              </w:rPr>
            </w:pPr>
            <w:r>
              <w:rPr>
                <w:rFonts w:ascii="Arial" w:cs="Arial" w:eastAsia="Arial" w:hAnsi="Arial"/>
                <w:sz w:val="18"/>
                <w:szCs w:val="18"/>
                <w:color w:val="auto"/>
              </w:rPr>
              <w:t>Incremental shares from assumed exercise of</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660"/>
              <w:spacing w:after="0"/>
              <w:rPr>
                <w:sz w:val="20"/>
                <w:szCs w:val="20"/>
                <w:color w:val="auto"/>
              </w:rPr>
            </w:pPr>
            <w:r>
              <w:rPr>
                <w:rFonts w:ascii="Arial" w:cs="Arial" w:eastAsia="Arial" w:hAnsi="Arial"/>
                <w:sz w:val="18"/>
                <w:szCs w:val="18"/>
                <w:color w:val="auto"/>
              </w:rPr>
              <w:t>outstanding options</w:t>
            </w:r>
          </w:p>
        </w:tc>
        <w:tc>
          <w:tcPr>
            <w:tcW w:w="1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135,507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135,154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135,470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280"/>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-2405380</wp:posOffset>
            </wp:positionV>
            <wp:extent cx="18034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-2405380</wp:posOffset>
            </wp:positionV>
            <wp:extent cx="16319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-2405380</wp:posOffset>
            </wp:positionV>
            <wp:extent cx="13716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5" w:name="page26"/>
    <w:bookmarkEnd w:id="25"/>
    <w:p>
      <w:pPr>
        <w:spacing w:after="0"/>
        <w:tabs>
          <w:tab w:leader="none" w:pos="300" w:val="left"/>
        </w:tabs>
        <w:rPr>
          <w:sz w:val="20"/>
          <w:szCs w:val="20"/>
          <w:color w:val="auto"/>
        </w:rPr>
      </w:pPr>
      <w:r>
        <w:rPr>
          <w:rFonts w:ascii="Arial" w:cs="Arial" w:eastAsia="Arial" w:hAnsi="Arial"/>
          <w:sz w:val="18"/>
          <w:szCs w:val="18"/>
          <w:b w:val="1"/>
          <w:bCs w:val="1"/>
          <w:color w:val="auto"/>
        </w:rPr>
        <w:t>7.</w:t>
        <w:tab/>
        <w:t>FAIR VALUE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52" w:lineRule="exact"/>
        <w:rPr>
          <w:sz w:val="20"/>
          <w:szCs w:val="20"/>
          <w:color w:val="auto"/>
        </w:rPr>
      </w:pPr>
    </w:p>
    <w:p>
      <w:pPr>
        <w:ind w:right="360" w:firstLine="405"/>
        <w:spacing w:after="0" w:line="29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83" w:lineRule="exact"/>
        <w:rPr>
          <w:sz w:val="20"/>
          <w:szCs w:val="20"/>
          <w:color w:val="auto"/>
        </w:rPr>
      </w:pPr>
    </w:p>
    <w:p>
      <w:pPr>
        <w:ind w:right="80" w:firstLine="405"/>
        <w:spacing w:after="0" w:line="293" w:lineRule="auto"/>
        <w:rPr>
          <w:sz w:val="20"/>
          <w:szCs w:val="20"/>
          <w:color w:val="auto"/>
        </w:rPr>
      </w:pPr>
      <w:r>
        <w:rPr>
          <w:rFonts w:ascii="Arial" w:cs="Arial" w:eastAsia="Arial" w:hAnsi="Arial"/>
          <w:sz w:val="18"/>
          <w:szCs w:val="18"/>
          <w:color w:val="auto"/>
        </w:rPr>
        <w:t xml:space="preserve">The valuation methodologies for financial assets and liabilities measured at fair value on a recurring and non-recurring basis are described in Note 19 — </w:t>
      </w:r>
      <w:r>
        <w:rPr>
          <w:rFonts w:ascii="Arial" w:cs="Arial" w:eastAsia="Arial" w:hAnsi="Arial"/>
          <w:sz w:val="18"/>
          <w:szCs w:val="18"/>
          <w:i w:val="1"/>
          <w:iCs w:val="1"/>
          <w:color w:val="auto"/>
        </w:rPr>
        <w:t>Fair Value Information,</w:t>
      </w:r>
      <w:r>
        <w:rPr>
          <w:rFonts w:ascii="Arial" w:cs="Arial" w:eastAsia="Arial" w:hAnsi="Arial"/>
          <w:sz w:val="18"/>
          <w:szCs w:val="18"/>
          <w:color w:val="auto"/>
        </w:rPr>
        <w:t xml:space="preserve"> included in our Annual Report on Form 10-K for the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tables below present the balances of assets and liabilities measured at fair value on a recurring basis as of the dates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jc w:val="center"/>
              <w:ind w:left="100"/>
              <w:spacing w:after="0"/>
              <w:rPr>
                <w:sz w:val="20"/>
                <w:szCs w:val="20"/>
                <w:color w:val="auto"/>
              </w:rPr>
            </w:pPr>
            <w:r>
              <w:rPr>
                <w:rFonts w:ascii="Arial" w:cs="Arial" w:eastAsia="Arial" w:hAnsi="Arial"/>
                <w:sz w:val="16"/>
                <w:szCs w:val="16"/>
                <w:b w:val="1"/>
                <w:bCs w:val="1"/>
                <w:color w:val="auto"/>
                <w:w w:val="90"/>
              </w:rPr>
              <w:t>Quoted Prices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b w:val="1"/>
                <w:bCs w:val="1"/>
                <w:color w:val="auto"/>
                <w:w w:val="92"/>
              </w:rPr>
              <w:t>in Active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jc w:val="center"/>
              <w:ind w:left="120"/>
              <w:spacing w:after="0"/>
              <w:rPr>
                <w:sz w:val="20"/>
                <w:szCs w:val="20"/>
                <w:color w:val="auto"/>
              </w:rPr>
            </w:pPr>
            <w:r>
              <w:rPr>
                <w:rFonts w:ascii="Arial" w:cs="Arial" w:eastAsia="Arial" w:hAnsi="Arial"/>
                <w:sz w:val="16"/>
                <w:szCs w:val="16"/>
                <w:b w:val="1"/>
                <w:bCs w:val="1"/>
                <w:color w:val="auto"/>
                <w:w w:val="97"/>
              </w:rPr>
              <w:t>Markets for</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8"/>
              </w:rPr>
              <w:t>Carrying Value at</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jc w:val="center"/>
              <w:ind w:left="120"/>
              <w:spacing w:after="0"/>
              <w:rPr>
                <w:sz w:val="20"/>
                <w:szCs w:val="20"/>
                <w:color w:val="auto"/>
              </w:rPr>
            </w:pPr>
            <w:r>
              <w:rPr>
                <w:rFonts w:ascii="Arial" w:cs="Arial" w:eastAsia="Arial" w:hAnsi="Arial"/>
                <w:sz w:val="16"/>
                <w:szCs w:val="16"/>
                <w:b w:val="1"/>
                <w:bCs w:val="1"/>
                <w:color w:val="auto"/>
                <w:w w:val="88"/>
              </w:rPr>
              <w:t>Identical Assets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Unobservable 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b w:val="1"/>
                <w:bCs w:val="1"/>
                <w:color w:val="auto"/>
                <w:w w:val="92"/>
              </w:rPr>
              <w:t>(Level 1)</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(Level 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8"/>
          </w:tcPr>
          <w:p>
            <w:pPr>
              <w:jc w:val="right"/>
              <w:ind w:right="11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3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Description of assets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660" w:type="dxa"/>
            <w:vAlign w:val="bottom"/>
          </w:tcPr>
          <w:p>
            <w:pPr>
              <w:ind w:left="200"/>
              <w:spacing w:after="0"/>
              <w:rPr>
                <w:sz w:val="20"/>
                <w:szCs w:val="20"/>
                <w:color w:val="auto"/>
              </w:rPr>
            </w:pPr>
            <w:r>
              <w:rPr>
                <w:rFonts w:ascii="Arial" w:cs="Arial" w:eastAsia="Arial" w:hAnsi="Arial"/>
                <w:sz w:val="16"/>
                <w:szCs w:val="16"/>
                <w:color w:val="auto"/>
              </w:rPr>
              <w:t>Investment securities - AFS: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Mortgage-backed securities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2,242,503</w:t>
            </w:r>
          </w:p>
        </w:tc>
        <w:tc>
          <w:tcPr>
            <w:tcW w:w="1760" w:type="dxa"/>
            <w:vAlign w:val="bottom"/>
            <w:gridSpan w:val="3"/>
            <w:shd w:val="clear" w:color="auto" w:fill="CFF0FC"/>
          </w:tcPr>
          <w:p>
            <w:pPr>
              <w:jc w:val="right"/>
              <w:ind w:right="12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2,242,503</w:t>
            </w:r>
          </w:p>
        </w:tc>
        <w:tc>
          <w:tcPr>
            <w:tcW w:w="1840" w:type="dxa"/>
            <w:vAlign w:val="bottom"/>
            <w:gridSpan w:val="3"/>
            <w:shd w:val="clear" w:color="auto" w:fill="CFF0FC"/>
          </w:tcPr>
          <w:p>
            <w:pPr>
              <w:jc w:val="right"/>
              <w:ind w:right="135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300"/>
              <w:spacing w:after="0"/>
              <w:rPr>
                <w:sz w:val="20"/>
                <w:szCs w:val="20"/>
                <w:color w:val="auto"/>
              </w:rPr>
            </w:pPr>
            <w:r>
              <w:rPr>
                <w:rFonts w:ascii="Arial" w:cs="Arial" w:eastAsia="Arial" w:hAnsi="Arial"/>
                <w:sz w:val="16"/>
                <w:szCs w:val="16"/>
                <w:color w:val="auto"/>
              </w:rPr>
              <w:t>CMO/REMIC</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658,549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658,549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39"/>
        </w:trPr>
        <w:tc>
          <w:tcPr>
            <w:tcW w:w="3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Municipal bonds</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29,959</w:t>
            </w: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29,959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0"/>
                <w:szCs w:val="20"/>
                <w:color w:val="auto"/>
              </w:rPr>
            </w:pPr>
          </w:p>
        </w:tc>
      </w:tr>
      <w:tr>
        <w:trPr>
          <w:trHeight w:val="223"/>
        </w:trPr>
        <w:tc>
          <w:tcPr>
            <w:tcW w:w="3660" w:type="dxa"/>
            <w:vAlign w:val="bottom"/>
          </w:tcPr>
          <w:p>
            <w:pPr>
              <w:ind w:left="300"/>
              <w:spacing w:after="0"/>
              <w:rPr>
                <w:sz w:val="20"/>
                <w:szCs w:val="20"/>
                <w:color w:val="auto"/>
              </w:rPr>
            </w:pPr>
            <w:r>
              <w:rPr>
                <w:rFonts w:ascii="Arial" w:cs="Arial" w:eastAsia="Arial" w:hAnsi="Arial"/>
                <w:sz w:val="16"/>
                <w:szCs w:val="16"/>
                <w:color w:val="auto"/>
              </w:rPr>
              <w:t>Other securities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1,010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investment securities - AFS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2,932,021</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2,932,021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18,424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66"/>
        </w:trPr>
        <w:tc>
          <w:tcPr>
            <w:tcW w:w="3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2,950,445</w:t>
            </w:r>
          </w:p>
        </w:tc>
        <w:tc>
          <w:tcPr>
            <w:tcW w:w="1760" w:type="dxa"/>
            <w:vAlign w:val="bottom"/>
            <w:gridSpan w:val="3"/>
            <w:shd w:val="clear" w:color="auto" w:fill="CFF0FC"/>
          </w:tcPr>
          <w:p>
            <w:pPr>
              <w:jc w:val="right"/>
              <w:ind w:right="12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2,950,445</w:t>
            </w:r>
          </w:p>
        </w:tc>
        <w:tc>
          <w:tcPr>
            <w:tcW w:w="1840" w:type="dxa"/>
            <w:vAlign w:val="bottom"/>
            <w:gridSpan w:val="3"/>
            <w:shd w:val="clear" w:color="auto" w:fill="CFF0FC"/>
          </w:tcPr>
          <w:p>
            <w:pPr>
              <w:jc w:val="right"/>
              <w:ind w:right="135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3"/>
                <w:szCs w:val="23"/>
                <w:color w:val="auto"/>
              </w:rPr>
            </w:pPr>
          </w:p>
        </w:tc>
      </w:tr>
      <w:tr>
        <w:trPr>
          <w:trHeight w:val="203"/>
        </w:trPr>
        <w:tc>
          <w:tcPr>
            <w:tcW w:w="36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Description of liability</w:t>
            </w:r>
          </w:p>
        </w:tc>
        <w:tc>
          <w:tcPr>
            <w:tcW w:w="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rate swaps</w:t>
            </w: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18,424</w:t>
            </w:r>
          </w:p>
        </w:tc>
        <w:tc>
          <w:tcPr>
            <w:tcW w:w="320" w:type="dxa"/>
            <w:vAlign w:val="bottom"/>
            <w:tcBorders>
              <w:bottom w:val="single" w:sz="8" w:color="CFF0FC"/>
            </w:tcBorders>
            <w:gridSpan w:val="2"/>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26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18,424</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35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66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18,424</w:t>
            </w:r>
          </w:p>
        </w:tc>
        <w:tc>
          <w:tcPr>
            <w:tcW w:w="1760" w:type="dxa"/>
            <w:vAlign w:val="bottom"/>
            <w:gridSpan w:val="3"/>
          </w:tcPr>
          <w:p>
            <w:pPr>
              <w:jc w:val="right"/>
              <w:ind w:right="12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18,424</w:t>
            </w:r>
          </w:p>
        </w:tc>
        <w:tc>
          <w:tcPr>
            <w:tcW w:w="1840" w:type="dxa"/>
            <w:vAlign w:val="bottom"/>
            <w:gridSpan w:val="3"/>
          </w:tcPr>
          <w:p>
            <w:pPr>
              <w:jc w:val="right"/>
              <w:ind w:right="1359"/>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4"/>
        </w:trPr>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jc w:val="center"/>
              <w:ind w:left="20"/>
              <w:spacing w:after="0"/>
              <w:rPr>
                <w:sz w:val="20"/>
                <w:szCs w:val="20"/>
                <w:color w:val="auto"/>
              </w:rPr>
            </w:pPr>
            <w:r>
              <w:rPr>
                <w:rFonts w:ascii="Arial" w:cs="Arial" w:eastAsia="Arial" w:hAnsi="Arial"/>
                <w:sz w:val="16"/>
                <w:szCs w:val="16"/>
                <w:b w:val="1"/>
                <w:bCs w:val="1"/>
                <w:color w:val="auto"/>
                <w:w w:val="90"/>
              </w:rPr>
              <w:t>Quoted Prices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jc w:val="right"/>
              <w:ind w:right="300"/>
              <w:spacing w:after="0"/>
              <w:rPr>
                <w:sz w:val="20"/>
                <w:szCs w:val="20"/>
                <w:color w:val="auto"/>
              </w:rPr>
            </w:pPr>
            <w:r>
              <w:rPr>
                <w:rFonts w:ascii="Arial" w:cs="Arial" w:eastAsia="Arial" w:hAnsi="Arial"/>
                <w:sz w:val="16"/>
                <w:szCs w:val="16"/>
                <w:b w:val="1"/>
                <w:bCs w:val="1"/>
                <w:color w:val="auto"/>
              </w:rPr>
              <w:t>in Active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jc w:val="center"/>
              <w:ind w:left="40"/>
              <w:spacing w:after="0"/>
              <w:rPr>
                <w:sz w:val="20"/>
                <w:szCs w:val="20"/>
                <w:color w:val="auto"/>
              </w:rPr>
            </w:pPr>
            <w:r>
              <w:rPr>
                <w:rFonts w:ascii="Arial" w:cs="Arial" w:eastAsia="Arial" w:hAnsi="Arial"/>
                <w:sz w:val="16"/>
                <w:szCs w:val="16"/>
                <w:b w:val="1"/>
                <w:bCs w:val="1"/>
                <w:color w:val="auto"/>
                <w:w w:val="97"/>
              </w:rPr>
              <w:t>Markets for</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Carrying Value at</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jc w:val="center"/>
              <w:ind w:left="40"/>
              <w:spacing w:after="0"/>
              <w:rPr>
                <w:sz w:val="20"/>
                <w:szCs w:val="20"/>
                <w:color w:val="auto"/>
              </w:rPr>
            </w:pPr>
            <w:r>
              <w:rPr>
                <w:rFonts w:ascii="Arial" w:cs="Arial" w:eastAsia="Arial" w:hAnsi="Arial"/>
                <w:sz w:val="16"/>
                <w:szCs w:val="16"/>
                <w:b w:val="1"/>
                <w:bCs w:val="1"/>
                <w:color w:val="auto"/>
                <w:w w:val="88"/>
              </w:rPr>
              <w:t>Identical Assets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Unobservable 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6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December 31, 2020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92"/>
              </w:rPr>
              <w:t>(Level 1)</w:t>
            </w: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(Level 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8"/>
          </w:tcPr>
          <w:p>
            <w:pPr>
              <w:jc w:val="right"/>
              <w:ind w:right="118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3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Description of assets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660" w:type="dxa"/>
            <w:vAlign w:val="bottom"/>
          </w:tcPr>
          <w:p>
            <w:pPr>
              <w:ind w:left="200"/>
              <w:spacing w:after="0"/>
              <w:rPr>
                <w:sz w:val="20"/>
                <w:szCs w:val="20"/>
                <w:color w:val="auto"/>
              </w:rPr>
            </w:pPr>
            <w:r>
              <w:rPr>
                <w:rFonts w:ascii="Arial" w:cs="Arial" w:eastAsia="Arial" w:hAnsi="Arial"/>
                <w:sz w:val="16"/>
                <w:szCs w:val="16"/>
                <w:color w:val="auto"/>
              </w:rPr>
              <w:t>Investment securities - AFS: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Mortgage-backed securities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1,904,935</w:t>
            </w:r>
          </w:p>
        </w:tc>
        <w:tc>
          <w:tcPr>
            <w:tcW w:w="40" w:type="dxa"/>
            <w:vAlign w:val="bottom"/>
            <w:shd w:val="clear" w:color="auto" w:fill="CFF0FC"/>
          </w:tcPr>
          <w:p>
            <w:pPr>
              <w:spacing w:after="0"/>
              <w:rPr>
                <w:sz w:val="20"/>
                <w:szCs w:val="20"/>
                <w:color w:val="auto"/>
              </w:rPr>
            </w:pPr>
          </w:p>
        </w:tc>
        <w:tc>
          <w:tcPr>
            <w:tcW w:w="1760" w:type="dxa"/>
            <w:vAlign w:val="bottom"/>
            <w:gridSpan w:val="3"/>
            <w:shd w:val="clear" w:color="auto" w:fill="CFF0FC"/>
          </w:tcPr>
          <w:p>
            <w:pPr>
              <w:jc w:val="right"/>
              <w:ind w:right="1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1,904,935</w:t>
            </w:r>
          </w:p>
        </w:tc>
        <w:tc>
          <w:tcPr>
            <w:tcW w:w="20" w:type="dxa"/>
            <w:vAlign w:val="bottom"/>
            <w:shd w:val="clear" w:color="auto" w:fill="CFF0FC"/>
          </w:tcPr>
          <w:p>
            <w:pPr>
              <w:spacing w:after="0"/>
              <w:rPr>
                <w:sz w:val="20"/>
                <w:szCs w:val="20"/>
                <w:color w:val="auto"/>
              </w:rPr>
            </w:pPr>
          </w:p>
        </w:tc>
        <w:tc>
          <w:tcPr>
            <w:tcW w:w="1840" w:type="dxa"/>
            <w:vAlign w:val="bottom"/>
            <w:gridSpan w:val="3"/>
            <w:shd w:val="clear" w:color="auto" w:fill="CFF0FC"/>
          </w:tcPr>
          <w:p>
            <w:pPr>
              <w:jc w:val="right"/>
              <w:ind w:right="13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300"/>
              <w:spacing w:after="0"/>
              <w:rPr>
                <w:sz w:val="20"/>
                <w:szCs w:val="20"/>
                <w:color w:val="auto"/>
              </w:rPr>
            </w:pPr>
            <w:r>
              <w:rPr>
                <w:rFonts w:ascii="Arial" w:cs="Arial" w:eastAsia="Arial" w:hAnsi="Arial"/>
                <w:sz w:val="16"/>
                <w:szCs w:val="16"/>
                <w:color w:val="auto"/>
              </w:rPr>
              <w:t>CMO/REMIC</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462,814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462,814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39"/>
        </w:trPr>
        <w:tc>
          <w:tcPr>
            <w:tcW w:w="3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Municipal bonds</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30,285</w:t>
            </w: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30,285</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0"/>
                <w:szCs w:val="20"/>
                <w:color w:val="auto"/>
              </w:rPr>
            </w:pPr>
          </w:p>
        </w:tc>
      </w:tr>
      <w:tr>
        <w:trPr>
          <w:trHeight w:val="223"/>
        </w:trPr>
        <w:tc>
          <w:tcPr>
            <w:tcW w:w="3660" w:type="dxa"/>
            <w:vAlign w:val="bottom"/>
          </w:tcPr>
          <w:p>
            <w:pPr>
              <w:ind w:left="300"/>
              <w:spacing w:after="0"/>
              <w:rPr>
                <w:sz w:val="20"/>
                <w:szCs w:val="20"/>
                <w:color w:val="auto"/>
              </w:rPr>
            </w:pPr>
            <w:r>
              <w:rPr>
                <w:rFonts w:ascii="Arial" w:cs="Arial" w:eastAsia="Arial" w:hAnsi="Arial"/>
                <w:sz w:val="16"/>
                <w:szCs w:val="16"/>
                <w:color w:val="auto"/>
              </w:rPr>
              <w:t>Other securities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investment securities - AFS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2,398,923</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2,398,923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66"/>
        </w:trPr>
        <w:tc>
          <w:tcPr>
            <w:tcW w:w="3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2,429,104</w:t>
            </w:r>
          </w:p>
        </w:tc>
        <w:tc>
          <w:tcPr>
            <w:tcW w:w="40" w:type="dxa"/>
            <w:vAlign w:val="bottom"/>
            <w:shd w:val="clear" w:color="auto" w:fill="CFF0FC"/>
          </w:tcPr>
          <w:p>
            <w:pPr>
              <w:spacing w:after="0"/>
              <w:rPr>
                <w:sz w:val="23"/>
                <w:szCs w:val="23"/>
                <w:color w:val="auto"/>
              </w:rPr>
            </w:pPr>
          </w:p>
        </w:tc>
        <w:tc>
          <w:tcPr>
            <w:tcW w:w="1760" w:type="dxa"/>
            <w:vAlign w:val="bottom"/>
            <w:gridSpan w:val="3"/>
            <w:shd w:val="clear" w:color="auto" w:fill="CFF0FC"/>
          </w:tcPr>
          <w:p>
            <w:pPr>
              <w:jc w:val="right"/>
              <w:ind w:right="1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3"/>
                <w:szCs w:val="23"/>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2,429,104</w:t>
            </w:r>
          </w:p>
        </w:tc>
        <w:tc>
          <w:tcPr>
            <w:tcW w:w="20" w:type="dxa"/>
            <w:vAlign w:val="bottom"/>
            <w:shd w:val="clear" w:color="auto" w:fill="CFF0FC"/>
          </w:tcPr>
          <w:p>
            <w:pPr>
              <w:spacing w:after="0"/>
              <w:rPr>
                <w:sz w:val="23"/>
                <w:szCs w:val="23"/>
                <w:color w:val="auto"/>
              </w:rPr>
            </w:pPr>
          </w:p>
        </w:tc>
        <w:tc>
          <w:tcPr>
            <w:tcW w:w="1840" w:type="dxa"/>
            <w:vAlign w:val="bottom"/>
            <w:gridSpan w:val="3"/>
            <w:shd w:val="clear" w:color="auto" w:fill="CFF0FC"/>
          </w:tcPr>
          <w:p>
            <w:pPr>
              <w:jc w:val="right"/>
              <w:ind w:right="13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3"/>
                <w:szCs w:val="23"/>
                <w:color w:val="auto"/>
              </w:rPr>
            </w:pPr>
          </w:p>
        </w:tc>
      </w:tr>
      <w:tr>
        <w:trPr>
          <w:trHeight w:val="203"/>
        </w:trPr>
        <w:tc>
          <w:tcPr>
            <w:tcW w:w="36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Description of liability</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rate swaps</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30,181</w:t>
            </w:r>
          </w:p>
        </w:tc>
        <w:tc>
          <w:tcPr>
            <w:tcW w:w="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gridSpan w:val="2"/>
            <w:shd w:val="clear" w:color="auto" w:fill="CFF0FC"/>
          </w:tcPr>
          <w:p>
            <w:pPr>
              <w:jc w:val="right"/>
              <w:ind w:right="1300"/>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30,181</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gridSpan w:val="2"/>
            <w:shd w:val="clear" w:color="auto" w:fill="CFF0FC"/>
          </w:tcPr>
          <w:p>
            <w:pPr>
              <w:jc w:val="right"/>
              <w:ind w:right="137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66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30,181</w:t>
            </w:r>
          </w:p>
        </w:tc>
        <w:tc>
          <w:tcPr>
            <w:tcW w:w="40" w:type="dxa"/>
            <w:vAlign w:val="bottom"/>
          </w:tcPr>
          <w:p>
            <w:pPr>
              <w:spacing w:after="0"/>
              <w:rPr>
                <w:sz w:val="19"/>
                <w:szCs w:val="19"/>
                <w:color w:val="auto"/>
              </w:rPr>
            </w:pPr>
          </w:p>
        </w:tc>
        <w:tc>
          <w:tcPr>
            <w:tcW w:w="1760" w:type="dxa"/>
            <w:vAlign w:val="bottom"/>
            <w:gridSpan w:val="3"/>
          </w:tcPr>
          <w:p>
            <w:pPr>
              <w:jc w:val="right"/>
              <w:ind w:right="13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30,181</w:t>
            </w:r>
          </w:p>
        </w:tc>
        <w:tc>
          <w:tcPr>
            <w:tcW w:w="20" w:type="dxa"/>
            <w:vAlign w:val="bottom"/>
          </w:tcPr>
          <w:p>
            <w:pPr>
              <w:spacing w:after="0"/>
              <w:rPr>
                <w:sz w:val="19"/>
                <w:szCs w:val="19"/>
                <w:color w:val="auto"/>
              </w:rPr>
            </w:pPr>
          </w:p>
        </w:tc>
        <w:tc>
          <w:tcPr>
            <w:tcW w:w="1840" w:type="dxa"/>
            <w:vAlign w:val="bottom"/>
            <w:gridSpan w:val="3"/>
          </w:tcPr>
          <w:p>
            <w:pPr>
              <w:jc w:val="right"/>
              <w:ind w:right="1379"/>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-3205480</wp:posOffset>
            </wp:positionV>
            <wp:extent cx="20574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-3188335</wp:posOffset>
            </wp:positionV>
            <wp:extent cx="20574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-3205480</wp:posOffset>
            </wp:positionV>
            <wp:extent cx="1968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-3188335</wp:posOffset>
            </wp:positionV>
            <wp:extent cx="19685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-3205480</wp:posOffset>
            </wp:positionV>
            <wp:extent cx="1885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-3188335</wp:posOffset>
            </wp:positionV>
            <wp:extent cx="18859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-2885440</wp:posOffset>
            </wp:positionV>
            <wp:extent cx="2057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-2885440</wp:posOffset>
            </wp:positionV>
            <wp:extent cx="19685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-2885440</wp:posOffset>
            </wp:positionV>
            <wp:extent cx="188595"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-2885440</wp:posOffset>
            </wp:positionV>
            <wp:extent cx="6858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-496570</wp:posOffset>
            </wp:positionV>
            <wp:extent cx="20574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-479425</wp:posOffset>
            </wp:positionV>
            <wp:extent cx="20574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-496570</wp:posOffset>
            </wp:positionV>
            <wp:extent cx="1885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-479425</wp:posOffset>
            </wp:positionV>
            <wp:extent cx="1885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-496570</wp:posOffset>
            </wp:positionV>
            <wp:extent cx="18859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-479425</wp:posOffset>
            </wp:positionV>
            <wp:extent cx="1885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-176530</wp:posOffset>
            </wp:positionV>
            <wp:extent cx="20574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-176530</wp:posOffset>
            </wp:positionV>
            <wp:extent cx="18859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-176530</wp:posOffset>
            </wp:positionV>
            <wp:extent cx="188595"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right="40" w:firstLine="405"/>
        <w:spacing w:after="0" w:line="293" w:lineRule="auto"/>
        <w:rPr>
          <w:sz w:val="20"/>
          <w:szCs w:val="20"/>
          <w:color w:val="auto"/>
        </w:rPr>
      </w:pPr>
      <w:r>
        <w:rPr>
          <w:rFonts w:ascii="Arial" w:cs="Arial" w:eastAsia="Arial" w:hAnsi="Arial"/>
          <w:sz w:val="18"/>
          <w:szCs w:val="18"/>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83" w:lineRule="exact"/>
        <w:rPr>
          <w:sz w:val="20"/>
          <w:szCs w:val="20"/>
          <w:color w:val="auto"/>
        </w:rPr>
      </w:pPr>
    </w:p>
    <w:p>
      <w:pPr>
        <w:ind w:right="140" w:firstLine="405"/>
        <w:spacing w:after="0" w:line="296" w:lineRule="auto"/>
        <w:rPr>
          <w:sz w:val="20"/>
          <w:szCs w:val="20"/>
          <w:color w:val="auto"/>
        </w:rPr>
      </w:pPr>
      <w:r>
        <w:rPr>
          <w:rFonts w:ascii="Arial" w:cs="Arial" w:eastAsia="Arial" w:hAnsi="Arial"/>
          <w:sz w:val="17"/>
          <w:szCs w:val="17"/>
          <w:color w:val="auto"/>
        </w:rPr>
        <w:t>For assets measured at fair value on a non-recurring basis that were held on the balance sheet at June 30, 2021 and December 31, 2020, respectively, the following tables provide the level of valuation assumptions used to determine each adjustment and the carrying value of the related assets that had losses during the period. These losses on collateral dependent loans represent the amount of the allowance for credit losses and/or charge-offs during the period applicable to loans held at period-end. The amount of the allowance is included in the ACL.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92"/>
              </w:rPr>
              <w:t>Quoted Prices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95"/>
              </w:rPr>
              <w:t>in Active</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108"/>
              <w:spacing w:after="0"/>
              <w:rPr>
                <w:sz w:val="20"/>
                <w:szCs w:val="20"/>
                <w:color w:val="auto"/>
              </w:rPr>
            </w:pPr>
            <w:r>
              <w:rPr>
                <w:rFonts w:ascii="Arial" w:cs="Arial" w:eastAsia="Arial" w:hAnsi="Arial"/>
                <w:sz w:val="14"/>
                <w:szCs w:val="14"/>
                <w:b w:val="1"/>
                <w:bCs w:val="1"/>
                <w:color w:val="auto"/>
                <w:w w:val="86"/>
              </w:rPr>
              <w:t>Total Losses</w:t>
            </w:r>
          </w:p>
        </w:tc>
        <w:tc>
          <w:tcPr>
            <w:tcW w:w="60" w:type="dxa"/>
            <w:vAlign w:val="bottom"/>
          </w:tcPr>
          <w:p>
            <w:pPr>
              <w:spacing w:after="0"/>
              <w:rPr>
                <w:sz w:val="15"/>
                <w:szCs w:val="15"/>
                <w:color w:val="auto"/>
              </w:rPr>
            </w:pPr>
          </w:p>
        </w:tc>
      </w:tr>
      <w:tr>
        <w:trPr>
          <w:trHeight w:val="176"/>
        </w:trPr>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jc w:val="center"/>
              <w:ind w:left="276"/>
              <w:spacing w:after="0"/>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95"/>
              </w:rPr>
              <w:t>Markets for</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left="5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For the</w:t>
            </w: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93"/>
              </w:rPr>
              <w:t>Value at</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left="50"/>
              <w:spacing w:after="0"/>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5"/>
                <w:szCs w:val="15"/>
                <w:color w:val="auto"/>
              </w:rPr>
            </w:pPr>
          </w:p>
        </w:tc>
      </w:tr>
      <w:tr>
        <w:trPr>
          <w:trHeight w:val="192"/>
        </w:trPr>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 2021</w:t>
            </w:r>
          </w:p>
        </w:tc>
        <w:tc>
          <w:tcPr>
            <w:tcW w:w="1260" w:type="dxa"/>
            <w:vAlign w:val="bottom"/>
          </w:tcPr>
          <w:p>
            <w:pPr>
              <w:jc w:val="center"/>
              <w:ind w:left="91"/>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left="5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June 30, 2021</w:t>
            </w:r>
          </w:p>
        </w:tc>
        <w:tc>
          <w:tcPr>
            <w:tcW w:w="60" w:type="dxa"/>
            <w:vAlign w:val="bottom"/>
          </w:tcPr>
          <w:p>
            <w:pPr>
              <w:spacing w:after="0"/>
              <w:rPr>
                <w:sz w:val="16"/>
                <w:szCs w:val="16"/>
                <w:color w:val="auto"/>
              </w:rPr>
            </w:pPr>
          </w:p>
        </w:tc>
      </w:tr>
      <w:tr>
        <w:trPr>
          <w:trHeight w:val="194"/>
        </w:trPr>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3"/>
                <w:szCs w:val="13"/>
                <w:i w:val="1"/>
                <w:iCs w:val="1"/>
                <w:color w:val="auto"/>
                <w:w w:val="94"/>
              </w:rPr>
              <w:t>(Dollars in thousands)</w:t>
            </w:r>
          </w:p>
        </w:tc>
        <w:tc>
          <w:tcPr>
            <w:tcW w:w="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1"/>
        </w:trPr>
        <w:tc>
          <w:tcPr>
            <w:tcW w:w="288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800" w:type="dxa"/>
            <w:vAlign w:val="bottom"/>
          </w:tcPr>
          <w:p>
            <w:pPr>
              <w:ind w:left="40"/>
              <w:spacing w:after="0"/>
              <w:rPr>
                <w:sz w:val="20"/>
                <w:szCs w:val="20"/>
                <w:color w:val="auto"/>
              </w:rPr>
            </w:pPr>
            <w:r>
              <w:rPr>
                <w:rFonts w:ascii="Arial" w:cs="Arial" w:eastAsia="Arial" w:hAnsi="Arial"/>
                <w:sz w:val="14"/>
                <w:szCs w:val="14"/>
                <w:color w:val="auto"/>
              </w:rPr>
              <w:t>Loans:</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80" w:type="dxa"/>
            <w:vAlign w:val="bottom"/>
            <w:shd w:val="clear" w:color="auto" w:fill="CFF0FC"/>
          </w:tcPr>
          <w:p>
            <w:pPr>
              <w:spacing w:after="0"/>
              <w:rPr>
                <w:sz w:val="18"/>
                <w:szCs w:val="18"/>
                <w:color w:val="auto"/>
              </w:rPr>
            </w:pPr>
          </w:p>
        </w:tc>
        <w:tc>
          <w:tcPr>
            <w:tcW w:w="28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Commercial real estate</w:t>
            </w:r>
          </w:p>
        </w:tc>
        <w:tc>
          <w:tcPr>
            <w:tcW w:w="1020" w:type="dxa"/>
            <w:vAlign w:val="bottom"/>
            <w:shd w:val="clear" w:color="auto" w:fill="CFF0FC"/>
          </w:tcPr>
          <w:p>
            <w:pPr>
              <w:jc w:val="right"/>
              <w:ind w:right="916"/>
              <w:spacing w:after="0"/>
              <w:rPr>
                <w:sz w:val="20"/>
                <w:szCs w:val="20"/>
                <w:color w:val="auto"/>
              </w:rPr>
            </w:pPr>
            <w:r>
              <w:rPr>
                <w:rFonts w:ascii="Arial" w:cs="Arial" w:eastAsia="Arial" w:hAnsi="Arial"/>
                <w:sz w:val="5"/>
                <w:szCs w:val="5"/>
                <w:color w:val="auto"/>
                <w:w w:val="70"/>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jc w:val="right"/>
              <w:ind w:right="1131"/>
              <w:spacing w:after="0"/>
              <w:rPr>
                <w:sz w:val="20"/>
                <w:szCs w:val="20"/>
                <w:color w:val="auto"/>
              </w:rPr>
            </w:pPr>
            <w:r>
              <w:rPr>
                <w:rFonts w:ascii="Arial" w:cs="Arial" w:eastAsia="Arial" w:hAnsi="Arial"/>
                <w:sz w:val="10"/>
                <w:szCs w:val="10"/>
                <w:color w:val="auto"/>
                <w:w w:val="71"/>
              </w:rPr>
              <w:t>$</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15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800" w:type="dxa"/>
            <w:vAlign w:val="bottom"/>
          </w:tcPr>
          <w:p>
            <w:pPr>
              <w:ind w:left="220"/>
              <w:spacing w:after="0"/>
              <w:rPr>
                <w:sz w:val="20"/>
                <w:szCs w:val="20"/>
                <w:color w:val="auto"/>
              </w:rPr>
            </w:pPr>
            <w:r>
              <w:rPr>
                <w:rFonts w:ascii="Arial" w:cs="Arial" w:eastAsia="Arial" w:hAnsi="Arial"/>
                <w:sz w:val="14"/>
                <w:szCs w:val="14"/>
                <w:color w:val="auto"/>
              </w:rPr>
              <w:t>Construction</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9"/>
        </w:trPr>
        <w:tc>
          <w:tcPr>
            <w:tcW w:w="80" w:type="dxa"/>
            <w:vAlign w:val="bottom"/>
            <w:shd w:val="clear" w:color="auto" w:fill="CFF0FC"/>
          </w:tcPr>
          <w:p>
            <w:pPr>
              <w:spacing w:after="0"/>
              <w:rPr>
                <w:sz w:val="18"/>
                <w:szCs w:val="18"/>
                <w:color w:val="auto"/>
              </w:rPr>
            </w:pPr>
          </w:p>
        </w:tc>
        <w:tc>
          <w:tcPr>
            <w:tcW w:w="28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SBA</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60" w:type="dxa"/>
            <w:vAlign w:val="bottom"/>
            <w:shd w:val="clear" w:color="auto" w:fill="CFF0FC"/>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800" w:type="dxa"/>
            <w:vAlign w:val="bottom"/>
          </w:tcPr>
          <w:p>
            <w:pPr>
              <w:ind w:left="220"/>
              <w:spacing w:after="0"/>
              <w:rPr>
                <w:sz w:val="20"/>
                <w:szCs w:val="20"/>
                <w:color w:val="auto"/>
              </w:rPr>
            </w:pPr>
            <w:r>
              <w:rPr>
                <w:rFonts w:ascii="Arial" w:cs="Arial" w:eastAsia="Arial" w:hAnsi="Arial"/>
                <w:sz w:val="14"/>
                <w:szCs w:val="14"/>
                <w:color w:val="auto"/>
              </w:rPr>
              <w:t>Commercial and industrial</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423</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3,153</w:t>
            </w:r>
          </w:p>
        </w:tc>
        <w:tc>
          <w:tcPr>
            <w:tcW w:w="60" w:type="dxa"/>
            <w:vAlign w:val="bottom"/>
          </w:tcPr>
          <w:p>
            <w:pPr>
              <w:spacing w:after="0"/>
              <w:rPr>
                <w:sz w:val="17"/>
                <w:szCs w:val="17"/>
                <w:color w:val="auto"/>
              </w:rPr>
            </w:pPr>
          </w:p>
        </w:tc>
      </w:tr>
      <w:tr>
        <w:trPr>
          <w:trHeight w:val="190"/>
        </w:trPr>
        <w:tc>
          <w:tcPr>
            <w:tcW w:w="80" w:type="dxa"/>
            <w:vAlign w:val="bottom"/>
            <w:shd w:val="clear" w:color="auto" w:fill="CFF0FC"/>
          </w:tcPr>
          <w:p>
            <w:pPr>
              <w:spacing w:after="0"/>
              <w:rPr>
                <w:sz w:val="16"/>
                <w:szCs w:val="16"/>
                <w:color w:val="auto"/>
              </w:rPr>
            </w:pPr>
          </w:p>
        </w:tc>
        <w:tc>
          <w:tcPr>
            <w:tcW w:w="28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Dairy &amp; livestock and</w:t>
            </w:r>
          </w:p>
        </w:tc>
        <w:tc>
          <w:tcPr>
            <w:tcW w:w="1020" w:type="dxa"/>
            <w:vAlign w:val="bottom"/>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4"/>
        </w:trPr>
        <w:tc>
          <w:tcPr>
            <w:tcW w:w="80" w:type="dxa"/>
            <w:vAlign w:val="bottom"/>
            <w:shd w:val="clear" w:color="auto" w:fill="CFF0FC"/>
          </w:tcPr>
          <w:p>
            <w:pPr>
              <w:spacing w:after="0"/>
              <w:rPr>
                <w:sz w:val="16"/>
                <w:szCs w:val="16"/>
                <w:color w:val="auto"/>
              </w:rPr>
            </w:pPr>
          </w:p>
        </w:tc>
        <w:tc>
          <w:tcPr>
            <w:tcW w:w="2800" w:type="dxa"/>
            <w:vAlign w:val="bottom"/>
            <w:tcBorders>
              <w:right w:val="single" w:sz="8" w:color="CFF0FC"/>
            </w:tcBorders>
            <w:shd w:val="clear" w:color="auto" w:fill="CFF0FC"/>
          </w:tcPr>
          <w:p>
            <w:pPr>
              <w:ind w:left="320"/>
              <w:spacing w:after="0"/>
              <w:rPr>
                <w:sz w:val="20"/>
                <w:szCs w:val="20"/>
                <w:color w:val="auto"/>
              </w:rPr>
            </w:pPr>
            <w:r>
              <w:rPr>
                <w:rFonts w:ascii="Arial" w:cs="Arial" w:eastAsia="Arial" w:hAnsi="Arial"/>
                <w:sz w:val="14"/>
                <w:szCs w:val="14"/>
                <w:color w:val="auto"/>
              </w:rPr>
              <w:t>agribusiness</w:t>
            </w:r>
          </w:p>
        </w:tc>
        <w:tc>
          <w:tcPr>
            <w:tcW w:w="1020" w:type="dxa"/>
            <w:vAlign w:val="bottom"/>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300" w:type="dxa"/>
            <w:vAlign w:val="bottom"/>
            <w:tcBorders>
              <w:right w:val="single" w:sz="8" w:color="CFF0FC"/>
            </w:tcBorders>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2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60" w:type="dxa"/>
            <w:vAlign w:val="bottom"/>
            <w:shd w:val="clear" w:color="auto" w:fill="CFF0FC"/>
          </w:tcPr>
          <w:p>
            <w:pPr>
              <w:spacing w:after="0"/>
              <w:rPr>
                <w:sz w:val="16"/>
                <w:szCs w:val="16"/>
                <w:color w:val="auto"/>
              </w:rPr>
            </w:pPr>
          </w:p>
        </w:tc>
      </w:tr>
      <w:tr>
        <w:trPr>
          <w:trHeight w:val="184"/>
        </w:trPr>
        <w:tc>
          <w:tcPr>
            <w:tcW w:w="80" w:type="dxa"/>
            <w:vAlign w:val="bottom"/>
          </w:tcPr>
          <w:p>
            <w:pPr>
              <w:spacing w:after="0"/>
              <w:rPr>
                <w:sz w:val="15"/>
                <w:szCs w:val="15"/>
                <w:color w:val="auto"/>
              </w:rPr>
            </w:pPr>
          </w:p>
        </w:tc>
        <w:tc>
          <w:tcPr>
            <w:tcW w:w="2800" w:type="dxa"/>
            <w:vAlign w:val="bottom"/>
          </w:tcPr>
          <w:p>
            <w:pPr>
              <w:ind w:left="220"/>
              <w:spacing w:after="0"/>
              <w:rPr>
                <w:sz w:val="20"/>
                <w:szCs w:val="20"/>
                <w:color w:val="auto"/>
              </w:rPr>
            </w:pPr>
            <w:r>
              <w:rPr>
                <w:rFonts w:ascii="Arial" w:cs="Arial" w:eastAsia="Arial" w:hAnsi="Arial"/>
                <w:sz w:val="14"/>
                <w:szCs w:val="14"/>
                <w:color w:val="auto"/>
              </w:rPr>
              <w:t>Municipal lease finance</w:t>
            </w: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8"/>
        </w:trPr>
        <w:tc>
          <w:tcPr>
            <w:tcW w:w="80" w:type="dxa"/>
            <w:vAlign w:val="bottom"/>
          </w:tcPr>
          <w:p>
            <w:pPr>
              <w:spacing w:after="0"/>
              <w:rPr>
                <w:sz w:val="16"/>
                <w:szCs w:val="16"/>
                <w:color w:val="auto"/>
              </w:rPr>
            </w:pPr>
          </w:p>
        </w:tc>
        <w:tc>
          <w:tcPr>
            <w:tcW w:w="2800" w:type="dxa"/>
            <w:vAlign w:val="bottom"/>
          </w:tcPr>
          <w:p>
            <w:pPr>
              <w:ind w:left="320"/>
              <w:spacing w:after="0"/>
              <w:rPr>
                <w:sz w:val="20"/>
                <w:szCs w:val="20"/>
                <w:color w:val="auto"/>
              </w:rPr>
            </w:pPr>
            <w:r>
              <w:rPr>
                <w:rFonts w:ascii="Arial" w:cs="Arial" w:eastAsia="Arial" w:hAnsi="Arial"/>
                <w:sz w:val="14"/>
                <w:szCs w:val="14"/>
                <w:color w:val="auto"/>
              </w:rPr>
              <w:t>receivables</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208"/>
        </w:trPr>
        <w:tc>
          <w:tcPr>
            <w:tcW w:w="80" w:type="dxa"/>
            <w:vAlign w:val="bottom"/>
            <w:shd w:val="clear" w:color="auto" w:fill="CFF0FC"/>
          </w:tcPr>
          <w:p>
            <w:pPr>
              <w:spacing w:after="0"/>
              <w:rPr>
                <w:sz w:val="18"/>
                <w:szCs w:val="18"/>
                <w:color w:val="auto"/>
              </w:rPr>
            </w:pPr>
          </w:p>
        </w:tc>
        <w:tc>
          <w:tcPr>
            <w:tcW w:w="28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SFR mortgage</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2800" w:type="dxa"/>
            <w:vAlign w:val="bottom"/>
          </w:tcPr>
          <w:p>
            <w:pPr>
              <w:ind w:left="220"/>
              <w:spacing w:after="0"/>
              <w:rPr>
                <w:sz w:val="20"/>
                <w:szCs w:val="20"/>
                <w:color w:val="auto"/>
              </w:rPr>
            </w:pPr>
            <w:r>
              <w:rPr>
                <w:rFonts w:ascii="Arial" w:cs="Arial" w:eastAsia="Arial" w:hAnsi="Arial"/>
                <w:sz w:val="14"/>
                <w:szCs w:val="14"/>
                <w:color w:val="auto"/>
              </w:rPr>
              <w:t>Consumer and other loans</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7"/>
                <w:szCs w:val="17"/>
                <w:color w:val="auto"/>
              </w:rPr>
            </w:pPr>
          </w:p>
        </w:tc>
      </w:tr>
      <w:tr>
        <w:trPr>
          <w:trHeight w:val="208"/>
        </w:trPr>
        <w:tc>
          <w:tcPr>
            <w:tcW w:w="80" w:type="dxa"/>
            <w:vAlign w:val="bottom"/>
            <w:shd w:val="clear" w:color="auto" w:fill="CFF0FC"/>
          </w:tcPr>
          <w:p>
            <w:pPr>
              <w:spacing w:after="0"/>
              <w:rPr>
                <w:sz w:val="18"/>
                <w:szCs w:val="18"/>
                <w:color w:val="auto"/>
              </w:rPr>
            </w:pPr>
          </w:p>
        </w:tc>
        <w:tc>
          <w:tcPr>
            <w:tcW w:w="280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Other real estate owned</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r>
      <w:tr>
        <w:trPr>
          <w:trHeight w:val="203"/>
        </w:trPr>
        <w:tc>
          <w:tcPr>
            <w:tcW w:w="80" w:type="dxa"/>
            <w:vAlign w:val="bottom"/>
          </w:tcPr>
          <w:p>
            <w:pPr>
              <w:spacing w:after="0"/>
              <w:rPr>
                <w:sz w:val="17"/>
                <w:szCs w:val="17"/>
                <w:color w:val="auto"/>
              </w:rPr>
            </w:pPr>
          </w:p>
        </w:tc>
        <w:tc>
          <w:tcPr>
            <w:tcW w:w="2800" w:type="dxa"/>
            <w:vAlign w:val="bottom"/>
          </w:tcPr>
          <w:p>
            <w:pPr>
              <w:ind w:left="40"/>
              <w:spacing w:after="0"/>
              <w:rPr>
                <w:sz w:val="20"/>
                <w:szCs w:val="20"/>
                <w:color w:val="auto"/>
              </w:rPr>
            </w:pPr>
            <w:r>
              <w:rPr>
                <w:rFonts w:ascii="Arial" w:cs="Arial" w:eastAsia="Arial" w:hAnsi="Arial"/>
                <w:sz w:val="14"/>
                <w:szCs w:val="14"/>
                <w:color w:val="auto"/>
              </w:rPr>
              <w:t>Asset held-for-sale</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36"/>
        </w:trPr>
        <w:tc>
          <w:tcPr>
            <w:tcW w:w="80" w:type="dxa"/>
            <w:vAlign w:val="bottom"/>
            <w:shd w:val="clear" w:color="auto" w:fill="CFF0FC"/>
          </w:tcPr>
          <w:p>
            <w:pPr>
              <w:spacing w:after="0"/>
              <w:rPr>
                <w:sz w:val="20"/>
                <w:szCs w:val="20"/>
                <w:color w:val="auto"/>
              </w:rPr>
            </w:pPr>
          </w:p>
        </w:tc>
        <w:tc>
          <w:tcPr>
            <w:tcW w:w="280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Total assets</w:t>
            </w:r>
          </w:p>
        </w:tc>
        <w:tc>
          <w:tcPr>
            <w:tcW w:w="1020" w:type="dxa"/>
            <w:vAlign w:val="bottom"/>
            <w:shd w:val="clear" w:color="auto" w:fill="CFF0FC"/>
          </w:tcPr>
          <w:p>
            <w:pPr>
              <w:jc w:val="right"/>
              <w:ind w:right="916"/>
              <w:spacing w:after="0"/>
              <w:rPr>
                <w:sz w:val="20"/>
                <w:szCs w:val="20"/>
                <w:color w:val="auto"/>
              </w:rPr>
            </w:pPr>
            <w:r>
              <w:rPr>
                <w:rFonts w:ascii="Arial" w:cs="Arial" w:eastAsia="Arial" w:hAnsi="Arial"/>
                <w:sz w:val="5"/>
                <w:szCs w:val="5"/>
                <w:color w:val="auto"/>
                <w:w w:val="70"/>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1,086</w:t>
            </w:r>
          </w:p>
        </w:tc>
        <w:tc>
          <w:tcPr>
            <w:tcW w:w="300" w:type="dxa"/>
            <w:vAlign w:val="bottom"/>
            <w:tcBorders>
              <w:right w:val="single" w:sz="8" w:color="CFF0FC"/>
            </w:tcBorders>
            <w:shd w:val="clear" w:color="auto" w:fill="CFF0FC"/>
          </w:tcPr>
          <w:p>
            <w:pPr>
              <w:spacing w:after="0"/>
              <w:rPr>
                <w:sz w:val="20"/>
                <w:szCs w:val="20"/>
                <w:color w:val="auto"/>
              </w:rPr>
            </w:pPr>
          </w:p>
        </w:tc>
        <w:tc>
          <w:tcPr>
            <w:tcW w:w="1260" w:type="dxa"/>
            <w:vAlign w:val="bottom"/>
            <w:shd w:val="clear" w:color="auto" w:fill="CFF0FC"/>
          </w:tcPr>
          <w:p>
            <w:pPr>
              <w:jc w:val="right"/>
              <w:ind w:right="1131"/>
              <w:spacing w:after="0"/>
              <w:rPr>
                <w:sz w:val="20"/>
                <w:szCs w:val="20"/>
                <w:color w:val="auto"/>
              </w:rPr>
            </w:pPr>
            <w:r>
              <w:rPr>
                <w:rFonts w:ascii="Arial" w:cs="Arial" w:eastAsia="Arial" w:hAnsi="Arial"/>
                <w:sz w:val="10"/>
                <w:szCs w:val="10"/>
                <w:color w:val="auto"/>
                <w:w w:val="71"/>
              </w:rPr>
              <w:t>$</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15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1,086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3,375</w:t>
            </w:r>
          </w:p>
        </w:tc>
        <w:tc>
          <w:tcPr>
            <w:tcW w:w="60" w:type="dxa"/>
            <w:vAlign w:val="bottom"/>
            <w:shd w:val="clear" w:color="auto" w:fill="CFF0FC"/>
          </w:tcPr>
          <w:p>
            <w:pPr>
              <w:spacing w:after="0"/>
              <w:rPr>
                <w:sz w:val="20"/>
                <w:szCs w:val="20"/>
                <w:color w:val="auto"/>
              </w:rPr>
            </w:pPr>
          </w:p>
        </w:tc>
      </w:tr>
      <w:tr>
        <w:trPr>
          <w:trHeight w:val="376"/>
        </w:trPr>
        <w:tc>
          <w:tcPr>
            <w:tcW w:w="8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jc w:val="center"/>
              <w:ind w:left="71"/>
              <w:spacing w:after="0"/>
              <w:rPr>
                <w:sz w:val="20"/>
                <w:szCs w:val="20"/>
                <w:color w:val="auto"/>
              </w:rPr>
            </w:pPr>
            <w:r>
              <w:rPr>
                <w:rFonts w:ascii="Arial" w:cs="Arial" w:eastAsia="Arial" w:hAnsi="Arial"/>
                <w:sz w:val="14"/>
                <w:szCs w:val="14"/>
                <w:b w:val="1"/>
                <w:bCs w:val="1"/>
                <w:color w:val="auto"/>
                <w:w w:val="92"/>
              </w:rPr>
              <w:t>Quoted Prices</w:t>
            </w: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r>
      <w:tr>
        <w:trPr>
          <w:trHeight w:val="175"/>
        </w:trPr>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jc w:val="center"/>
              <w:ind w:left="316"/>
              <w:spacing w:after="0"/>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95"/>
              </w:rPr>
              <w:t>in Active</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jc w:val="center"/>
              <w:ind w:left="296"/>
              <w:spacing w:after="0"/>
              <w:rPr>
                <w:sz w:val="20"/>
                <w:szCs w:val="20"/>
                <w:color w:val="auto"/>
              </w:rPr>
            </w:pPr>
            <w:r>
              <w:rPr>
                <w:rFonts w:ascii="Arial" w:cs="Arial" w:eastAsia="Arial" w:hAnsi="Arial"/>
                <w:sz w:val="14"/>
                <w:szCs w:val="14"/>
                <w:b w:val="1"/>
                <w:bCs w:val="1"/>
                <w:color w:val="auto"/>
                <w:w w:val="93"/>
              </w:rPr>
              <w:t>Value at</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95"/>
              </w:rPr>
              <w:t>Markets for</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228"/>
              <w:spacing w:after="0"/>
              <w:rPr>
                <w:sz w:val="20"/>
                <w:szCs w:val="20"/>
                <w:color w:val="auto"/>
              </w:rPr>
            </w:pPr>
            <w:r>
              <w:rPr>
                <w:rFonts w:ascii="Arial" w:cs="Arial" w:eastAsia="Arial" w:hAnsi="Arial"/>
                <w:sz w:val="14"/>
                <w:szCs w:val="14"/>
                <w:b w:val="1"/>
                <w:bCs w:val="1"/>
                <w:color w:val="auto"/>
                <w:w w:val="91"/>
              </w:rPr>
              <w:t>Total Losses For</w:t>
            </w: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74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Pr>
          <w:p>
            <w:pPr>
              <w:jc w:val="center"/>
              <w:ind w:left="71"/>
              <w:spacing w:after="0"/>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left="10"/>
              <w:spacing w:after="0"/>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Unobservable Inputs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the Year Ended</w:t>
            </w:r>
          </w:p>
        </w:tc>
        <w:tc>
          <w:tcPr>
            <w:tcW w:w="60" w:type="dxa"/>
            <w:vAlign w:val="bottom"/>
          </w:tcPr>
          <w:p>
            <w:pPr>
              <w:spacing w:after="0"/>
              <w:rPr>
                <w:sz w:val="15"/>
                <w:szCs w:val="15"/>
                <w:color w:val="auto"/>
              </w:rPr>
            </w:pPr>
          </w:p>
        </w:tc>
      </w:tr>
      <w:tr>
        <w:trPr>
          <w:trHeight w:val="192"/>
        </w:trPr>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left="91"/>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left="1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46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3"/>
              </w:rPr>
              <w:t>December 31, 2020</w:t>
            </w:r>
          </w:p>
        </w:tc>
        <w:tc>
          <w:tcPr>
            <w:tcW w:w="60" w:type="dxa"/>
            <w:vAlign w:val="bottom"/>
          </w:tcPr>
          <w:p>
            <w:pPr>
              <w:spacing w:after="0"/>
              <w:rPr>
                <w:sz w:val="16"/>
                <w:szCs w:val="16"/>
                <w:color w:val="auto"/>
              </w:rPr>
            </w:pPr>
          </w:p>
        </w:tc>
      </w:tr>
      <w:tr>
        <w:trPr>
          <w:trHeight w:val="194"/>
        </w:trPr>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3"/>
                <w:szCs w:val="13"/>
                <w:i w:val="1"/>
                <w:iCs w:val="1"/>
                <w:color w:val="auto"/>
                <w:w w:val="93"/>
              </w:rPr>
              <w:t>(Dollars in thousands)</w:t>
            </w:r>
          </w:p>
        </w:tc>
        <w:tc>
          <w:tcPr>
            <w:tcW w:w="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80" w:type="dxa"/>
            <w:vAlign w:val="bottom"/>
          </w:tcPr>
          <w:p>
            <w:pPr>
              <w:spacing w:after="0"/>
              <w:rPr>
                <w:sz w:val="18"/>
                <w:szCs w:val="18"/>
                <w:color w:val="auto"/>
              </w:rPr>
            </w:pPr>
          </w:p>
        </w:tc>
        <w:tc>
          <w:tcPr>
            <w:tcW w:w="2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Description of assets</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800" w:type="dxa"/>
            <w:vAlign w:val="bottom"/>
          </w:tcPr>
          <w:p>
            <w:pPr>
              <w:ind w:left="100"/>
              <w:spacing w:after="0"/>
              <w:rPr>
                <w:sz w:val="20"/>
                <w:szCs w:val="20"/>
                <w:color w:val="auto"/>
              </w:rPr>
            </w:pPr>
            <w:r>
              <w:rPr>
                <w:rFonts w:ascii="Arial" w:cs="Arial" w:eastAsia="Arial" w:hAnsi="Arial"/>
                <w:sz w:val="14"/>
                <w:szCs w:val="14"/>
                <w:color w:val="auto"/>
              </w:rPr>
              <w:t>Loans:</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80" w:type="dxa"/>
            <w:vAlign w:val="bottom"/>
          </w:tcPr>
          <w:p>
            <w:pPr>
              <w:spacing w:after="0"/>
              <w:rPr>
                <w:sz w:val="18"/>
                <w:szCs w:val="18"/>
                <w:color w:val="auto"/>
              </w:rPr>
            </w:pPr>
          </w:p>
        </w:tc>
        <w:tc>
          <w:tcPr>
            <w:tcW w:w="280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Commercial real estate</w:t>
            </w:r>
          </w:p>
        </w:tc>
        <w:tc>
          <w:tcPr>
            <w:tcW w:w="1020" w:type="dxa"/>
            <w:vAlign w:val="bottom"/>
            <w:shd w:val="clear" w:color="auto" w:fill="CFF0FC"/>
          </w:tcPr>
          <w:p>
            <w:pPr>
              <w:jc w:val="right"/>
              <w:ind w:right="876"/>
              <w:spacing w:after="0"/>
              <w:rPr>
                <w:sz w:val="20"/>
                <w:szCs w:val="20"/>
                <w:color w:val="auto"/>
              </w:rPr>
            </w:pPr>
            <w:r>
              <w:rPr>
                <w:rFonts w:ascii="Arial" w:cs="Arial" w:eastAsia="Arial" w:hAnsi="Arial"/>
                <w:sz w:val="14"/>
                <w:szCs w:val="14"/>
                <w:color w:val="auto"/>
                <w:w w:val="76"/>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jc w:val="right"/>
              <w:ind w:right="1111"/>
              <w:spacing w:after="0"/>
              <w:rPr>
                <w:sz w:val="20"/>
                <w:szCs w:val="20"/>
                <w:color w:val="auto"/>
              </w:rPr>
            </w:pPr>
            <w:r>
              <w:rPr>
                <w:rFonts w:ascii="Arial" w:cs="Arial" w:eastAsia="Arial" w:hAnsi="Arial"/>
                <w:sz w:val="14"/>
                <w:szCs w:val="14"/>
                <w:color w:val="auto"/>
                <w:w w:val="76"/>
              </w:rPr>
              <w:t>$</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17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9"/>
        </w:trPr>
        <w:tc>
          <w:tcPr>
            <w:tcW w:w="80" w:type="dxa"/>
            <w:vAlign w:val="bottom"/>
          </w:tcPr>
          <w:p>
            <w:pPr>
              <w:spacing w:after="0"/>
              <w:rPr>
                <w:sz w:val="18"/>
                <w:szCs w:val="18"/>
                <w:color w:val="auto"/>
              </w:rPr>
            </w:pPr>
          </w:p>
        </w:tc>
        <w:tc>
          <w:tcPr>
            <w:tcW w:w="280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SBA</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4,266</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4,266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2,316</w:t>
            </w:r>
          </w:p>
        </w:tc>
        <w:tc>
          <w:tcPr>
            <w:tcW w:w="60" w:type="dxa"/>
            <w:vAlign w:val="bottom"/>
          </w:tcPr>
          <w:p>
            <w:pPr>
              <w:spacing w:after="0"/>
              <w:rPr>
                <w:sz w:val="17"/>
                <w:szCs w:val="17"/>
                <w:color w:val="auto"/>
              </w:rPr>
            </w:pPr>
          </w:p>
        </w:tc>
      </w:tr>
      <w:tr>
        <w:trPr>
          <w:trHeight w:val="190"/>
        </w:trPr>
        <w:tc>
          <w:tcPr>
            <w:tcW w:w="80" w:type="dxa"/>
            <w:vAlign w:val="bottom"/>
          </w:tcPr>
          <w:p>
            <w:pPr>
              <w:spacing w:after="0"/>
              <w:rPr>
                <w:sz w:val="16"/>
                <w:szCs w:val="16"/>
                <w:color w:val="auto"/>
              </w:rPr>
            </w:pPr>
          </w:p>
        </w:tc>
        <w:tc>
          <w:tcPr>
            <w:tcW w:w="280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Dairy &amp; livestock and</w:t>
            </w:r>
          </w:p>
        </w:tc>
        <w:tc>
          <w:tcPr>
            <w:tcW w:w="1020" w:type="dxa"/>
            <w:vAlign w:val="bottom"/>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80" w:type="dxa"/>
            <w:vAlign w:val="bottom"/>
          </w:tcPr>
          <w:p>
            <w:pPr>
              <w:spacing w:after="0"/>
              <w:rPr>
                <w:sz w:val="16"/>
                <w:szCs w:val="16"/>
                <w:color w:val="auto"/>
              </w:rPr>
            </w:pPr>
          </w:p>
        </w:tc>
        <w:tc>
          <w:tcPr>
            <w:tcW w:w="280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agribusiness</w:t>
            </w:r>
          </w:p>
        </w:tc>
        <w:tc>
          <w:tcPr>
            <w:tcW w:w="1020" w:type="dxa"/>
            <w:vAlign w:val="bottom"/>
            <w:shd w:val="clear" w:color="auto" w:fill="CFF0FC"/>
          </w:tcPr>
          <w:p>
            <w:pPr>
              <w:spacing w:after="0"/>
              <w:rPr>
                <w:sz w:val="16"/>
                <w:szCs w:val="16"/>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184"/>
        </w:trPr>
        <w:tc>
          <w:tcPr>
            <w:tcW w:w="80" w:type="dxa"/>
            <w:vAlign w:val="bottom"/>
          </w:tcPr>
          <w:p>
            <w:pPr>
              <w:spacing w:after="0"/>
              <w:rPr>
                <w:sz w:val="15"/>
                <w:szCs w:val="15"/>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Municipal lease finance</w:t>
            </w: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8"/>
        </w:trPr>
        <w:tc>
          <w:tcPr>
            <w:tcW w:w="80" w:type="dxa"/>
            <w:vAlign w:val="bottom"/>
          </w:tcPr>
          <w:p>
            <w:pPr>
              <w:spacing w:after="0"/>
              <w:rPr>
                <w:sz w:val="16"/>
                <w:szCs w:val="16"/>
                <w:color w:val="auto"/>
              </w:rPr>
            </w:pPr>
          </w:p>
        </w:tc>
        <w:tc>
          <w:tcPr>
            <w:tcW w:w="2800" w:type="dxa"/>
            <w:vAlign w:val="bottom"/>
          </w:tcPr>
          <w:p>
            <w:pPr>
              <w:ind w:left="380"/>
              <w:spacing w:after="0"/>
              <w:rPr>
                <w:sz w:val="20"/>
                <w:szCs w:val="20"/>
                <w:color w:val="auto"/>
              </w:rPr>
            </w:pPr>
            <w:r>
              <w:rPr>
                <w:rFonts w:ascii="Arial" w:cs="Arial" w:eastAsia="Arial" w:hAnsi="Arial"/>
                <w:sz w:val="14"/>
                <w:szCs w:val="14"/>
                <w:color w:val="auto"/>
              </w:rPr>
              <w:t>receivables</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208"/>
        </w:trPr>
        <w:tc>
          <w:tcPr>
            <w:tcW w:w="80" w:type="dxa"/>
            <w:vAlign w:val="bottom"/>
          </w:tcPr>
          <w:p>
            <w:pPr>
              <w:spacing w:after="0"/>
              <w:rPr>
                <w:sz w:val="18"/>
                <w:szCs w:val="18"/>
                <w:color w:val="auto"/>
              </w:rPr>
            </w:pPr>
          </w:p>
        </w:tc>
        <w:tc>
          <w:tcPr>
            <w:tcW w:w="280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SFR mortgage</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Consumer and other loans</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9"/>
        </w:trPr>
        <w:tc>
          <w:tcPr>
            <w:tcW w:w="80" w:type="dxa"/>
            <w:vAlign w:val="bottom"/>
          </w:tcPr>
          <w:p>
            <w:pPr>
              <w:spacing w:after="0"/>
              <w:rPr>
                <w:sz w:val="18"/>
                <w:szCs w:val="18"/>
                <w:color w:val="auto"/>
              </w:rPr>
            </w:pPr>
          </w:p>
        </w:tc>
        <w:tc>
          <w:tcPr>
            <w:tcW w:w="280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Other real estate owned</w:t>
            </w:r>
          </w:p>
        </w:tc>
        <w:tc>
          <w:tcPr>
            <w:tcW w:w="10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2,275</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2,275</w:t>
            </w: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700</w:t>
            </w:r>
          </w:p>
        </w:tc>
        <w:tc>
          <w:tcPr>
            <w:tcW w:w="60" w:type="dxa"/>
            <w:vAlign w:val="bottom"/>
          </w:tcPr>
          <w:p>
            <w:pPr>
              <w:spacing w:after="0"/>
              <w:rPr>
                <w:sz w:val="18"/>
                <w:szCs w:val="18"/>
                <w:color w:val="auto"/>
              </w:rPr>
            </w:pPr>
          </w:p>
        </w:tc>
      </w:tr>
      <w:tr>
        <w:trPr>
          <w:trHeight w:val="203"/>
        </w:trPr>
        <w:tc>
          <w:tcPr>
            <w:tcW w:w="80" w:type="dxa"/>
            <w:vAlign w:val="bottom"/>
          </w:tcPr>
          <w:p>
            <w:pPr>
              <w:spacing w:after="0"/>
              <w:rPr>
                <w:sz w:val="17"/>
                <w:szCs w:val="17"/>
                <w:color w:val="auto"/>
              </w:rPr>
            </w:pPr>
          </w:p>
        </w:tc>
        <w:tc>
          <w:tcPr>
            <w:tcW w:w="2800" w:type="dxa"/>
            <w:vAlign w:val="bottom"/>
          </w:tcPr>
          <w:p>
            <w:pPr>
              <w:ind w:left="100"/>
              <w:spacing w:after="0"/>
              <w:rPr>
                <w:sz w:val="20"/>
                <w:szCs w:val="20"/>
                <w:color w:val="auto"/>
              </w:rPr>
            </w:pPr>
            <w:r>
              <w:rPr>
                <w:rFonts w:ascii="Arial" w:cs="Arial" w:eastAsia="Arial" w:hAnsi="Arial"/>
                <w:sz w:val="14"/>
                <w:szCs w:val="14"/>
                <w:color w:val="auto"/>
              </w:rPr>
              <w:t>Asset held-for-sale</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280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4"/>
                <w:szCs w:val="14"/>
                <w:color w:val="auto"/>
              </w:rPr>
              <w:t>Total assets</w:t>
            </w:r>
          </w:p>
        </w:tc>
        <w:tc>
          <w:tcPr>
            <w:tcW w:w="1020" w:type="dxa"/>
            <w:vAlign w:val="bottom"/>
            <w:shd w:val="clear" w:color="auto" w:fill="CFF0FC"/>
          </w:tcPr>
          <w:p>
            <w:pPr>
              <w:jc w:val="right"/>
              <w:ind w:right="876"/>
              <w:spacing w:after="0"/>
              <w:rPr>
                <w:sz w:val="20"/>
                <w:szCs w:val="20"/>
                <w:color w:val="auto"/>
              </w:rPr>
            </w:pPr>
            <w:r>
              <w:rPr>
                <w:rFonts w:ascii="Arial" w:cs="Arial" w:eastAsia="Arial" w:hAnsi="Arial"/>
                <w:sz w:val="14"/>
                <w:szCs w:val="14"/>
                <w:color w:val="auto"/>
                <w:w w:val="76"/>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6,617</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jc w:val="right"/>
              <w:ind w:right="1111"/>
              <w:spacing w:after="0"/>
              <w:rPr>
                <w:sz w:val="20"/>
                <w:szCs w:val="20"/>
                <w:color w:val="auto"/>
              </w:rPr>
            </w:pPr>
            <w:r>
              <w:rPr>
                <w:rFonts w:ascii="Arial" w:cs="Arial" w:eastAsia="Arial" w:hAnsi="Arial"/>
                <w:sz w:val="14"/>
                <w:szCs w:val="14"/>
                <w:color w:val="auto"/>
                <w:w w:val="76"/>
              </w:rPr>
              <w:t>$</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17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6,617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3,040</w:t>
            </w: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-2802255</wp:posOffset>
            </wp:positionV>
            <wp:extent cx="1885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-2785745</wp:posOffset>
            </wp:positionV>
            <wp:extent cx="18859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-2802255</wp:posOffset>
            </wp:positionV>
            <wp:extent cx="18034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-2785745</wp:posOffset>
            </wp:positionV>
            <wp:extent cx="18034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-2802255</wp:posOffset>
            </wp:positionV>
            <wp:extent cx="17145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-2785745</wp:posOffset>
            </wp:positionV>
            <wp:extent cx="17145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-2802255</wp:posOffset>
            </wp:positionV>
            <wp:extent cx="17145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-2785745</wp:posOffset>
            </wp:positionV>
            <wp:extent cx="17145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-25400</wp:posOffset>
            </wp:positionV>
            <wp:extent cx="18859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18859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17970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17970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17145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17145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7145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7145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ind w:right="100" w:firstLine="405"/>
        <w:spacing w:after="0" w:line="272" w:lineRule="auto"/>
        <w:rPr>
          <w:sz w:val="20"/>
          <w:szCs w:val="20"/>
          <w:color w:val="auto"/>
        </w:rPr>
      </w:pPr>
      <w:r>
        <w:rPr>
          <w:rFonts w:ascii="Arial" w:cs="Arial" w:eastAsia="Arial" w:hAnsi="Arial"/>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June 30, 2021 and December 31, 2020, respectively. The use of different market assumptions and/or estimation methodologies may have a material effect on the estimated fair value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4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Estimated Fair Value</w:t>
            </w: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223"/>
        </w:trPr>
        <w:tc>
          <w:tcPr>
            <w:tcW w:w="4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00" w:type="dxa"/>
            <w:vAlign w:val="bottom"/>
            <w:gridSpan w:val="4"/>
          </w:tcPr>
          <w:p>
            <w:pPr>
              <w:ind w:left="10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300" w:type="dxa"/>
            <w:vAlign w:val="bottom"/>
          </w:tcPr>
          <w:p>
            <w:pPr>
              <w:ind w:left="28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2,331,865</w:t>
            </w:r>
          </w:p>
        </w:tc>
        <w:tc>
          <w:tcPr>
            <w:tcW w:w="3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2,331,865</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2,331,865</w:t>
            </w:r>
          </w:p>
        </w:tc>
        <w:tc>
          <w:tcPr>
            <w:tcW w:w="100" w:type="dxa"/>
            <w:vAlign w:val="bottom"/>
          </w:tcPr>
          <w:p>
            <w:pPr>
              <w:spacing w:after="0"/>
              <w:rPr>
                <w:sz w:val="21"/>
                <w:szCs w:val="21"/>
                <w:color w:val="auto"/>
              </w:rPr>
            </w:pPr>
          </w:p>
        </w:tc>
      </w:tr>
      <w:tr>
        <w:trPr>
          <w:trHeight w:val="249"/>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Interest-earning balances due from</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3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depository institutions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26,258</w:t>
            </w:r>
          </w:p>
        </w:tc>
        <w:tc>
          <w:tcPr>
            <w:tcW w:w="100" w:type="dxa"/>
            <w:vAlign w:val="bottom"/>
            <w:shd w:val="clear" w:color="auto" w:fill="CFF0FC"/>
          </w:tcPr>
          <w:p>
            <w:pPr>
              <w:spacing w:after="0"/>
              <w:rPr>
                <w:sz w:val="21"/>
                <w:szCs w:val="21"/>
                <w:color w:val="auto"/>
              </w:rPr>
            </w:pPr>
          </w:p>
        </w:tc>
      </w:tr>
      <w:tr>
        <w:trPr>
          <w:trHeight w:val="250"/>
        </w:trPr>
        <w:tc>
          <w:tcPr>
            <w:tcW w:w="4300" w:type="dxa"/>
            <w:vAlign w:val="bottom"/>
          </w:tcPr>
          <w:p>
            <w:pPr>
              <w:ind w:left="280"/>
              <w:spacing w:after="0"/>
              <w:rPr>
                <w:sz w:val="20"/>
                <w:szCs w:val="20"/>
                <w:color w:val="auto"/>
              </w:rPr>
            </w:pPr>
            <w:r>
              <w:rPr>
                <w:rFonts w:ascii="Arial" w:cs="Arial" w:eastAsia="Arial" w:hAnsi="Arial"/>
                <w:sz w:val="18"/>
                <w:szCs w:val="18"/>
                <w:color w:val="auto"/>
              </w:rPr>
              <w:t>Investment securities available-for-sale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2,932,021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2,932,021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2,932,021</w:t>
            </w:r>
          </w:p>
        </w:tc>
        <w:tc>
          <w:tcPr>
            <w:tcW w:w="100" w:type="dxa"/>
            <w:vAlign w:val="bottom"/>
          </w:tcPr>
          <w:p>
            <w:pPr>
              <w:spacing w:after="0"/>
              <w:rPr>
                <w:sz w:val="21"/>
                <w:szCs w:val="21"/>
                <w:color w:val="auto"/>
              </w:rPr>
            </w:pPr>
          </w:p>
        </w:tc>
      </w:tr>
      <w:tr>
        <w:trPr>
          <w:trHeight w:val="263"/>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Investment securities held-to-maturity</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1,036,924</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1,055,523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1,055,523</w:t>
            </w:r>
          </w:p>
        </w:tc>
        <w:tc>
          <w:tcPr>
            <w:tcW w:w="100" w:type="dxa"/>
            <w:vAlign w:val="bottom"/>
            <w:shd w:val="clear" w:color="auto" w:fill="CFF0FC"/>
          </w:tcPr>
          <w:p>
            <w:pPr>
              <w:spacing w:after="0"/>
              <w:rPr>
                <w:sz w:val="22"/>
                <w:szCs w:val="22"/>
                <w:color w:val="auto"/>
              </w:rPr>
            </w:pPr>
          </w:p>
        </w:tc>
      </w:tr>
      <w:tr>
        <w:trPr>
          <w:trHeight w:val="242"/>
        </w:trPr>
        <w:tc>
          <w:tcPr>
            <w:tcW w:w="4300" w:type="dxa"/>
            <w:vAlign w:val="bottom"/>
          </w:tcPr>
          <w:p>
            <w:pPr>
              <w:ind w:left="280"/>
              <w:spacing w:after="0"/>
              <w:rPr>
                <w:sz w:val="20"/>
                <w:szCs w:val="20"/>
                <w:color w:val="auto"/>
              </w:rPr>
            </w:pPr>
            <w:r>
              <w:rPr>
                <w:rFonts w:ascii="Arial" w:cs="Arial" w:eastAsia="Arial" w:hAnsi="Arial"/>
                <w:sz w:val="18"/>
                <w:szCs w:val="18"/>
                <w:color w:val="auto"/>
              </w:rPr>
              <w:t>Total loans, net of allowance for credit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300" w:type="dxa"/>
            <w:vAlign w:val="bottom"/>
          </w:tcPr>
          <w:p>
            <w:pPr>
              <w:ind w:left="400"/>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8,001,968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8,004,132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8,004,132</w:t>
            </w:r>
          </w:p>
        </w:tc>
        <w:tc>
          <w:tcPr>
            <w:tcW w:w="100" w:type="dxa"/>
            <w:vAlign w:val="bottom"/>
          </w:tcPr>
          <w:p>
            <w:pPr>
              <w:spacing w:after="0"/>
              <w:rPr>
                <w:sz w:val="20"/>
                <w:szCs w:val="20"/>
                <w:color w:val="auto"/>
              </w:rPr>
            </w:pPr>
          </w:p>
        </w:tc>
      </w:tr>
      <w:tr>
        <w:trPr>
          <w:trHeight w:val="263"/>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Swaps</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100" w:type="dxa"/>
            <w:vAlign w:val="bottom"/>
            <w:shd w:val="clear" w:color="auto" w:fill="CFF0FC"/>
          </w:tcPr>
          <w:p>
            <w:pPr>
              <w:spacing w:after="0"/>
              <w:rPr>
                <w:sz w:val="22"/>
                <w:szCs w:val="22"/>
                <w:color w:val="auto"/>
              </w:rPr>
            </w:pPr>
          </w:p>
        </w:tc>
      </w:tr>
      <w:tr>
        <w:trPr>
          <w:trHeight w:val="250"/>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300" w:type="dxa"/>
            <w:vAlign w:val="bottom"/>
          </w:tcPr>
          <w:p>
            <w:pPr>
              <w:ind w:left="520"/>
              <w:spacing w:after="0"/>
              <w:rPr>
                <w:sz w:val="20"/>
                <w:szCs w:val="20"/>
                <w:color w:val="auto"/>
              </w:rPr>
            </w:pPr>
            <w:r>
              <w:rPr>
                <w:rFonts w:ascii="Arial" w:cs="Arial" w:eastAsia="Arial" w:hAnsi="Arial"/>
                <w:sz w:val="18"/>
                <w:szCs w:val="18"/>
                <w:color w:val="auto"/>
              </w:rPr>
              <w:t>Interest-bearing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4,603,657</w:t>
            </w:r>
          </w:p>
        </w:tc>
        <w:tc>
          <w:tcPr>
            <w:tcW w:w="3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4,603,409</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4,603,409</w:t>
            </w:r>
          </w:p>
        </w:tc>
        <w:tc>
          <w:tcPr>
            <w:tcW w:w="100" w:type="dxa"/>
            <w:vAlign w:val="bottom"/>
          </w:tcPr>
          <w:p>
            <w:pPr>
              <w:spacing w:after="0"/>
              <w:rPr>
                <w:sz w:val="21"/>
                <w:szCs w:val="21"/>
                <w:color w:val="auto"/>
              </w:rPr>
            </w:pPr>
          </w:p>
        </w:tc>
      </w:tr>
      <w:tr>
        <w:trPr>
          <w:trHeight w:val="263"/>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578,207</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499,786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499,786</w:t>
            </w:r>
          </w:p>
        </w:tc>
        <w:tc>
          <w:tcPr>
            <w:tcW w:w="100" w:type="dxa"/>
            <w:vAlign w:val="bottom"/>
            <w:shd w:val="clear" w:color="auto" w:fill="CFF0FC"/>
          </w:tcPr>
          <w:p>
            <w:pPr>
              <w:spacing w:after="0"/>
              <w:rPr>
                <w:sz w:val="22"/>
                <w:szCs w:val="22"/>
                <w:color w:val="auto"/>
              </w:rPr>
            </w:pPr>
          </w:p>
        </w:tc>
      </w:tr>
      <w:tr>
        <w:trPr>
          <w:trHeight w:val="250"/>
        </w:trPr>
        <w:tc>
          <w:tcPr>
            <w:tcW w:w="4300" w:type="dxa"/>
            <w:vAlign w:val="bottom"/>
          </w:tcPr>
          <w:p>
            <w:pPr>
              <w:ind w:left="280"/>
              <w:spacing w:after="0"/>
              <w:rPr>
                <w:sz w:val="20"/>
                <w:szCs w:val="20"/>
                <w:color w:val="auto"/>
              </w:rPr>
            </w:pPr>
            <w:r>
              <w:rPr>
                <w:rFonts w:ascii="Arial" w:cs="Arial" w:eastAsia="Arial" w:hAnsi="Arial"/>
                <w:sz w:val="18"/>
                <w:szCs w:val="18"/>
                <w:color w:val="auto"/>
              </w:rPr>
              <w:t>Junior subordinated debentures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Swaps</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100" w:type="dxa"/>
            <w:vAlign w:val="bottom"/>
            <w:shd w:val="clear" w:color="auto" w:fill="CFF0FC"/>
          </w:tcPr>
          <w:p>
            <w:pPr>
              <w:spacing w:after="0"/>
              <w:rPr>
                <w:sz w:val="22"/>
                <w:szCs w:val="22"/>
                <w:color w:val="auto"/>
              </w:rPr>
            </w:pPr>
          </w:p>
        </w:tc>
      </w:tr>
      <w:tr>
        <w:trPr>
          <w:trHeight w:val="466"/>
        </w:trPr>
        <w:tc>
          <w:tcPr>
            <w:tcW w:w="4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7"/>
              </w:rPr>
              <w:t>December 31, 2020</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4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Estimated Fair Value</w:t>
            </w: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8255</wp:posOffset>
            </wp:positionV>
            <wp:extent cx="433768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24" w:lineRule="exact"/>
        <w:rPr>
          <w:sz w:val="20"/>
          <w:szCs w:val="20"/>
          <w:color w:val="auto"/>
        </w:rPr>
      </w:pPr>
    </w:p>
    <w:p>
      <w:pPr>
        <w:ind w:left="6980"/>
        <w:spacing w:after="0"/>
        <w:rPr>
          <w:sz w:val="20"/>
          <w:szCs w:val="20"/>
          <w:color w:val="auto"/>
        </w:rPr>
      </w:pPr>
      <w:r>
        <w:rPr>
          <w:rFonts w:ascii="Arial" w:cs="Arial" w:eastAsia="Arial" w:hAnsi="Arial"/>
          <w:sz w:val="16"/>
          <w:szCs w:val="16"/>
          <w:i w:val="1"/>
          <w:iCs w:val="1"/>
          <w:color w:val="auto"/>
        </w:rPr>
        <w:t>(Dollars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r>
      <w:tr>
        <w:trPr>
          <w:trHeight w:val="250"/>
        </w:trPr>
        <w:tc>
          <w:tcPr>
            <w:tcW w:w="3700" w:type="dxa"/>
            <w:vAlign w:val="bottom"/>
          </w:tcPr>
          <w:p>
            <w:pPr>
              <w:ind w:left="280"/>
              <w:spacing w:after="0"/>
              <w:rPr>
                <w:sz w:val="20"/>
                <w:szCs w:val="20"/>
                <w:color w:val="auto"/>
              </w:rPr>
            </w:pPr>
            <w:r>
              <w:rPr>
                <w:rFonts w:ascii="Arial" w:cs="Arial" w:eastAsia="Arial" w:hAnsi="Arial"/>
                <w:sz w:val="18"/>
                <w:szCs w:val="18"/>
                <w:color w:val="auto"/>
              </w:rPr>
              <w:t>Total cash and cash equivalents</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1,958,160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1,958,160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1,958,160</w:t>
            </w:r>
          </w:p>
        </w:tc>
      </w:tr>
      <w:tr>
        <w:trPr>
          <w:trHeight w:val="249"/>
        </w:trPr>
        <w:tc>
          <w:tcPr>
            <w:tcW w:w="3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Interest-earning balances due from</w:t>
            </w: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44"/>
        </w:trPr>
        <w:tc>
          <w:tcPr>
            <w:tcW w:w="3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depository institutions</w:t>
            </w: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43,563</w:t>
            </w: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43,600</w:t>
            </w: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43,600</w:t>
            </w:r>
          </w:p>
        </w:tc>
      </w:tr>
      <w:tr>
        <w:trPr>
          <w:trHeight w:val="250"/>
        </w:trPr>
        <w:tc>
          <w:tcPr>
            <w:tcW w:w="3700" w:type="dxa"/>
            <w:vAlign w:val="bottom"/>
          </w:tcPr>
          <w:p>
            <w:pPr>
              <w:ind w:left="280"/>
              <w:spacing w:after="0"/>
              <w:rPr>
                <w:sz w:val="20"/>
                <w:szCs w:val="20"/>
                <w:color w:val="auto"/>
              </w:rPr>
            </w:pPr>
            <w:r>
              <w:rPr>
                <w:rFonts w:ascii="Arial" w:cs="Arial" w:eastAsia="Arial" w:hAnsi="Arial"/>
                <w:sz w:val="18"/>
                <w:szCs w:val="18"/>
                <w:color w:val="auto"/>
              </w:rPr>
              <w:t>Investment securities available-for-sale</w:t>
            </w:r>
          </w:p>
        </w:tc>
        <w:tc>
          <w:tcPr>
            <w:tcW w:w="8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2,398,923</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2,398,923</w:t>
            </w:r>
          </w:p>
        </w:tc>
        <w:tc>
          <w:tcPr>
            <w:tcW w:w="3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2,398,923</w:t>
            </w:r>
          </w:p>
        </w:tc>
      </w:tr>
      <w:tr>
        <w:trPr>
          <w:trHeight w:val="263"/>
        </w:trPr>
        <w:tc>
          <w:tcPr>
            <w:tcW w:w="3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Investment securities held-to-maturity</w:t>
            </w:r>
          </w:p>
        </w:tc>
        <w:tc>
          <w:tcPr>
            <w:tcW w:w="8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578,626</w:t>
            </w:r>
          </w:p>
        </w:tc>
        <w:tc>
          <w:tcPr>
            <w:tcW w:w="4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604,223</w:t>
            </w: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604,223</w:t>
            </w:r>
          </w:p>
        </w:tc>
      </w:tr>
      <w:tr>
        <w:trPr>
          <w:trHeight w:val="242"/>
        </w:trPr>
        <w:tc>
          <w:tcPr>
            <w:tcW w:w="3700" w:type="dxa"/>
            <w:vAlign w:val="bottom"/>
          </w:tcPr>
          <w:p>
            <w:pPr>
              <w:ind w:left="280"/>
              <w:spacing w:after="0"/>
              <w:rPr>
                <w:sz w:val="20"/>
                <w:szCs w:val="20"/>
                <w:color w:val="auto"/>
              </w:rPr>
            </w:pPr>
            <w:r>
              <w:rPr>
                <w:rFonts w:ascii="Arial" w:cs="Arial" w:eastAsia="Arial" w:hAnsi="Arial"/>
                <w:sz w:val="18"/>
                <w:szCs w:val="18"/>
                <w:color w:val="auto"/>
              </w:rPr>
              <w:t>Total loans, net of allowance for credit</w:t>
            </w: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7"/>
        </w:trPr>
        <w:tc>
          <w:tcPr>
            <w:tcW w:w="3700" w:type="dxa"/>
            <w:vAlign w:val="bottom"/>
          </w:tcPr>
          <w:p>
            <w:pPr>
              <w:ind w:left="400"/>
              <w:spacing w:after="0"/>
              <w:rPr>
                <w:sz w:val="20"/>
                <w:szCs w:val="20"/>
                <w:color w:val="auto"/>
              </w:rPr>
            </w:pPr>
            <w:r>
              <w:rPr>
                <w:rFonts w:ascii="Arial" w:cs="Arial" w:eastAsia="Arial" w:hAnsi="Arial"/>
                <w:sz w:val="18"/>
                <w:szCs w:val="18"/>
                <w:color w:val="auto"/>
              </w:rPr>
              <w:t>losses</w:t>
            </w:r>
          </w:p>
        </w:tc>
        <w:tc>
          <w:tcPr>
            <w:tcW w:w="86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8,255,116</w:t>
            </w:r>
          </w:p>
        </w:tc>
        <w:tc>
          <w:tcPr>
            <w:tcW w:w="4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8,256,178</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8,256,178</w:t>
            </w:r>
          </w:p>
        </w:tc>
      </w:tr>
      <w:tr>
        <w:trPr>
          <w:trHeight w:val="263"/>
        </w:trPr>
        <w:tc>
          <w:tcPr>
            <w:tcW w:w="3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Swaps</w:t>
            </w:r>
          </w:p>
        </w:tc>
        <w:tc>
          <w:tcPr>
            <w:tcW w:w="8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30,181</w:t>
            </w:r>
          </w:p>
        </w:tc>
        <w:tc>
          <w:tcPr>
            <w:tcW w:w="4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30,181</w:t>
            </w: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30,181</w:t>
            </w: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3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Deposits:</w:t>
            </w:r>
          </w:p>
        </w:tc>
        <w:tc>
          <w:tcPr>
            <w:tcW w:w="8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r>
      <w:tr>
        <w:trPr>
          <w:trHeight w:val="250"/>
        </w:trPr>
        <w:tc>
          <w:tcPr>
            <w:tcW w:w="3700" w:type="dxa"/>
            <w:vAlign w:val="bottom"/>
          </w:tcPr>
          <w:p>
            <w:pPr>
              <w:ind w:left="520"/>
              <w:spacing w:after="0"/>
              <w:rPr>
                <w:sz w:val="20"/>
                <w:szCs w:val="20"/>
                <w:color w:val="auto"/>
              </w:rPr>
            </w:pPr>
            <w:r>
              <w:rPr>
                <w:rFonts w:ascii="Arial" w:cs="Arial" w:eastAsia="Arial" w:hAnsi="Arial"/>
                <w:sz w:val="18"/>
                <w:szCs w:val="18"/>
                <w:color w:val="auto"/>
              </w:rPr>
              <w:t>Interest-bearing</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4,281,114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4,281,952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4,281,952</w:t>
            </w:r>
          </w:p>
        </w:tc>
      </w:tr>
      <w:tr>
        <w:trPr>
          <w:trHeight w:val="263"/>
        </w:trPr>
        <w:tc>
          <w:tcPr>
            <w:tcW w:w="3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Borrowings</w:t>
            </w:r>
          </w:p>
        </w:tc>
        <w:tc>
          <w:tcPr>
            <w:tcW w:w="8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444,406</w:t>
            </w:r>
          </w:p>
        </w:tc>
        <w:tc>
          <w:tcPr>
            <w:tcW w:w="4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444,349</w:t>
            </w: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444,349</w:t>
            </w:r>
          </w:p>
        </w:tc>
      </w:tr>
      <w:tr>
        <w:trPr>
          <w:trHeight w:val="250"/>
        </w:trPr>
        <w:tc>
          <w:tcPr>
            <w:tcW w:w="3700" w:type="dxa"/>
            <w:vAlign w:val="bottom"/>
          </w:tcPr>
          <w:p>
            <w:pPr>
              <w:ind w:left="280"/>
              <w:spacing w:after="0"/>
              <w:rPr>
                <w:sz w:val="20"/>
                <w:szCs w:val="20"/>
                <w:color w:val="auto"/>
              </w:rPr>
            </w:pPr>
            <w:r>
              <w:rPr>
                <w:rFonts w:ascii="Arial" w:cs="Arial" w:eastAsia="Arial" w:hAnsi="Arial"/>
                <w:sz w:val="18"/>
                <w:szCs w:val="18"/>
                <w:color w:val="auto"/>
              </w:rPr>
              <w:t>Junior subordinated debentures</w:t>
            </w:r>
          </w:p>
        </w:tc>
        <w:tc>
          <w:tcPr>
            <w:tcW w:w="8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25,774</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19,431</w:t>
            </w:r>
          </w:p>
        </w:tc>
        <w:tc>
          <w:tcPr>
            <w:tcW w:w="4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19,431</w:t>
            </w:r>
          </w:p>
        </w:tc>
      </w:tr>
      <w:tr>
        <w:trPr>
          <w:trHeight w:val="263"/>
        </w:trPr>
        <w:tc>
          <w:tcPr>
            <w:tcW w:w="3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Swaps</w:t>
            </w:r>
          </w:p>
        </w:tc>
        <w:tc>
          <w:tcPr>
            <w:tcW w:w="8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30,181</w:t>
            </w:r>
          </w:p>
        </w:tc>
        <w:tc>
          <w:tcPr>
            <w:tcW w:w="4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30,181</w:t>
            </w: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30,181</w:t>
            </w:r>
          </w:p>
        </w:tc>
      </w:tr>
    </w:tbl>
    <w:p>
      <w:pPr>
        <w:spacing w:after="0" w:line="202" w:lineRule="exact"/>
        <w:rPr>
          <w:sz w:val="20"/>
          <w:szCs w:val="20"/>
          <w:color w:val="auto"/>
        </w:rPr>
      </w:pPr>
    </w:p>
    <w:p>
      <w:pPr>
        <w:ind w:right="220" w:firstLine="405"/>
        <w:spacing w:after="0" w:line="275"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June 30, 2021 and December 31, 2020.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spacing w:after="0"/>
        <w:tabs>
          <w:tab w:leader="none" w:pos="300" w:val="left"/>
        </w:tabs>
        <w:rPr>
          <w:sz w:val="20"/>
          <w:szCs w:val="20"/>
          <w:color w:val="auto"/>
        </w:rPr>
      </w:pPr>
      <w:r>
        <w:rPr>
          <w:rFonts w:ascii="Arial" w:cs="Arial" w:eastAsia="Arial" w:hAnsi="Arial"/>
          <w:sz w:val="18"/>
          <w:szCs w:val="18"/>
          <w:b w:val="1"/>
          <w:bCs w:val="1"/>
          <w:color w:val="auto"/>
        </w:rPr>
        <w:t>8.</w:t>
        <w:tab/>
        <w:t>DERIVATIVE FINANCIAL INSTRUMENTS</w:t>
      </w:r>
    </w:p>
    <w:p>
      <w:pPr>
        <w:spacing w:after="0" w:line="256"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June 30, 2021, the Bank has entered into 146 interest-rate swap agreements with customers with a notional amount totaling $500.6 million. The Bank then entered into identical offsetting swaps with a counterparty.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20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92" w:lineRule="exact"/>
        <w:rPr>
          <w:sz w:val="20"/>
          <w:szCs w:val="20"/>
          <w:color w:val="auto"/>
        </w:rPr>
      </w:pPr>
    </w:p>
    <w:p>
      <w:pPr>
        <w:ind w:right="240" w:firstLine="405"/>
        <w:spacing w:after="0" w:line="279" w:lineRule="auto"/>
        <w:rPr>
          <w:sz w:val="20"/>
          <w:szCs w:val="20"/>
          <w:color w:val="auto"/>
        </w:rPr>
      </w:pPr>
      <w:r>
        <w:rPr>
          <w:rFonts w:ascii="Arial" w:cs="Arial" w:eastAsia="Arial" w:hAnsi="Arial"/>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Derivative Financial Instruments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2021 and December 31, 2020, the total notional amount of the Company’s swaps was $500.6 million, and $503.8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location of the asset and liability, and their respective fair values, are summarized in the tables below.</w:t>
      </w:r>
    </w:p>
    <w:p>
      <w:pPr>
        <w:sectPr>
          <w:pgSz w:w="11900" w:h="16838" w:orient="portrait"/>
          <w:cols w:equalWidth="0" w:num="1">
            <w:col w:w="11200"/>
          </w:cols>
          <w:pgMar w:left="320" w:top="40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86" w:lineRule="exact"/>
        <w:rPr>
          <w:sz w:val="20"/>
          <w:szCs w:val="20"/>
          <w:color w:val="auto"/>
        </w:rPr>
      </w:pPr>
    </w:p>
    <w:p>
      <w:pPr>
        <w:jc w:val="right"/>
        <w:ind w:right="2920"/>
        <w:spacing w:after="0"/>
        <w:rPr>
          <w:sz w:val="20"/>
          <w:szCs w:val="20"/>
          <w:color w:val="auto"/>
        </w:rPr>
      </w:pPr>
      <w:r>
        <w:rPr>
          <w:rFonts w:ascii="Arial" w:cs="Arial" w:eastAsia="Arial" w:hAnsi="Arial"/>
          <w:sz w:val="17"/>
          <w:szCs w:val="17"/>
          <w:color w:val="auto"/>
        </w:rPr>
        <w:t>Interest rate swaps</w:t>
      </w:r>
    </w:p>
    <w:p>
      <w:pPr>
        <w:spacing w:after="0" w:line="102" w:lineRule="exact"/>
        <w:rPr>
          <w:sz w:val="20"/>
          <w:szCs w:val="20"/>
          <w:color w:val="auto"/>
        </w:rPr>
      </w:pPr>
    </w:p>
    <w:p>
      <w:pPr>
        <w:jc w:val="right"/>
        <w:ind w:right="2920"/>
        <w:spacing w:after="0"/>
        <w:rPr>
          <w:sz w:val="20"/>
          <w:szCs w:val="20"/>
          <w:color w:val="auto"/>
        </w:rPr>
      </w:pPr>
      <w:r>
        <w:rPr>
          <w:rFonts w:ascii="Arial" w:cs="Arial" w:eastAsia="Arial" w:hAnsi="Arial"/>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86" w:lineRule="exact"/>
        <w:rPr>
          <w:sz w:val="20"/>
          <w:szCs w:val="20"/>
          <w:color w:val="auto"/>
        </w:rPr>
      </w:pPr>
    </w:p>
    <w:p>
      <w:pPr>
        <w:jc w:val="right"/>
        <w:ind w:right="2920"/>
        <w:spacing w:after="0"/>
        <w:rPr>
          <w:sz w:val="20"/>
          <w:szCs w:val="20"/>
          <w:color w:val="auto"/>
        </w:rPr>
      </w:pPr>
      <w:r>
        <w:rPr>
          <w:rFonts w:ascii="Arial" w:cs="Arial" w:eastAsia="Arial" w:hAnsi="Arial"/>
          <w:sz w:val="17"/>
          <w:szCs w:val="17"/>
          <w:color w:val="auto"/>
        </w:rPr>
        <w:t>Interest rate swaps</w:t>
      </w:r>
    </w:p>
    <w:p>
      <w:pPr>
        <w:spacing w:after="0" w:line="102" w:lineRule="exact"/>
        <w:rPr>
          <w:sz w:val="20"/>
          <w:szCs w:val="20"/>
          <w:color w:val="auto"/>
        </w:rPr>
      </w:pPr>
    </w:p>
    <w:p>
      <w:pPr>
        <w:jc w:val="right"/>
        <w:ind w:right="2920"/>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81444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Asset Derivatives</w:t>
            </w: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Liability Derivatives</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00" w:type="dxa"/>
            <w:vAlign w:val="bottom"/>
          </w:tcPr>
          <w:p>
            <w:pPr>
              <w:spacing w:after="0"/>
              <w:rPr>
                <w:sz w:val="20"/>
                <w:szCs w:val="20"/>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9"/>
              </w:rPr>
              <w:t>Fair Value</w:t>
            </w:r>
          </w:p>
        </w:tc>
        <w:tc>
          <w:tcPr>
            <w:tcW w:w="3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8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center"/>
              <w:ind w:right="1010"/>
              <w:spacing w:after="0"/>
              <w:rPr>
                <w:sz w:val="20"/>
                <w:szCs w:val="20"/>
                <w:color w:val="auto"/>
              </w:rPr>
            </w:pPr>
            <w:r>
              <w:rPr>
                <w:rFonts w:ascii="Arial" w:cs="Arial" w:eastAsia="Arial" w:hAnsi="Arial"/>
                <w:sz w:val="16"/>
                <w:szCs w:val="16"/>
                <w:i w:val="1"/>
                <w:iCs w:val="1"/>
                <w:color w:val="auto"/>
                <w:w w:val="93"/>
              </w:rPr>
              <w:t>(Dollars in thousands)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Other assets</w:t>
            </w:r>
          </w:p>
        </w:tc>
        <w:tc>
          <w:tcPr>
            <w:tcW w:w="2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18,424</w:t>
            </w:r>
          </w:p>
        </w:tc>
        <w:tc>
          <w:tcPr>
            <w:tcW w:w="3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18,424</w:t>
            </w: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970"/>
              <w:spacing w:after="0"/>
              <w:rPr>
                <w:sz w:val="20"/>
                <w:szCs w:val="20"/>
                <w:color w:val="auto"/>
              </w:rPr>
            </w:pPr>
            <w:r>
              <w:rPr>
                <w:rFonts w:ascii="Arial" w:cs="Arial" w:eastAsia="Arial" w:hAnsi="Arial"/>
                <w:sz w:val="18"/>
                <w:szCs w:val="18"/>
                <w:b w:val="1"/>
                <w:bCs w:val="1"/>
                <w:color w:val="auto"/>
                <w:w w:val="90"/>
              </w:rPr>
              <w:t>December 31, 2020</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Asset Derivatives</w:t>
            </w:r>
          </w:p>
        </w:tc>
        <w:tc>
          <w:tcPr>
            <w:tcW w:w="6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Liability Derivatives</w:t>
            </w: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8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center"/>
              <w:ind w:right="970"/>
              <w:spacing w:after="0"/>
              <w:rPr>
                <w:sz w:val="20"/>
                <w:szCs w:val="20"/>
                <w:color w:val="auto"/>
              </w:rPr>
            </w:pPr>
            <w:r>
              <w:rPr>
                <w:rFonts w:ascii="Arial" w:cs="Arial" w:eastAsia="Arial" w:hAnsi="Arial"/>
                <w:sz w:val="16"/>
                <w:szCs w:val="16"/>
                <w:i w:val="1"/>
                <w:iCs w:val="1"/>
                <w:color w:val="auto"/>
                <w:w w:val="93"/>
              </w:rPr>
              <w:t>(Dollars in thousands)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Other assets</w:t>
            </w:r>
          </w:p>
        </w:tc>
        <w:tc>
          <w:tcPr>
            <w:tcW w:w="2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30,181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30,181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30,181</w:t>
            </w: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jc w:val="right"/>
              <w:ind w:right="105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-2296795</wp:posOffset>
            </wp:positionV>
            <wp:extent cx="7132320" cy="1625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-1962150</wp:posOffset>
            </wp:positionV>
            <wp:extent cx="7132320" cy="1885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-813435</wp:posOffset>
            </wp:positionV>
            <wp:extent cx="7132320" cy="1625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-479425</wp:posOffset>
            </wp:positionV>
            <wp:extent cx="7132320" cy="1885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201930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00" w:space="720"/>
            <w:col w:w="6080"/>
          </w:cols>
          <w:pgMar w:left="320" w:top="405" w:right="3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The Effect of Derivative Financial Instruments on the Condensed Consolidated Statements of Earnings</w:t>
      </w:r>
    </w:p>
    <w:p>
      <w:pPr>
        <w:spacing w:after="0" w:line="252" w:lineRule="exact"/>
        <w:rPr>
          <w:sz w:val="20"/>
          <w:szCs w:val="20"/>
          <w:color w:val="auto"/>
        </w:rPr>
      </w:pPr>
    </w:p>
    <w:p>
      <w:pPr>
        <w:ind w:right="280" w:firstLine="405"/>
        <w:spacing w:after="0" w:line="293" w:lineRule="auto"/>
        <w:rPr>
          <w:sz w:val="20"/>
          <w:szCs w:val="20"/>
          <w:color w:val="auto"/>
        </w:rPr>
      </w:pPr>
      <w:r>
        <w:rPr>
          <w:rFonts w:ascii="Arial" w:cs="Arial" w:eastAsia="Arial" w:hAnsi="Arial"/>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240"/>
          </w:cols>
          <w:pgMar w:left="320" w:top="409" w:right="339" w:bottom="1440" w:gutter="0" w:footer="0" w:header="0"/>
        </w:sectPr>
      </w:pPr>
    </w:p>
    <w:p>
      <w:pPr>
        <w:spacing w:after="0" w:line="188" w:lineRule="exact"/>
        <w:rPr>
          <w:sz w:val="20"/>
          <w:szCs w:val="20"/>
          <w:color w:val="auto"/>
        </w:rPr>
      </w:pPr>
    </w:p>
    <w:p>
      <w:pPr>
        <w:ind w:left="600"/>
        <w:spacing w:after="0"/>
        <w:tabs>
          <w:tab w:leader="none" w:pos="3640" w:val="left"/>
        </w:tabs>
        <w:rPr>
          <w:sz w:val="20"/>
          <w:szCs w:val="20"/>
          <w:color w:val="auto"/>
        </w:rPr>
      </w:pPr>
      <w:r>
        <w:rPr>
          <w:rFonts w:ascii="Arial" w:cs="Arial" w:eastAsia="Arial" w:hAnsi="Arial"/>
          <w:sz w:val="14"/>
          <w:szCs w:val="14"/>
          <w:b w:val="1"/>
          <w:bCs w:val="1"/>
          <w:color w:val="auto"/>
        </w:rPr>
        <w:t>Derivatives Not Designated</w:t>
      </w:r>
      <w:r>
        <w:rPr>
          <w:sz w:val="20"/>
          <w:szCs w:val="20"/>
          <w:color w:val="auto"/>
        </w:rPr>
        <w:tab/>
      </w:r>
      <w:r>
        <w:rPr>
          <w:rFonts w:ascii="Arial" w:cs="Arial" w:eastAsia="Arial" w:hAnsi="Arial"/>
          <w:sz w:val="12"/>
          <w:szCs w:val="12"/>
          <w:b w:val="1"/>
          <w:bCs w:val="1"/>
          <w:color w:val="auto"/>
        </w:rPr>
        <w:t>Location of Gain Recognized in</w:t>
      </w:r>
    </w:p>
    <w:p>
      <w:pPr>
        <w:spacing w:after="0" w:line="25" w:lineRule="exact"/>
        <w:rPr>
          <w:sz w:val="20"/>
          <w:szCs w:val="20"/>
          <w:color w:val="auto"/>
        </w:rPr>
      </w:pPr>
    </w:p>
    <w:p>
      <w:pPr>
        <w:ind w:left="700"/>
        <w:spacing w:after="0"/>
        <w:tabs>
          <w:tab w:leader="none" w:pos="3580" w:val="left"/>
        </w:tabs>
        <w:rPr>
          <w:sz w:val="20"/>
          <w:szCs w:val="20"/>
          <w:color w:val="auto"/>
        </w:rPr>
      </w:pPr>
      <w:r>
        <w:rPr>
          <w:rFonts w:ascii="Arial" w:cs="Arial" w:eastAsia="Arial" w:hAnsi="Arial"/>
          <w:sz w:val="14"/>
          <w:szCs w:val="14"/>
          <w:b w:val="1"/>
          <w:bCs w:val="1"/>
          <w:color w:val="auto"/>
        </w:rPr>
        <w:t>as Hedging Instruments</w:t>
      </w:r>
      <w:r>
        <w:rPr>
          <w:sz w:val="20"/>
          <w:szCs w:val="20"/>
          <w:color w:val="auto"/>
        </w:rPr>
        <w:tab/>
      </w:r>
      <w:r>
        <w:rPr>
          <w:rFonts w:ascii="Arial" w:cs="Arial" w:eastAsia="Arial" w:hAnsi="Arial"/>
          <w:sz w:val="13"/>
          <w:szCs w:val="13"/>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6875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Amount of Gain Recognized in</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24130</wp:posOffset>
            </wp:positionV>
            <wp:extent cx="297434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7020" w:space="720"/>
            <w:col w:w="3500"/>
          </w:cols>
          <w:pgMar w:left="320" w:top="409"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4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92"/>
        </w:trPr>
        <w:tc>
          <w:tcPr>
            <w:tcW w:w="26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2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4"/>
          </w:tcPr>
          <w:p>
            <w:pPr>
              <w:jc w:val="right"/>
              <w:ind w:right="388"/>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rate swaps</w:t>
            </w:r>
          </w:p>
        </w:tc>
        <w:tc>
          <w:tcPr>
            <w:tcW w:w="3760" w:type="dxa"/>
            <w:vAlign w:val="bottom"/>
            <w:tcBorders>
              <w:bottom w:val="single" w:sz="8" w:color="CFF0FC"/>
            </w:tcBorders>
            <w:shd w:val="clear" w:color="auto" w:fill="CFF0FC"/>
          </w:tcPr>
          <w:p>
            <w:pPr>
              <w:ind w:left="1580"/>
              <w:spacing w:after="0"/>
              <w:rPr>
                <w:sz w:val="20"/>
                <w:szCs w:val="20"/>
                <w:color w:val="auto"/>
              </w:rPr>
            </w:pPr>
            <w:r>
              <w:rPr>
                <w:rFonts w:ascii="Arial" w:cs="Arial" w:eastAsia="Arial" w:hAnsi="Arial"/>
                <w:sz w:val="14"/>
                <w:szCs w:val="14"/>
                <w:color w:val="auto"/>
              </w:rPr>
              <w:t>Other income</w:t>
            </w:r>
          </w:p>
        </w:tc>
        <w:tc>
          <w:tcPr>
            <w:tcW w:w="76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2680" w:type="dxa"/>
            <w:vAlign w:val="bottom"/>
          </w:tcPr>
          <w:p>
            <w:pPr>
              <w:ind w:left="120"/>
              <w:spacing w:after="0"/>
              <w:rPr>
                <w:sz w:val="20"/>
                <w:szCs w:val="20"/>
                <w:color w:val="auto"/>
              </w:rPr>
            </w:pPr>
            <w:r>
              <w:rPr>
                <w:rFonts w:ascii="Arial" w:cs="Arial" w:eastAsia="Arial" w:hAnsi="Arial"/>
                <w:sz w:val="14"/>
                <w:szCs w:val="14"/>
                <w:color w:val="auto"/>
              </w:rPr>
              <w:t>Total</w:t>
            </w:r>
          </w:p>
        </w:tc>
        <w:tc>
          <w:tcPr>
            <w:tcW w:w="376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2,185</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215</w:t>
            </w:r>
          </w:p>
        </w:tc>
        <w:tc>
          <w:tcPr>
            <w:tcW w:w="5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17"/>
                <w:szCs w:val="17"/>
                <w:color w:val="auto"/>
              </w:rPr>
            </w:pPr>
          </w:p>
        </w:tc>
      </w:tr>
      <w:tr>
        <w:trPr>
          <w:trHeight w:val="20"/>
        </w:trPr>
        <w:tc>
          <w:tcPr>
            <w:tcW w:w="2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-159385</wp:posOffset>
            </wp:positionV>
            <wp:extent cx="19748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18034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wp:posOffset>
            </wp:positionV>
            <wp:extent cx="179705"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OTHER COMPREHENSIVE INCOME</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provides a summary of the components of other comprehensive income (“OCI”) for the periods presented.</w:t>
      </w:r>
    </w:p>
    <w:p>
      <w:pPr>
        <w:spacing w:after="0" w:line="257"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23495</wp:posOffset>
            </wp:positionV>
            <wp:extent cx="396049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Before-tax</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Tax effect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After-tax</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9"/>
              </w:rPr>
              <w:t>Before-tax</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Tax effect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280"/>
              <w:spacing w:after="0"/>
              <w:rPr>
                <w:sz w:val="20"/>
                <w:szCs w:val="20"/>
                <w:color w:val="auto"/>
              </w:rPr>
            </w:pPr>
            <w:r>
              <w:rPr>
                <w:rFonts w:ascii="Arial" w:cs="Arial" w:eastAsia="Arial" w:hAnsi="Arial"/>
                <w:sz w:val="14"/>
                <w:szCs w:val="14"/>
                <w:color w:val="auto"/>
              </w:rPr>
              <w:t>Net change in fair value recorded in accumulated OCI</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8,917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(2,636 )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6,281</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(1,263 )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(890 )</w:t>
            </w:r>
          </w:p>
        </w:tc>
        <w:tc>
          <w:tcPr>
            <w:tcW w:w="0" w:type="dxa"/>
            <w:vAlign w:val="bottom"/>
          </w:tcPr>
          <w:p>
            <w:pPr>
              <w:spacing w:after="0"/>
              <w:rPr>
                <w:sz w:val="1"/>
                <w:szCs w:val="1"/>
                <w:color w:val="auto"/>
              </w:rPr>
            </w:pPr>
          </w:p>
        </w:tc>
      </w:tr>
      <w:tr>
        <w:trPr>
          <w:trHeight w:val="190"/>
        </w:trPr>
        <w:tc>
          <w:tcPr>
            <w:tcW w:w="49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Amortization of net unrealized losses on securities</w:t>
            </w:r>
          </w:p>
        </w:tc>
        <w:tc>
          <w:tcPr>
            <w:tcW w:w="80" w:type="dxa"/>
            <w:vAlign w:val="bottom"/>
            <w:shd w:val="clear" w:color="auto" w:fill="CFF0FC"/>
          </w:tcPr>
          <w:p>
            <w:pPr>
              <w:spacing w:after="0"/>
              <w:rPr>
                <w:sz w:val="16"/>
                <w:szCs w:val="16"/>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1"/>
        </w:trPr>
        <w:tc>
          <w:tcPr>
            <w:tcW w:w="4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transferred from available-for-sale to held-to-maturity</w:t>
            </w:r>
          </w:p>
        </w:tc>
        <w:tc>
          <w:tcPr>
            <w:tcW w:w="8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Pr>
          <w:p>
            <w:pPr>
              <w:ind w:left="780"/>
              <w:spacing w:after="0"/>
              <w:rPr>
                <w:sz w:val="20"/>
                <w:szCs w:val="20"/>
                <w:color w:val="auto"/>
              </w:rPr>
            </w:pPr>
            <w:r>
              <w:rPr>
                <w:rFonts w:ascii="Arial" w:cs="Arial" w:eastAsia="Arial" w:hAnsi="Arial"/>
                <w:sz w:val="14"/>
                <w:szCs w:val="14"/>
                <w:color w:val="auto"/>
              </w:rPr>
              <w:t>Net change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8,937</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(2,642 )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6,295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(1,280 )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378</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(902 )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-159385</wp:posOffset>
            </wp:positionV>
            <wp:extent cx="15430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-159385</wp:posOffset>
            </wp:positionV>
            <wp:extent cx="154305"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18859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-159385</wp:posOffset>
            </wp:positionV>
            <wp:extent cx="13716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-159385</wp:posOffset>
            </wp:positionV>
            <wp:extent cx="13716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14"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23495</wp:posOffset>
            </wp:positionV>
            <wp:extent cx="396049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Before-tax</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Tax effect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After-tax</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9"/>
              </w:rPr>
              <w:t>Before-tax</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Tax effect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7"/>
              </w:rPr>
              <w:t>After-tax</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280"/>
              <w:spacing w:after="0"/>
              <w:rPr>
                <w:sz w:val="20"/>
                <w:szCs w:val="20"/>
                <w:color w:val="auto"/>
              </w:rPr>
            </w:pPr>
            <w:r>
              <w:rPr>
                <w:rFonts w:ascii="Arial" w:cs="Arial" w:eastAsia="Arial" w:hAnsi="Arial"/>
                <w:sz w:val="14"/>
                <w:szCs w:val="14"/>
                <w:color w:val="auto"/>
              </w:rPr>
              <w:t>Net change in fair value recorded in accumulated OCI</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(31,474 )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9,305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(22,169 )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35,356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(10,453 )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24,903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Amortization of net unrealized losses on securities</w:t>
            </w:r>
          </w:p>
        </w:tc>
        <w:tc>
          <w:tcPr>
            <w:tcW w:w="80" w:type="dxa"/>
            <w:vAlign w:val="bottom"/>
            <w:shd w:val="clear" w:color="auto" w:fill="CFF0FC"/>
          </w:tcPr>
          <w:p>
            <w:pPr>
              <w:spacing w:after="0"/>
              <w:rPr>
                <w:sz w:val="16"/>
                <w:szCs w:val="16"/>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1"/>
        </w:trPr>
        <w:tc>
          <w:tcPr>
            <w:tcW w:w="4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transferred from available-for-sale to held-to-maturity</w:t>
            </w:r>
          </w:p>
        </w:tc>
        <w:tc>
          <w:tcPr>
            <w:tcW w:w="8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Pr>
          <w:p>
            <w:pPr>
              <w:ind w:left="780"/>
              <w:spacing w:after="0"/>
              <w:rPr>
                <w:sz w:val="20"/>
                <w:szCs w:val="20"/>
                <w:color w:val="auto"/>
              </w:rPr>
            </w:pPr>
            <w:r>
              <w:rPr>
                <w:rFonts w:ascii="Arial" w:cs="Arial" w:eastAsia="Arial" w:hAnsi="Arial"/>
                <w:sz w:val="14"/>
                <w:szCs w:val="14"/>
                <w:color w:val="auto"/>
              </w:rPr>
              <w:t>Net change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(31,373 )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9,275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(22,098 )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35,338</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(10,448 )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-159385</wp:posOffset>
            </wp:positionV>
            <wp:extent cx="15430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-159385</wp:posOffset>
            </wp:positionV>
            <wp:extent cx="15430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18859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-159385</wp:posOffset>
            </wp:positionV>
            <wp:extent cx="13716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-159385</wp:posOffset>
            </wp:positionV>
            <wp:extent cx="13716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10.  BALANCE SHEET OFFSETTING</w:t>
      </w:r>
    </w:p>
    <w:p>
      <w:pPr>
        <w:spacing w:after="0" w:line="256" w:lineRule="exact"/>
        <w:rPr>
          <w:sz w:val="20"/>
          <w:szCs w:val="20"/>
          <w:color w:val="auto"/>
        </w:rPr>
      </w:pPr>
    </w:p>
    <w:p>
      <w:pPr>
        <w:ind w:right="60" w:firstLine="324"/>
        <w:spacing w:after="0" w:line="287" w:lineRule="auto"/>
        <w:rPr>
          <w:sz w:val="20"/>
          <w:szCs w:val="20"/>
          <w:color w:val="auto"/>
        </w:rPr>
      </w:pPr>
      <w:r>
        <w:rPr>
          <w:rFonts w:ascii="Arial" w:cs="Arial" w:eastAsia="Arial" w:hAnsi="Arial"/>
          <w:sz w:val="17"/>
          <w:szCs w:val="17"/>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Net Amounts</w:t>
            </w:r>
          </w:p>
        </w:tc>
        <w:tc>
          <w:tcPr>
            <w:tcW w:w="100" w:type="dxa"/>
            <w:vAlign w:val="bottom"/>
          </w:tcPr>
          <w:p>
            <w:pPr>
              <w:spacing w:after="0"/>
              <w:rPr>
                <w:sz w:val="15"/>
                <w:szCs w:val="15"/>
                <w:color w:val="auto"/>
              </w:rPr>
            </w:pPr>
          </w:p>
        </w:tc>
        <w:tc>
          <w:tcPr>
            <w:tcW w:w="27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Gross Amounts Not Offset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Recognized in the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Presented in the</w:t>
            </w:r>
          </w:p>
        </w:tc>
        <w:tc>
          <w:tcPr>
            <w:tcW w:w="100" w:type="dxa"/>
            <w:vAlign w:val="bottom"/>
          </w:tcPr>
          <w:p>
            <w:pPr>
              <w:spacing w:after="0"/>
              <w:rPr>
                <w:sz w:val="15"/>
                <w:szCs w:val="15"/>
                <w:color w:val="auto"/>
              </w:rPr>
            </w:pPr>
          </w:p>
        </w:tc>
        <w:tc>
          <w:tcPr>
            <w:tcW w:w="2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in the Condensed Consolidated Balance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Condensed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Condensed</w:t>
            </w:r>
          </w:p>
        </w:tc>
        <w:tc>
          <w:tcPr>
            <w:tcW w:w="1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Condensed</w:t>
            </w: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Sheets</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Financial</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6"/>
              </w:rPr>
              <w:t>Balance Sheets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Collateral Pledged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4"/>
          </w:tcPr>
          <w:p>
            <w:pPr>
              <w:jc w:val="right"/>
              <w:ind w:right="648"/>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18,424</w:t>
            </w:r>
          </w:p>
        </w:tc>
        <w:tc>
          <w:tcPr>
            <w:tcW w:w="26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18,424</w:t>
            </w:r>
          </w:p>
        </w:tc>
        <w:tc>
          <w:tcPr>
            <w:tcW w:w="240" w:type="dxa"/>
            <w:vAlign w:val="bottom"/>
            <w:vMerge w:val="restart"/>
            <w:shd w:val="clear" w:color="auto" w:fill="CFF0FC"/>
          </w:tcPr>
          <w:p>
            <w:pPr>
              <w:spacing w:after="0"/>
              <w:rPr>
                <w:sz w:val="16"/>
                <w:szCs w:val="16"/>
                <w:color w:val="auto"/>
              </w:rPr>
            </w:pPr>
          </w:p>
        </w:tc>
        <w:tc>
          <w:tcPr>
            <w:tcW w:w="380" w:type="dxa"/>
            <w:vAlign w:val="bottom"/>
            <w:vMerge w:val="restart"/>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18,424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vMerge w:val="continue"/>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18,424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18,424</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18,424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60" w:type="dxa"/>
            <w:vAlign w:val="bottom"/>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24,864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(6,440 )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18,424</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6,440</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(41,264 )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(16,400 )</w:t>
            </w: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578,207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578,207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(605,569 )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(27,362 )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603,071</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(6,440 )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596,631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6,440</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(646,833 )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(43,762 )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26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240" w:type="dxa"/>
            <w:vAlign w:val="bottom"/>
            <w:vMerge w:val="restart"/>
            <w:shd w:val="clear" w:color="auto" w:fill="CFF0FC"/>
          </w:tcPr>
          <w:p>
            <w:pPr>
              <w:spacing w:after="0"/>
              <w:rPr>
                <w:sz w:val="16"/>
                <w:szCs w:val="16"/>
                <w:color w:val="auto"/>
              </w:rPr>
            </w:pPr>
          </w:p>
        </w:tc>
        <w:tc>
          <w:tcPr>
            <w:tcW w:w="380" w:type="dxa"/>
            <w:vAlign w:val="bottom"/>
            <w:vMerge w:val="restart"/>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vMerge w:val="continue"/>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30,181</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30,181</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60" w:type="dxa"/>
            <w:vAlign w:val="bottom"/>
          </w:tcPr>
          <w:p>
            <w:pPr>
              <w:ind w:left="200"/>
              <w:spacing w:after="0"/>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30,434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(253 )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30,181</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253</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(63,730 )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(33,296 )</w:t>
            </w: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439,406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439,406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(483,603 )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(44,197 )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469,840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(253 )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469,587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253</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(547,333 )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(77,493 )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-2645410</wp:posOffset>
            </wp:positionV>
            <wp:extent cx="163195"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-2645410</wp:posOffset>
            </wp:positionV>
            <wp:extent cx="16319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-2645410</wp:posOffset>
            </wp:positionV>
            <wp:extent cx="146050"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-2645410</wp:posOffset>
            </wp:positionV>
            <wp:extent cx="14605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-2645410</wp:posOffset>
            </wp:positionV>
            <wp:extent cx="14605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-1856740</wp:posOffset>
            </wp:positionV>
            <wp:extent cx="163195"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-1856740</wp:posOffset>
            </wp:positionV>
            <wp:extent cx="163195"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-1856740</wp:posOffset>
            </wp:positionV>
            <wp:extent cx="14605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-1856740</wp:posOffset>
            </wp:positionV>
            <wp:extent cx="14605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-1856740</wp:posOffset>
            </wp:positionV>
            <wp:extent cx="146050"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-1856740</wp:posOffset>
            </wp:positionV>
            <wp:extent cx="6858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-948055</wp:posOffset>
            </wp:positionV>
            <wp:extent cx="163195"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-948055</wp:posOffset>
            </wp:positionV>
            <wp:extent cx="163195"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-948055</wp:posOffset>
            </wp:positionV>
            <wp:extent cx="14605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-948055</wp:posOffset>
            </wp:positionV>
            <wp:extent cx="14605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-948055</wp:posOffset>
            </wp:positionV>
            <wp:extent cx="14605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-948055</wp:posOffset>
            </wp:positionV>
            <wp:extent cx="6858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-159385</wp:posOffset>
            </wp:positionV>
            <wp:extent cx="163195"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-159385</wp:posOffset>
            </wp:positionV>
            <wp:extent cx="16319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-159385</wp:posOffset>
            </wp:positionV>
            <wp:extent cx="14605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-159385</wp:posOffset>
            </wp:positionV>
            <wp:extent cx="14605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-159385</wp:posOffset>
            </wp:positionV>
            <wp:extent cx="14605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11.  LEASES</w:t>
      </w:r>
    </w:p>
    <w:p>
      <w:pPr>
        <w:spacing w:after="0" w:line="256" w:lineRule="exact"/>
        <w:rPr>
          <w:sz w:val="20"/>
          <w:szCs w:val="20"/>
          <w:color w:val="auto"/>
        </w:rPr>
      </w:pPr>
    </w:p>
    <w:p>
      <w:pPr>
        <w:ind w:right="100" w:firstLine="324"/>
        <w:spacing w:after="0" w:line="329" w:lineRule="auto"/>
        <w:rPr>
          <w:sz w:val="20"/>
          <w:szCs w:val="20"/>
          <w:color w:val="auto"/>
        </w:rPr>
      </w:pPr>
      <w:r>
        <w:rPr>
          <w:rFonts w:ascii="Arial" w:cs="Arial" w:eastAsia="Arial" w:hAnsi="Arial"/>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the Company has, as a lessor, certain equipment finance leases, such leases are not material to the Company’s consolidated financial statements.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tables below present the components of lease costs and supplemental information related to leases as of and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32"/>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9"/>
                <w:szCs w:val="19"/>
                <w:color w:val="auto"/>
              </w:rPr>
            </w:pPr>
          </w:p>
        </w:tc>
      </w:tr>
      <w:tr>
        <w:trPr>
          <w:trHeight w:val="241"/>
        </w:trPr>
        <w:tc>
          <w:tcPr>
            <w:tcW w:w="7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7"/>
        </w:trPr>
        <w:tc>
          <w:tcPr>
            <w:tcW w:w="7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gridSpan w:val="4"/>
          </w:tcPr>
          <w:p>
            <w:pPr>
              <w:jc w:val="right"/>
              <w:ind w:right="79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21"/>
                <w:szCs w:val="21"/>
                <w:color w:val="auto"/>
              </w:rPr>
            </w:pPr>
          </w:p>
        </w:tc>
      </w:tr>
      <w:tr>
        <w:trPr>
          <w:trHeight w:val="26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Assets and Liabilities</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7900" w:type="dxa"/>
            <w:vAlign w:val="bottom"/>
          </w:tcPr>
          <w:p>
            <w:pPr>
              <w:ind w:left="140"/>
              <w:spacing w:after="0"/>
              <w:rPr>
                <w:sz w:val="20"/>
                <w:szCs w:val="20"/>
                <w:color w:val="auto"/>
              </w:rPr>
            </w:pPr>
            <w:r>
              <w:rPr>
                <w:rFonts w:ascii="Arial" w:cs="Arial" w:eastAsia="Arial" w:hAnsi="Arial"/>
                <w:sz w:val="18"/>
                <w:szCs w:val="18"/>
                <w:color w:val="auto"/>
              </w:rPr>
              <w:t>ROU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20,304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19,112</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lease liabilities</w:t>
            </w: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21,164</w:t>
            </w:r>
          </w:p>
        </w:tc>
        <w:tc>
          <w:tcPr>
            <w:tcW w:w="100" w:type="dxa"/>
            <w:vAlign w:val="bottom"/>
            <w:shd w:val="clear" w:color="auto" w:fill="CFF0FC"/>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3300" w:type="dxa"/>
            <w:vAlign w:val="bottom"/>
            <w:gridSpan w:val="5"/>
          </w:tcPr>
          <w:p>
            <w:pPr>
              <w:jc w:val="right"/>
              <w:ind w:right="752"/>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9"/>
                <w:szCs w:val="19"/>
                <w:color w:val="auto"/>
              </w:rPr>
            </w:pPr>
          </w:p>
        </w:tc>
      </w:tr>
      <w:tr>
        <w:trPr>
          <w:trHeight w:val="241"/>
        </w:trPr>
        <w:tc>
          <w:tcPr>
            <w:tcW w:w="4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2021</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7"/>
        </w:trPr>
        <w:tc>
          <w:tcPr>
            <w:tcW w:w="4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10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4320" w:type="dxa"/>
            <w:vAlign w:val="bottom"/>
          </w:tcPr>
          <w:p>
            <w:pPr>
              <w:ind w:left="140"/>
              <w:spacing w:after="0"/>
              <w:rPr>
                <w:sz w:val="20"/>
                <w:szCs w:val="20"/>
                <w:color w:val="auto"/>
              </w:rPr>
            </w:pPr>
            <w:r>
              <w:rPr>
                <w:rFonts w:ascii="Arial" w:cs="Arial" w:eastAsia="Arial" w:hAnsi="Arial"/>
                <w:sz w:val="18"/>
                <w:szCs w:val="18"/>
                <w:color w:val="auto"/>
              </w:rPr>
              <w:t>Operating lease expense (1)</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1,681</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1,623</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3,343</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r>
      <w:tr>
        <w:trPr>
          <w:trHeight w:val="263"/>
        </w:trPr>
        <w:tc>
          <w:tcPr>
            <w:tcW w:w="4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Sublease income</w:t>
            </w:r>
          </w:p>
        </w:tc>
        <w:tc>
          <w:tcPr>
            <w:tcW w:w="100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320" w:type="dxa"/>
            <w:vAlign w:val="bottom"/>
          </w:tcPr>
          <w:p>
            <w:pPr>
              <w:ind w:left="400"/>
              <w:spacing w:after="0"/>
              <w:rPr>
                <w:sz w:val="20"/>
                <w:szCs w:val="20"/>
                <w:color w:val="auto"/>
              </w:rPr>
            </w:pPr>
            <w:r>
              <w:rPr>
                <w:rFonts w:ascii="Arial" w:cs="Arial" w:eastAsia="Arial" w:hAnsi="Arial"/>
                <w:sz w:val="18"/>
                <w:szCs w:val="18"/>
                <w:color w:val="auto"/>
              </w:rPr>
              <w:t>Total lease expense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1,681</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1,623</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3,343</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-193675</wp:posOffset>
            </wp:positionV>
            <wp:extent cx="19685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-193675</wp:posOffset>
            </wp:positionV>
            <wp:extent cx="18034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wp:posOffset>
            </wp:positionV>
            <wp:extent cx="17970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short-term leases and variable lease costs, which are immaterial.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42"/>
        </w:trPr>
        <w:tc>
          <w:tcPr>
            <w:tcW w:w="3800" w:type="dxa"/>
            <w:vAlign w:val="bottom"/>
          </w:tcPr>
          <w:p>
            <w:pPr>
              <w:ind w:left="140"/>
              <w:spacing w:after="0"/>
              <w:rPr>
                <w:sz w:val="20"/>
                <w:szCs w:val="20"/>
                <w:color w:val="auto"/>
              </w:rPr>
            </w:pPr>
            <w:r>
              <w:rPr>
                <w:rFonts w:ascii="Arial" w:cs="Arial" w:eastAsia="Arial" w:hAnsi="Arial"/>
                <w:sz w:val="18"/>
                <w:szCs w:val="18"/>
                <w:color w:val="auto"/>
              </w:rPr>
              <w:t>Cash paid for amounts included in the</w:t>
            </w: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3800" w:type="dxa"/>
            <w:vAlign w:val="bottom"/>
          </w:tcPr>
          <w:p>
            <w:pPr>
              <w:ind w:left="280"/>
              <w:spacing w:after="0"/>
              <w:rPr>
                <w:sz w:val="20"/>
                <w:szCs w:val="20"/>
                <w:color w:val="auto"/>
              </w:rPr>
            </w:pPr>
            <w:r>
              <w:rPr>
                <w:rFonts w:ascii="Arial" w:cs="Arial" w:eastAsia="Arial" w:hAnsi="Arial"/>
                <w:sz w:val="18"/>
                <w:szCs w:val="18"/>
                <w:color w:val="auto"/>
              </w:rPr>
              <w:t>measurement of lease liabilities:</w:t>
            </w: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9"/>
        </w:trPr>
        <w:tc>
          <w:tcPr>
            <w:tcW w:w="38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Operating cash outflows from operating</w:t>
            </w:r>
          </w:p>
        </w:tc>
        <w:tc>
          <w:tcPr>
            <w:tcW w:w="1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44"/>
        </w:trPr>
        <w:tc>
          <w:tcPr>
            <w:tcW w:w="38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leases, net</w:t>
            </w:r>
          </w:p>
        </w:tc>
        <w:tc>
          <w:tcPr>
            <w:tcW w:w="11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1,845</w:t>
            </w:r>
          </w:p>
        </w:tc>
        <w:tc>
          <w:tcPr>
            <w:tcW w:w="7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1,869</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3"/>
              </w:rPr>
              <w:t>3,664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3,804</w:t>
            </w:r>
          </w:p>
        </w:tc>
      </w:tr>
      <w:tr>
        <w:trPr>
          <w:trHeight w:val="454"/>
        </w:trPr>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3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r>
      <w:tr>
        <w:trPr>
          <w:trHeight w:val="25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1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42"/>
        </w:trPr>
        <w:tc>
          <w:tcPr>
            <w:tcW w:w="38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3800" w:type="dxa"/>
            <w:vAlign w:val="bottom"/>
          </w:tcPr>
          <w:p>
            <w:pPr>
              <w:ind w:left="160"/>
              <w:spacing w:after="0"/>
              <w:rPr>
                <w:sz w:val="20"/>
                <w:szCs w:val="20"/>
                <w:color w:val="auto"/>
              </w:rPr>
            </w:pPr>
            <w:r>
              <w:rPr>
                <w:rFonts w:ascii="Arial" w:cs="Arial" w:eastAsia="Arial" w:hAnsi="Arial"/>
                <w:sz w:val="18"/>
                <w:szCs w:val="18"/>
                <w:color w:val="auto"/>
              </w:rPr>
              <w:t>(years)</w:t>
            </w: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4.41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85"/>
              </w:rPr>
              <w:t>4.16</w:t>
            </w:r>
          </w:p>
        </w:tc>
        <w:tc>
          <w:tcPr>
            <w:tcW w:w="220" w:type="dxa"/>
            <w:vAlign w:val="bottom"/>
          </w:tcPr>
          <w:p>
            <w:pPr>
              <w:spacing w:after="0"/>
              <w:rPr>
                <w:sz w:val="20"/>
                <w:szCs w:val="20"/>
                <w:color w:val="auto"/>
              </w:rPr>
            </w:pPr>
          </w:p>
        </w:tc>
      </w:tr>
      <w:tr>
        <w:trPr>
          <w:trHeight w:val="26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11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2.51 %</w:t>
            </w:r>
          </w:p>
        </w:tc>
        <w:tc>
          <w:tcPr>
            <w:tcW w:w="1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2"/>
              </w:rPr>
              <w:t>2.80 %</w:t>
            </w:r>
          </w:p>
        </w:tc>
      </w:tr>
      <w:tr>
        <w:trPr>
          <w:trHeight w:val="459"/>
        </w:trPr>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4"/>
        </w:trPr>
        <w:tc>
          <w:tcPr>
            <w:tcW w:w="3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2" w:name="page33"/>
    <w:bookmarkEnd w:id="32"/>
    <w:p>
      <w:pPr>
        <w:jc w:val="both"/>
        <w:ind w:right="280" w:firstLine="324"/>
        <w:spacing w:after="0" w:line="275" w:lineRule="auto"/>
        <w:rPr>
          <w:sz w:val="20"/>
          <w:szCs w:val="20"/>
          <w:color w:val="auto"/>
        </w:rPr>
      </w:pPr>
      <w:r>
        <w:rPr>
          <w:rFonts w:ascii="Arial" w:cs="Arial" w:eastAsia="Arial" w:hAnsi="Arial"/>
          <w:sz w:val="18"/>
          <w:szCs w:val="18"/>
          <w:color w:val="auto"/>
        </w:rPr>
        <w:t>The Company’s lease arrangements that have not yet commenced as of June 30, 2021 and the Company’s short-term lease costs and variable lease costs, for the six months ended June 30, 2021 and 2020 are not material to the consolidated financial statements. The future lease payments required for leases that have initial or remaining non-cancelable lease terms in excess of one year as of June 30, 2021, excluding property taxes and insurance,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6"/>
                <w:szCs w:val="16"/>
                <w:i w:val="1"/>
                <w:iCs w:val="1"/>
                <w:color w:val="auto"/>
                <w:w w:val="96"/>
              </w:rPr>
              <w:t>(Dollars in thousands)</w:t>
            </w:r>
          </w:p>
        </w:tc>
      </w:tr>
      <w:tr>
        <w:trPr>
          <w:trHeight w:val="212"/>
        </w:trPr>
        <w:tc>
          <w:tcPr>
            <w:tcW w:w="20" w:type="dxa"/>
            <w:vAlign w:val="bottom"/>
            <w:shd w:val="clear" w:color="auto" w:fill="CFF0FC"/>
          </w:tcPr>
          <w:p>
            <w:pPr>
              <w:spacing w:after="0"/>
              <w:rPr>
                <w:sz w:val="18"/>
                <w:szCs w:val="18"/>
                <w:color w:val="auto"/>
              </w:rPr>
            </w:pPr>
          </w:p>
        </w:tc>
        <w:tc>
          <w:tcPr>
            <w:tcW w:w="9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Year:</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auto"/>
            </w:tcBorders>
            <w:shd w:val="clear" w:color="auto" w:fill="CFF0FC"/>
          </w:tcPr>
          <w:p>
            <w:pPr>
              <w:spacing w:after="0"/>
              <w:rPr>
                <w:sz w:val="2"/>
                <w:szCs w:val="2"/>
                <w:color w:val="auto"/>
              </w:rPr>
            </w:pPr>
          </w:p>
        </w:tc>
        <w:tc>
          <w:tcPr>
            <w:tcW w:w="88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7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2021 (excluding the six months ended June 30,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r>
      <w:tr>
        <w:trPr>
          <w:trHeight w:val="263"/>
        </w:trPr>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2022</w:t>
            </w:r>
          </w:p>
        </w:tc>
        <w:tc>
          <w:tcPr>
            <w:tcW w:w="8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FF0FC"/>
          </w:tcPr>
          <w:p>
            <w:pPr>
              <w:spacing w:after="0"/>
              <w:rPr>
                <w:sz w:val="22"/>
                <w:szCs w:val="22"/>
                <w:color w:val="auto"/>
              </w:rPr>
            </w:pPr>
          </w:p>
        </w:tc>
      </w:tr>
      <w:tr>
        <w:trPr>
          <w:trHeight w:val="250"/>
        </w:trPr>
        <w:tc>
          <w:tcPr>
            <w:tcW w:w="440" w:type="dxa"/>
            <w:vAlign w:val="bottom"/>
            <w:gridSpan w:val="2"/>
          </w:tcPr>
          <w:p>
            <w:pPr>
              <w:ind w:left="20"/>
              <w:spacing w:after="0"/>
              <w:rPr>
                <w:sz w:val="20"/>
                <w:szCs w:val="20"/>
                <w:color w:val="auto"/>
              </w:rPr>
            </w:pPr>
            <w:r>
              <w:rPr>
                <w:rFonts w:ascii="Arial" w:cs="Arial" w:eastAsia="Arial" w:hAnsi="Arial"/>
                <w:sz w:val="18"/>
                <w:szCs w:val="18"/>
                <w:color w:val="auto"/>
                <w:w w:val="99"/>
              </w:rPr>
              <w:t>2023</w:t>
            </w:r>
          </w:p>
        </w:tc>
        <w:tc>
          <w:tcPr>
            <w:tcW w:w="8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r>
      <w:tr>
        <w:trPr>
          <w:trHeight w:val="263"/>
        </w:trPr>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2024</w:t>
            </w:r>
          </w:p>
        </w:tc>
        <w:tc>
          <w:tcPr>
            <w:tcW w:w="8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FF0FC"/>
          </w:tcPr>
          <w:p>
            <w:pPr>
              <w:spacing w:after="0"/>
              <w:rPr>
                <w:sz w:val="22"/>
                <w:szCs w:val="22"/>
                <w:color w:val="auto"/>
              </w:rPr>
            </w:pPr>
          </w:p>
        </w:tc>
      </w:tr>
      <w:tr>
        <w:trPr>
          <w:trHeight w:val="250"/>
        </w:trPr>
        <w:tc>
          <w:tcPr>
            <w:tcW w:w="440" w:type="dxa"/>
            <w:vAlign w:val="bottom"/>
            <w:gridSpan w:val="2"/>
          </w:tcPr>
          <w:p>
            <w:pPr>
              <w:ind w:left="20"/>
              <w:spacing w:after="0"/>
              <w:rPr>
                <w:sz w:val="20"/>
                <w:szCs w:val="20"/>
                <w:color w:val="auto"/>
              </w:rPr>
            </w:pPr>
            <w:r>
              <w:rPr>
                <w:rFonts w:ascii="Arial" w:cs="Arial" w:eastAsia="Arial" w:hAnsi="Arial"/>
                <w:sz w:val="18"/>
                <w:szCs w:val="18"/>
                <w:color w:val="auto"/>
                <w:w w:val="99"/>
              </w:rPr>
              <w:t>2025</w:t>
            </w:r>
          </w:p>
        </w:tc>
        <w:tc>
          <w:tcPr>
            <w:tcW w:w="8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r>
      <w:tr>
        <w:trPr>
          <w:trHeight w:val="263"/>
        </w:trPr>
        <w:tc>
          <w:tcPr>
            <w:tcW w:w="92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9220" w:type="dxa"/>
            <w:vAlign w:val="bottom"/>
            <w:gridSpan w:val="2"/>
          </w:tcPr>
          <w:p>
            <w:pPr>
              <w:ind w:left="120"/>
              <w:spacing w:after="0"/>
              <w:rPr>
                <w:sz w:val="20"/>
                <w:szCs w:val="20"/>
                <w:color w:val="auto"/>
              </w:rPr>
            </w:pPr>
            <w:r>
              <w:rPr>
                <w:rFonts w:ascii="Arial" w:cs="Arial" w:eastAsia="Arial" w:hAnsi="Arial"/>
                <w:sz w:val="18"/>
                <w:szCs w:val="18"/>
                <w:color w:val="auto"/>
              </w:rPr>
              <w:t>Total future lease payments</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23,228</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(1,189 )</w:t>
            </w:r>
          </w:p>
        </w:tc>
      </w:tr>
      <w:tr>
        <w:trPr>
          <w:trHeight w:val="250"/>
        </w:trPr>
        <w:tc>
          <w:tcPr>
            <w:tcW w:w="924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22,039</w:t>
            </w:r>
          </w:p>
        </w:tc>
        <w:tc>
          <w:tcPr>
            <w:tcW w:w="100" w:type="dxa"/>
            <w:vAlign w:val="bottom"/>
            <w:tcBorders>
              <w:top w:val="single" w:sz="8" w:color="CFF0FC"/>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w:t>
      </w:r>
    </w:p>
    <w:p>
      <w:pPr>
        <w:spacing w:after="0" w:line="256" w:lineRule="exact"/>
        <w:rPr>
          <w:sz w:val="20"/>
          <w:szCs w:val="20"/>
          <w:color w:val="auto"/>
        </w:rPr>
      </w:pPr>
    </w:p>
    <w:p>
      <w:pPr>
        <w:ind w:right="100" w:firstLine="405"/>
        <w:spacing w:after="0" w:line="293" w:lineRule="auto"/>
        <w:rPr>
          <w:sz w:val="20"/>
          <w:szCs w:val="20"/>
          <w:color w:val="auto"/>
        </w:rPr>
      </w:pPr>
      <w:r>
        <w:rPr>
          <w:rFonts w:ascii="Arial" w:cs="Arial" w:eastAsia="Arial" w:hAnsi="Arial"/>
          <w:sz w:val="18"/>
          <w:szCs w:val="18"/>
          <w:color w:val="auto"/>
        </w:rPr>
        <w:t>The following presents noninterest income, segregated by revenue streams in-scope and out-of-scope of ASU No. 2014-09 “Revenue from Contracts with Customers (Topic 606)”,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9"/>
                <w:szCs w:val="19"/>
                <w:color w:val="auto"/>
              </w:rPr>
            </w:pPr>
          </w:p>
        </w:tc>
      </w:tr>
      <w:tr>
        <w:trPr>
          <w:trHeight w:val="241"/>
        </w:trPr>
        <w:tc>
          <w:tcPr>
            <w:tcW w:w="5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7"/>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right"/>
              <w:ind w:right="63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8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5160" w:type="dxa"/>
            <w:vAlign w:val="bottom"/>
          </w:tcPr>
          <w:p>
            <w:pPr>
              <w:ind w:left="140"/>
              <w:spacing w:after="0"/>
              <w:rPr>
                <w:sz w:val="20"/>
                <w:szCs w:val="20"/>
                <w:color w:val="auto"/>
              </w:rPr>
            </w:pPr>
            <w:r>
              <w:rPr>
                <w:rFonts w:ascii="Arial" w:cs="Arial" w:eastAsia="Arial" w:hAnsi="Arial"/>
                <w:sz w:val="18"/>
                <w:szCs w:val="18"/>
                <w:i w:val="1"/>
                <w:iCs w:val="1"/>
                <w:color w:val="auto"/>
              </w:rPr>
              <w:t>In-scope of Topic 606:</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Service charges on deposit accounts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FF0FC"/>
          </w:tcPr>
          <w:p>
            <w:pPr>
              <w:spacing w:after="0"/>
              <w:rPr>
                <w:sz w:val="22"/>
                <w:szCs w:val="22"/>
                <w:color w:val="auto"/>
              </w:rPr>
            </w:pPr>
          </w:p>
        </w:tc>
      </w:tr>
      <w:tr>
        <w:trPr>
          <w:trHeight w:val="250"/>
        </w:trPr>
        <w:tc>
          <w:tcPr>
            <w:tcW w:w="5160" w:type="dxa"/>
            <w:vAlign w:val="bottom"/>
          </w:tcPr>
          <w:p>
            <w:pPr>
              <w:ind w:left="400"/>
              <w:spacing w:after="0"/>
              <w:rPr>
                <w:sz w:val="20"/>
                <w:szCs w:val="20"/>
                <w:color w:val="auto"/>
              </w:rPr>
            </w:pPr>
            <w:r>
              <w:rPr>
                <w:rFonts w:ascii="Arial" w:cs="Arial" w:eastAsia="Arial" w:hAnsi="Arial"/>
                <w:sz w:val="18"/>
                <w:szCs w:val="18"/>
                <w:color w:val="auto"/>
              </w:rPr>
              <w:t>Trust and investment services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21"/>
                <w:szCs w:val="21"/>
                <w:color w:val="auto"/>
              </w:rPr>
            </w:pPr>
          </w:p>
        </w:tc>
      </w:tr>
      <w:tr>
        <w:trPr>
          <w:trHeight w:val="263"/>
        </w:trPr>
        <w:tc>
          <w:tcPr>
            <w:tcW w:w="51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Bankcard services</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22"/>
                <w:szCs w:val="22"/>
                <w:color w:val="auto"/>
              </w:rPr>
            </w:pPr>
          </w:p>
        </w:tc>
      </w:tr>
      <w:tr>
        <w:trPr>
          <w:trHeight w:val="250"/>
        </w:trPr>
        <w:tc>
          <w:tcPr>
            <w:tcW w:w="5160" w:type="dxa"/>
            <w:vAlign w:val="bottom"/>
          </w:tcPr>
          <w:p>
            <w:pPr>
              <w:ind w:left="400"/>
              <w:spacing w:after="0"/>
              <w:rPr>
                <w:sz w:val="20"/>
                <w:szCs w:val="20"/>
                <w:color w:val="auto"/>
              </w:rPr>
            </w:pPr>
            <w:r>
              <w:rPr>
                <w:rFonts w:ascii="Arial" w:cs="Arial" w:eastAsia="Arial" w:hAnsi="Arial"/>
                <w:sz w:val="18"/>
                <w:szCs w:val="18"/>
                <w:color w:val="auto"/>
              </w:rPr>
              <w:t>Gain on OREO, net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57"/>
        </w:trPr>
        <w:tc>
          <w:tcPr>
            <w:tcW w:w="51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3,778</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160" w:type="dxa"/>
            <w:vAlign w:val="bottom"/>
          </w:tcPr>
          <w:p>
            <w:pPr>
              <w:ind w:left="140"/>
              <w:spacing w:after="0"/>
              <w:rPr>
                <w:sz w:val="20"/>
                <w:szCs w:val="20"/>
                <w:color w:val="auto"/>
              </w:rPr>
            </w:pPr>
            <w:r>
              <w:rPr>
                <w:rFonts w:ascii="Arial" w:cs="Arial" w:eastAsia="Arial" w:hAnsi="Arial"/>
                <w:sz w:val="18"/>
                <w:szCs w:val="18"/>
                <w:color w:val="auto"/>
              </w:rPr>
              <w:t>Noninterest Income (in-scope of Topic 606)</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18,653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tcPr>
          <w:p>
            <w:pPr>
              <w:spacing w:after="0"/>
              <w:rPr>
                <w:sz w:val="21"/>
                <w:szCs w:val="21"/>
                <w:color w:val="auto"/>
              </w:rPr>
            </w:pPr>
          </w:p>
        </w:tc>
      </w:tr>
      <w:tr>
        <w:trPr>
          <w:trHeight w:val="263"/>
        </w:trPr>
        <w:tc>
          <w:tcPr>
            <w:tcW w:w="5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Noninterest Income (out-of-scope of Topic 606)</w:t>
            </w: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160" w:type="dxa"/>
            <w:vAlign w:val="bottom"/>
          </w:tcPr>
          <w:p>
            <w:pPr>
              <w:ind w:left="660"/>
              <w:spacing w:after="0"/>
              <w:rPr>
                <w:sz w:val="20"/>
                <w:szCs w:val="20"/>
                <w:color w:val="auto"/>
              </w:rPr>
            </w:pPr>
            <w:r>
              <w:rPr>
                <w:rFonts w:ascii="Arial" w:cs="Arial" w:eastAsia="Arial" w:hAnsi="Arial"/>
                <w:sz w:val="18"/>
                <w:szCs w:val="18"/>
                <w:b w:val="1"/>
                <w:bCs w:val="1"/>
                <w:color w:val="auto"/>
              </w:rPr>
              <w:t>Total noninterest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10,836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24,517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23,792</w:t>
            </w:r>
          </w:p>
        </w:tc>
        <w:tc>
          <w:tcPr>
            <w:tcW w:w="10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-527685</wp:posOffset>
            </wp:positionV>
            <wp:extent cx="20574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-527685</wp:posOffset>
            </wp:positionV>
            <wp:extent cx="20574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-527685</wp:posOffset>
            </wp:positionV>
            <wp:extent cx="18859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-193675</wp:posOffset>
            </wp:positionV>
            <wp:extent cx="20574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-193675</wp:posOffset>
            </wp:positionV>
            <wp:extent cx="20574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-193675</wp:posOffset>
            </wp:positionV>
            <wp:extent cx="18859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ind w:right="100" w:firstLine="405"/>
        <w:spacing w:after="0" w:line="324" w:lineRule="auto"/>
        <w:rPr>
          <w:sz w:val="20"/>
          <w:szCs w:val="20"/>
          <w:color w:val="auto"/>
        </w:rPr>
      </w:pPr>
      <w:r>
        <w:rPr>
          <w:rFonts w:ascii="Arial" w:cs="Arial" w:eastAsia="Arial" w:hAnsi="Arial"/>
          <w:sz w:val="17"/>
          <w:szCs w:val="17"/>
          <w:color w:val="auto"/>
        </w:rPr>
        <w:t xml:space="preserve">Refer to Note 3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24 –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included in our Annual Report on Form 10-K for the year ended December 31, 2020 for a more detailed discussion about noninterest revenue streams that are in-scope of Topic 606.</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35" w:lineRule="exact"/>
        <w:rPr>
          <w:sz w:val="20"/>
          <w:szCs w:val="20"/>
          <w:color w:val="auto"/>
        </w:rPr>
      </w:pPr>
    </w:p>
    <w:p>
      <w:pPr>
        <w:ind w:right="20" w:firstLine="405"/>
        <w:spacing w:after="0" w:line="281" w:lineRule="auto"/>
        <w:rPr>
          <w:sz w:val="20"/>
          <w:szCs w:val="20"/>
          <w:color w:val="auto"/>
        </w:rPr>
      </w:pPr>
      <w:r>
        <w:rPr>
          <w:rFonts w:ascii="Arial" w:cs="Arial" w:eastAsia="Arial" w:hAnsi="Arial"/>
          <w:sz w:val="17"/>
          <w:szCs w:val="17"/>
          <w:color w:val="auto"/>
        </w:rPr>
        <w:t>On July 27, 2021, we entered into a definitive agreement to merge Suncrest Bank with and into Citizens Business Bank. Suncrest Bank, headquartered in Visalia, California, had approximately $1.4 billion in total assets, $870 million in gross loans and $1.2 billion in total deposits as of June 30, 2021. Pursuant to the terms of the agreement, Suncrest Bank shareholders will have the right to receive consideration consisting of a fixed exchange ratio of 0.6970x CVB Financial Corp common stock and $2.69 per share in cash, subject to any adjustments set forth in the Merger Agreement. The merger transaction was valued at approximately $204 million in aggregate, based on CVB Financial Corp’s closing stock price of $19.36 on July 26, 2021. Consummation of the merger is subject to customary closing conditions, including, among others, Suncrest shareholders and regulatory approval, and is anticipated to occur in the fourth quarter of 2021 or first quarter of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firstLine="469"/>
        <w:spacing w:after="0" w:line="271" w:lineRule="auto"/>
        <w:rPr>
          <w:sz w:val="20"/>
          <w:szCs w:val="20"/>
          <w:color w:val="auto"/>
        </w:rPr>
      </w:pPr>
      <w:r>
        <w:rPr>
          <w:rFonts w:ascii="Arial" w:cs="Arial" w:eastAsia="Arial" w:hAnsi="Arial"/>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2020 and the unaudited condensed consolidated financial statements and accompanying notes presented elsewhere in this report.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The spread of COVID-19 has created a global public health crisis that has resulted in unprecedented volatility and disruption in financial markets and deterioration in economic activity and market conditions in the markets we serve. The pandemic has affected our customers and the communities we serve and depending on the duration of the crisis and government actions, the adverse impact on our financial position and results of operations could be significant. In response to the effects of the pandemic on the U.S. economy, the Board of Governors of the Federal Reserve System (“FRB”) has taken significant actions, including a reduction in the target range of the federal funds rate to 0.0% to 0.25% and an indeterminate amount of purchases of Treasury and mortgage-backed securities.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March 27, 2020, the Coronavirus Aid, Relief, and Economic Security (“CARES”) Act was signed into law. It contain substantial tax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spending provisions intended to address the impact of the COVID-19 pandemic. The CARES Act includes the Paycheck Protection Program (“PPP”),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$349 billion program designed to aid small- and medium-sized businesses through 100% Small Business Administration (“SBA”) guaranteed loans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distributed through banks. These loans were intended to guarantee 24 weeks of payroll and other costs to help those businesses remain viable and keep their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workers employed. Legislation passed on April 24, 2020 provided additional PPP funds of $310 billion. During 2020, we originated and funded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4,100 loans, totaling $1.10 billion. In response to the COVID-19 pandemic and the CARES Act, we also implemented a short-term loan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modification program to provide temporary payment relief to certain of our borrowers who meet the program’s qualifications. On January 13, 2021,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SBA reopened the PPP for Second Draw loans to small businesses and non-profit organizations that did receive a loan through the initial PPP phase. 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least $25 billion has been set aside for Second Draw (“round two”) PPP loans to eligible borrowers with a maximum of 10 employees or for loans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$250,000 or less to eligible borrowers in low or moderate income neighborhoods. Generally speaking, businesses with more than 300 employees and/or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less than a 25% reduction in gross receipts between comparable quarters in 2019 and 2020 are not eligible for Second Draw loans. Further, maximum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amounts have been increased for accommodation and food service businesses. As of June 30, 2021, we have originated approximately 1,900 round two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totaling $395 million in outstanding borrowings. The Paycheck Protection Program officially ended on May 31, 2021.</w:t>
      </w:r>
    </w:p>
    <w:p>
      <w:pPr>
        <w:spacing w:after="0" w:line="251" w:lineRule="exact"/>
        <w:rPr>
          <w:sz w:val="20"/>
          <w:szCs w:val="20"/>
          <w:color w:val="auto"/>
        </w:rPr>
      </w:pPr>
    </w:p>
    <w:p>
      <w:pPr>
        <w:ind w:firstLine="749"/>
        <w:spacing w:after="0" w:line="281" w:lineRule="auto"/>
        <w:rPr>
          <w:sz w:val="20"/>
          <w:szCs w:val="20"/>
          <w:color w:val="auto"/>
        </w:rPr>
      </w:pPr>
      <w:r>
        <w:rPr>
          <w:rFonts w:ascii="Arial" w:cs="Arial" w:eastAsia="Arial" w:hAnsi="Arial"/>
          <w:sz w:val="17"/>
          <w:szCs w:val="17"/>
          <w:color w:val="auto"/>
        </w:rPr>
        <w:t>The second quarter of 2021 included $2.0 million in recapture of provision for credit losses, as a result of a modest improvement in our economic forecast. In comparison, the first quarter of 2021 included a $19.5 million recapture of provision. The Company’s allowance for credit losses at June 30, 2021 of $69.3 million, compares to the pre-pandemic allowance of $68.7 million at December 31, 2019. We continue to monitor the impact of COVID-19 closely. The extent to which the COVID-19 pandemic will impact our operations and financial results during 2021 is highly uncertain, but we may experience continued volatility in the provision for credit losses if this pandemic results in economic stress greater than forecasted on our borrowers and loan portfolios and lower interest income if the current low interest rate environment continues.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40" w:firstLine="469"/>
        <w:spacing w:after="0" w:line="292" w:lineRule="auto"/>
        <w:rPr>
          <w:sz w:val="20"/>
          <w:szCs w:val="20"/>
          <w:color w:val="auto"/>
        </w:rPr>
      </w:pPr>
      <w:r>
        <w:rPr>
          <w:rFonts w:ascii="Arial" w:cs="Arial" w:eastAsia="Arial" w:hAnsi="Arial"/>
          <w:sz w:val="17"/>
          <w:szCs w:val="17"/>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8" w:lineRule="exact"/>
        <w:rPr>
          <w:sz w:val="20"/>
          <w:szCs w:val="20"/>
          <w:color w:val="auto"/>
        </w:rPr>
      </w:pPr>
    </w:p>
    <w:p>
      <w:pPr>
        <w:ind w:right="260" w:firstLine="469"/>
        <w:spacing w:after="0" w:line="314" w:lineRule="auto"/>
        <w:rPr>
          <w:sz w:val="20"/>
          <w:szCs w:val="20"/>
          <w:color w:val="auto"/>
        </w:rPr>
      </w:pPr>
      <w:r>
        <w:rPr>
          <w:rFonts w:ascii="Arial" w:cs="Arial" w:eastAsia="Arial" w:hAnsi="Arial"/>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Allowance for Credit Losses (“ACL”)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Business Combinations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Valuation and Recoverability of Goodwill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Income Taxes</w:t>
      </w:r>
    </w:p>
    <w:p>
      <w:pPr>
        <w:spacing w:after="0" w:line="251" w:lineRule="exact"/>
        <w:rPr>
          <w:sz w:val="20"/>
          <w:szCs w:val="20"/>
          <w:color w:val="auto"/>
        </w:rPr>
      </w:pPr>
    </w:p>
    <w:p>
      <w:pPr>
        <w:ind w:right="280" w:firstLine="469"/>
        <w:spacing w:after="0" w:line="275" w:lineRule="auto"/>
        <w:rPr>
          <w:sz w:val="20"/>
          <w:szCs w:val="20"/>
          <w:color w:val="auto"/>
        </w:rPr>
      </w:pPr>
      <w:r>
        <w:rPr>
          <w:rFonts w:ascii="Arial" w:cs="Arial" w:eastAsia="Arial" w:hAnsi="Arial"/>
          <w:sz w:val="18"/>
          <w:szCs w:val="18"/>
          <w:color w:val="auto"/>
        </w:rPr>
        <w:t xml:space="preserve">Our significant accounting policies are described in greater detail in our 2020 Annual Report on Form 10-K in the “Critical Accounting Policies” section of Management’s Discussion and Analysis of Financial Condition and Results of Operations and in Note 3 –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our Annual Report on Form 10-K for the year ended December 31, 2020, which are essential to understanding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but Not Adopted as of June 30, 2021</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20015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42" w:lineRule="exact"/>
        <w:rPr>
          <w:sz w:val="20"/>
          <w:szCs w:val="20"/>
          <w:color w:val="auto"/>
        </w:rPr>
      </w:pPr>
    </w:p>
    <w:p>
      <w:pPr>
        <w:ind w:left="20"/>
        <w:spacing w:after="0" w:line="294" w:lineRule="auto"/>
        <w:rPr>
          <w:sz w:val="20"/>
          <w:szCs w:val="20"/>
          <w:color w:val="auto"/>
        </w:rPr>
      </w:pPr>
      <w:r>
        <w:rPr>
          <w:rFonts w:ascii="Arial" w:cs="Arial" w:eastAsia="Arial" w:hAnsi="Arial"/>
          <w:sz w:val="13"/>
          <w:szCs w:val="13"/>
          <w:color w:val="auto"/>
        </w:rPr>
        <w:t>ASU No. 2020-04, Reference Rate Reform (Topic 848): Facilitation of the Effects of Reference Rate Reform on Financial Reporting</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Issued March 2020</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Adoption</w:t>
            </w:r>
          </w:p>
        </w:tc>
        <w:tc>
          <w:tcPr>
            <w:tcW w:w="3540" w:type="dxa"/>
            <w:vAlign w:val="bottom"/>
          </w:tcPr>
          <w:p>
            <w:pPr>
              <w:spacing w:after="0"/>
              <w:rPr>
                <w:sz w:val="15"/>
                <w:szCs w:val="15"/>
                <w:color w:val="auto"/>
              </w:rPr>
            </w:pPr>
          </w:p>
        </w:tc>
      </w:tr>
      <w:tr>
        <w:trPr>
          <w:trHeight w:val="192"/>
        </w:trPr>
        <w:tc>
          <w:tcPr>
            <w:tcW w:w="44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Timing</w:t>
            </w:r>
          </w:p>
        </w:tc>
        <w:tc>
          <w:tcPr>
            <w:tcW w:w="35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Impact on Financial Statements</w:t>
            </w:r>
          </w:p>
        </w:tc>
      </w:tr>
      <w:tr>
        <w:trPr>
          <w:trHeight w:val="386"/>
        </w:trPr>
        <w:tc>
          <w:tcPr>
            <w:tcW w:w="4460" w:type="dxa"/>
            <w:vAlign w:val="bottom"/>
          </w:tcPr>
          <w:p>
            <w:pPr>
              <w:spacing w:after="0"/>
              <w:rPr>
                <w:sz w:val="20"/>
                <w:szCs w:val="20"/>
                <w:color w:val="auto"/>
              </w:rPr>
            </w:pPr>
            <w:r>
              <w:rPr>
                <w:rFonts w:ascii="Arial" w:cs="Arial" w:eastAsia="Arial" w:hAnsi="Arial"/>
                <w:sz w:val="14"/>
                <w:szCs w:val="14"/>
                <w:color w:val="auto"/>
                <w:w w:val="95"/>
              </w:rPr>
              <w:t>The FASB issued ASU 2020-04, Reference Rate Reform: Facilitation of the</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1st Quarter 2020</w:t>
            </w:r>
          </w:p>
        </w:tc>
        <w:tc>
          <w:tcPr>
            <w:tcW w:w="3540" w:type="dxa"/>
            <w:vAlign w:val="bottom"/>
          </w:tcPr>
          <w:p>
            <w:pPr>
              <w:ind w:left="80"/>
              <w:spacing w:after="0"/>
              <w:rPr>
                <w:sz w:val="20"/>
                <w:szCs w:val="20"/>
                <w:color w:val="auto"/>
              </w:rPr>
            </w:pPr>
            <w:r>
              <w:rPr>
                <w:rFonts w:ascii="Arial" w:cs="Arial" w:eastAsia="Arial" w:hAnsi="Arial"/>
                <w:sz w:val="14"/>
                <w:szCs w:val="14"/>
                <w:color w:val="auto"/>
                <w:w w:val="95"/>
              </w:rPr>
              <w:t>The Company established a LIBOR Transition Task Force</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4"/>
              </w:rPr>
              <w:t>Effects of Reference Rate Reform on Financial Reporting. The amendments</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through the</w:t>
            </w:r>
          </w:p>
        </w:tc>
        <w:tc>
          <w:tcPr>
            <w:tcW w:w="3540" w:type="dxa"/>
            <w:vAlign w:val="bottom"/>
          </w:tcPr>
          <w:p>
            <w:pPr>
              <w:ind w:left="80"/>
              <w:spacing w:after="0"/>
              <w:rPr>
                <w:sz w:val="20"/>
                <w:szCs w:val="20"/>
                <w:color w:val="auto"/>
              </w:rPr>
            </w:pPr>
            <w:r>
              <w:rPr>
                <w:rFonts w:ascii="Arial" w:cs="Arial" w:eastAsia="Arial" w:hAnsi="Arial"/>
                <w:sz w:val="14"/>
                <w:szCs w:val="14"/>
                <w:color w:val="auto"/>
                <w:w w:val="96"/>
              </w:rPr>
              <w:t>in 2020, which has inventoried our instruments that reflect</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9"/>
              </w:rPr>
              <w:t>in this update provide temporary, optional guidance to ease the potential</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4th Quarter 2022</w:t>
            </w:r>
          </w:p>
        </w:tc>
        <w:tc>
          <w:tcPr>
            <w:tcW w:w="3540" w:type="dxa"/>
            <w:vAlign w:val="bottom"/>
          </w:tcPr>
          <w:p>
            <w:pPr>
              <w:ind w:left="80"/>
              <w:spacing w:after="0"/>
              <w:rPr>
                <w:sz w:val="20"/>
                <w:szCs w:val="20"/>
                <w:color w:val="auto"/>
              </w:rPr>
            </w:pPr>
            <w:r>
              <w:rPr>
                <w:rFonts w:ascii="Arial" w:cs="Arial" w:eastAsia="Arial" w:hAnsi="Arial"/>
                <w:sz w:val="14"/>
                <w:szCs w:val="14"/>
                <w:color w:val="auto"/>
                <w:w w:val="98"/>
              </w:rPr>
              <w:t>exposure to LIBOR, created a framework to manage the</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9"/>
              </w:rPr>
              <w:t>burden in accounting for transitioning away from reference rates such as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w w:val="96"/>
              </w:rPr>
              <w:t>transition and established a timeline for key decisions and</w:t>
            </w:r>
          </w:p>
        </w:tc>
      </w:tr>
      <w:tr>
        <w:trPr>
          <w:trHeight w:val="176"/>
        </w:trPr>
        <w:tc>
          <w:tcPr>
            <w:tcW w:w="4460" w:type="dxa"/>
            <w:vAlign w:val="bottom"/>
          </w:tcPr>
          <w:p>
            <w:pPr>
              <w:spacing w:after="0"/>
              <w:rPr>
                <w:sz w:val="20"/>
                <w:szCs w:val="20"/>
                <w:color w:val="auto"/>
              </w:rPr>
            </w:pPr>
            <w:r>
              <w:rPr>
                <w:rFonts w:ascii="Arial" w:cs="Arial" w:eastAsia="Arial" w:hAnsi="Arial"/>
                <w:sz w:val="14"/>
                <w:szCs w:val="14"/>
                <w:color w:val="auto"/>
                <w:w w:val="98"/>
              </w:rPr>
              <w:t>LIBOR. The amendments provide optional expedients and exceptions for</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actions, and started the transition from LIBOR in 2021.</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7"/>
              </w:rPr>
              <w:t>applying GAAP to transactions affected by reference rate reform if certain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Although the Company is assessing the impacts of this</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5"/>
              </w:rPr>
              <w:t>criteria are met. The amendments primarily include relief related to contract</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transition and exploring alternatives to use in place of</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9"/>
              </w:rPr>
              <w:t>modifications and hedging relationships, as well as providing a one-time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w w:val="98"/>
              </w:rPr>
              <w:t>LIBOR for various financial instruments, primarily related</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rPr>
              <w:t>election for the sale or transfer of debt securities classified as held-to-</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to our variable-rate loans and our interest rate swap</w:t>
            </w:r>
          </w:p>
        </w:tc>
      </w:tr>
      <w:tr>
        <w:trPr>
          <w:trHeight w:val="175"/>
        </w:trPr>
        <w:tc>
          <w:tcPr>
            <w:tcW w:w="4460" w:type="dxa"/>
            <w:vAlign w:val="bottom"/>
          </w:tcPr>
          <w:p>
            <w:pPr>
              <w:spacing w:after="0"/>
              <w:rPr>
                <w:sz w:val="20"/>
                <w:szCs w:val="20"/>
                <w:color w:val="auto"/>
              </w:rPr>
            </w:pPr>
            <w:r>
              <w:rPr>
                <w:rFonts w:ascii="Arial" w:cs="Arial" w:eastAsia="Arial" w:hAnsi="Arial"/>
                <w:sz w:val="14"/>
                <w:szCs w:val="14"/>
                <w:color w:val="auto"/>
                <w:w w:val="96"/>
              </w:rPr>
              <w:t>maturity. This guidance is effective immediately and the amendments may</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w w:val="99"/>
              </w:rPr>
              <w:t>derivatives that are indexed to LIBOR, we do not expect</w:t>
            </w:r>
          </w:p>
        </w:tc>
      </w:tr>
      <w:tr>
        <w:trPr>
          <w:trHeight w:val="176"/>
        </w:trPr>
        <w:tc>
          <w:tcPr>
            <w:tcW w:w="4460" w:type="dxa"/>
            <w:vAlign w:val="bottom"/>
          </w:tcPr>
          <w:p>
            <w:pPr>
              <w:spacing w:after="0"/>
              <w:rPr>
                <w:sz w:val="20"/>
                <w:szCs w:val="20"/>
                <w:color w:val="auto"/>
              </w:rPr>
            </w:pPr>
            <w:r>
              <w:rPr>
                <w:rFonts w:ascii="Arial" w:cs="Arial" w:eastAsia="Arial" w:hAnsi="Arial"/>
                <w:sz w:val="14"/>
                <w:szCs w:val="14"/>
                <w:color w:val="auto"/>
              </w:rPr>
              <w:t>be applied prospectively through December 31, 2022.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this ASU to have a material impact on the Company's</w:t>
            </w:r>
          </w:p>
        </w:tc>
      </w:tr>
      <w:tr>
        <w:trPr>
          <w:trHeight w:val="182"/>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119380</wp:posOffset>
            </wp:positionV>
            <wp:extent cx="71323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320"/>
            <w:col w:w="9200"/>
          </w:cols>
          <w:pgMar w:left="320" w:top="405" w:right="339" w:bottom="1440" w:gutter="0" w:footer="0" w:header="0"/>
          <w:type w:val="continuous"/>
        </w:sectPr>
      </w:pPr>
    </w:p>
    <w:p>
      <w:pPr>
        <w:spacing w:after="0" w:line="212" w:lineRule="exact"/>
        <w:rPr>
          <w:sz w:val="20"/>
          <w:szCs w:val="20"/>
          <w:color w:val="auto"/>
        </w:rPr>
      </w:pPr>
    </w:p>
    <w:p>
      <w:pPr>
        <w:ind w:left="20"/>
        <w:spacing w:after="0" w:line="288" w:lineRule="auto"/>
        <w:rPr>
          <w:sz w:val="20"/>
          <w:szCs w:val="20"/>
          <w:color w:val="auto"/>
        </w:rPr>
      </w:pPr>
      <w:r>
        <w:rPr>
          <w:rFonts w:ascii="Arial" w:cs="Arial" w:eastAsia="Arial" w:hAnsi="Arial"/>
          <w:sz w:val="13"/>
          <w:szCs w:val="13"/>
          <w:color w:val="auto"/>
        </w:rPr>
        <w:t>ASU 2020-06, Debt — Debt with Conversion and Other Options (Subtopic 470-20) and Derivatives and Hedging— Contracts in Entity’s Own Equity (Subtopic 815-40): Accounting for Convertible Instruments and Contracts in an Entity’s Own Equity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4580" w:val="left"/>
          <w:tab w:leader="none" w:pos="5720" w:val="left"/>
        </w:tabs>
        <w:rPr>
          <w:sz w:val="20"/>
          <w:szCs w:val="20"/>
          <w:color w:val="auto"/>
        </w:rPr>
      </w:pPr>
      <w:r>
        <w:rPr>
          <w:rFonts w:ascii="Arial" w:cs="Arial" w:eastAsia="Arial" w:hAnsi="Arial"/>
          <w:sz w:val="14"/>
          <w:szCs w:val="14"/>
          <w:color w:val="auto"/>
        </w:rPr>
        <w:t>The FASB issued ASU 2020-06, Debt — Debt with Conversion and Other</w:t>
      </w:r>
      <w:r>
        <w:rPr>
          <w:sz w:val="20"/>
          <w:szCs w:val="20"/>
          <w:color w:val="auto"/>
        </w:rPr>
        <w:tab/>
      </w:r>
      <w:r>
        <w:rPr>
          <w:rFonts w:ascii="Arial" w:cs="Arial" w:eastAsia="Arial" w:hAnsi="Arial"/>
          <w:sz w:val="14"/>
          <w:szCs w:val="14"/>
          <w:color w:val="auto"/>
        </w:rPr>
        <w:t>1st Quarter 2022</w:t>
      </w:r>
      <w:r>
        <w:rPr>
          <w:sz w:val="20"/>
          <w:szCs w:val="20"/>
          <w:color w:val="auto"/>
        </w:rPr>
        <w:tab/>
      </w:r>
      <w:r>
        <w:rPr>
          <w:rFonts w:ascii="Arial" w:cs="Arial" w:eastAsia="Arial" w:hAnsi="Arial"/>
          <w:sz w:val="13"/>
          <w:szCs w:val="13"/>
          <w:color w:val="auto"/>
        </w:rPr>
        <w:t>The adoption of this ASU is not expected to have a material</w:t>
      </w:r>
    </w:p>
    <w:p>
      <w:pPr>
        <w:spacing w:after="0" w:line="21" w:lineRule="exact"/>
        <w:rPr>
          <w:sz w:val="20"/>
          <w:szCs w:val="20"/>
          <w:color w:val="auto"/>
        </w:rPr>
      </w:pPr>
    </w:p>
    <w:p>
      <w:pPr>
        <w:spacing w:after="0"/>
        <w:tabs>
          <w:tab w:leader="none" w:pos="5720" w:val="left"/>
        </w:tabs>
        <w:rPr>
          <w:sz w:val="20"/>
          <w:szCs w:val="20"/>
          <w:color w:val="auto"/>
        </w:rPr>
      </w:pPr>
      <w:r>
        <w:rPr>
          <w:rFonts w:ascii="Arial" w:cs="Arial" w:eastAsia="Arial" w:hAnsi="Arial"/>
          <w:sz w:val="14"/>
          <w:szCs w:val="14"/>
          <w:color w:val="auto"/>
        </w:rPr>
        <w:t>Options (Subtopic 470-20) and Derivatives and Hedging—Contracts in</w:t>
      </w:r>
      <w:r>
        <w:rPr>
          <w:sz w:val="20"/>
          <w:szCs w:val="20"/>
          <w:color w:val="auto"/>
        </w:rPr>
        <w:tab/>
      </w:r>
      <w:r>
        <w:rPr>
          <w:rFonts w:ascii="Arial" w:cs="Arial" w:eastAsia="Arial" w:hAnsi="Arial"/>
          <w:sz w:val="13"/>
          <w:szCs w:val="13"/>
          <w:color w:val="auto"/>
        </w:rPr>
        <w:t>impact on our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Entity’s Own Equity (Subtopic 815-40): Accounting for Convertible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Instruments and Contracts in an Entity’s Own Equity. This ASU reduces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number of accounting models for convertible instruments and allows more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contracts to qualify for equity classification.</w:t>
      </w:r>
    </w:p>
    <w:p>
      <w:pPr>
        <w:spacing w:after="0" w:line="763" w:lineRule="exact"/>
        <w:rPr>
          <w:sz w:val="20"/>
          <w:szCs w:val="20"/>
          <w:color w:val="auto"/>
        </w:rPr>
      </w:pPr>
    </w:p>
    <w:p>
      <w:pPr>
        <w:sectPr>
          <w:pgSz w:w="11900" w:h="16838" w:orient="portrait"/>
          <w:cols w:equalWidth="0" w:num="2">
            <w:col w:w="1860" w:space="180"/>
            <w:col w:w="9200"/>
          </w:cols>
          <w:pgMar w:left="320" w:top="405" w:right="339" w:bottom="1440" w:gutter="0" w:footer="0" w:header="0"/>
          <w:type w:val="continuous"/>
        </w:sectPr>
      </w:pPr>
    </w:p>
    <w:p>
      <w:pPr>
        <w:ind w:left="20"/>
        <w:spacing w:after="0"/>
        <w:rPr>
          <w:sz w:val="20"/>
          <w:szCs w:val="20"/>
          <w:color w:val="auto"/>
        </w:rPr>
      </w:pPr>
      <w:r>
        <w:rPr>
          <w:rFonts w:ascii="Arial" w:cs="Arial" w:eastAsia="Arial" w:hAnsi="Arial"/>
          <w:sz w:val="14"/>
          <w:szCs w:val="14"/>
          <w:i w:val="1"/>
          <w:iCs w:val="1"/>
          <w:color w:val="auto"/>
        </w:rPr>
        <w:t>Issued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firstLine="469"/>
        <w:spacing w:after="0" w:line="279" w:lineRule="auto"/>
        <w:rPr>
          <w:sz w:val="20"/>
          <w:szCs w:val="20"/>
          <w:color w:val="auto"/>
        </w:rPr>
      </w:pPr>
      <w:r>
        <w:rPr>
          <w:rFonts w:ascii="Arial" w:cs="Arial" w:eastAsia="Arial" w:hAnsi="Arial"/>
          <w:sz w:val="18"/>
          <w:szCs w:val="18"/>
          <w:color w:val="auto"/>
        </w:rPr>
        <w:t>For the second quarter of 2021, we reported net earnings of $51.2 million, compared with $63.9 million for the first quarter of 2021 and $41.6 million for the second quarter of 2020. Diluted earnings per share were $0.38 for the second quarter, compared to $0.47 for the prior quarter and $0.31 for the same period last year.</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second quarter of 2021 included $2.0 million in recapture of provision for credit losses, as a result of modest improvements in our forecast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macroeconomic variables. In comparison, the first quarter of 2021 included a $19.5 million recapture of provision for credit losses, as our economic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forecast improved markedly from the end of 2020, as the negative economic trends of the COVID-19 pandemic started to diminish with vaccinations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becoming widely available. The second quarter of 2020 included $11.5 million in provision for credit losses, as our economic forecast continued to reflect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expected deterioration in macroeconomic variables during the early stages of the pandemic. During the second quarter of 2021, we experienced credit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charge-offs of $510,000 and total recoveries of $47,000, resulting in net charge-offs of $463,000. Of the 4,100 SBA PPP loans we originated in 2020,</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$262.5 million remained outstanding at June 30, 2021, after loan forgiveness. As of June 30 2021, the Company originated approximately 1,900 PPP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round two, with a loan balance, at amortized cost, of $395.3 million at June 30, 2021. Interest and fee income from PPP loans was $8.1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2021, compared to $10.4 million for the first quarter of 2021.</w:t>
      </w:r>
    </w:p>
    <w:p>
      <w:pPr>
        <w:spacing w:after="0" w:line="251" w:lineRule="exact"/>
        <w:rPr>
          <w:sz w:val="20"/>
          <w:szCs w:val="20"/>
          <w:color w:val="auto"/>
        </w:rPr>
      </w:pPr>
    </w:p>
    <w:p>
      <w:pPr>
        <w:ind w:firstLine="469"/>
        <w:spacing w:after="0" w:line="272" w:lineRule="auto"/>
        <w:rPr>
          <w:sz w:val="20"/>
          <w:szCs w:val="20"/>
          <w:color w:val="auto"/>
        </w:rPr>
      </w:pPr>
      <w:r>
        <w:rPr>
          <w:rFonts w:ascii="Arial" w:cs="Arial" w:eastAsia="Arial" w:hAnsi="Arial"/>
          <w:sz w:val="18"/>
          <w:szCs w:val="18"/>
          <w:color w:val="auto"/>
        </w:rPr>
        <w:t>At June 30, 2021, total assets of $15.54 billion increased $1.12 billion, or 7.77%, from total assets of $14.42 billion at December 31, 2020. Interest-earning assets of $14.26 billion at June 30, 2021 increased $1.04 billion, or 7.86%, when compared with $13.22 billion at December 31, 2020. The increase in interest-earning assets was primarily due to a $991.4 million increase in investment securities and a $342.5 million increase in interest-earning balances due from the Federal Reserve, partially offset by a $277.5 million decrease in total loans which included PPP loan forgiveness of approximately $600 million for the six months ended June 30, 2021.</w:t>
      </w:r>
    </w:p>
    <w:p>
      <w:pPr>
        <w:spacing w:after="0" w:line="204" w:lineRule="exact"/>
        <w:rPr>
          <w:sz w:val="20"/>
          <w:szCs w:val="20"/>
          <w:color w:val="auto"/>
        </w:rPr>
      </w:pPr>
    </w:p>
    <w:p>
      <w:pPr>
        <w:ind w:right="120" w:firstLine="469"/>
        <w:spacing w:after="0" w:line="299" w:lineRule="auto"/>
        <w:rPr>
          <w:sz w:val="20"/>
          <w:szCs w:val="20"/>
          <w:color w:val="auto"/>
        </w:rPr>
      </w:pPr>
      <w:r>
        <w:rPr>
          <w:rFonts w:ascii="Arial" w:cs="Arial" w:eastAsia="Arial" w:hAnsi="Arial"/>
          <w:sz w:val="16"/>
          <w:szCs w:val="16"/>
          <w:color w:val="auto"/>
        </w:rPr>
        <w:t>Total investment securities were $3.97 billion at June 30, 2021, an increase of $991.4 million, or 33.30%, from $2.98 billion at December 31, 2020. In the second quarter of 2021, we purchased $317.1 million of available-for-sale (“AFS”) securities with an average investment yield of approximately</w:t>
      </w:r>
    </w:p>
    <w:p>
      <w:pPr>
        <w:spacing w:after="0" w:line="1"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1.69%, compared to $1.23 billion of securities purchased in the first quarter of 2021, with an average expected yield of approximately 1.57%. At June 30, 2021, investment securities held-to-maturity (“HTM”) totaled $1.04 billion. At June 30, 2021, AFS investment securities totaled $2.93 billion, inclusive of a net pre-tax unrealized gain of $23.3 million, which decreased $31.5 million from December 31, 2020. HTM securities increased by $458.3 million, or</w:t>
      </w:r>
    </w:p>
    <w:p>
      <w:pPr>
        <w:spacing w:after="0" w:line="1"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79.20%, and AFS securities increased by $533.1 million, or 22.22%, from December 31, 2020. We purchased $545.7 million of HTM securities in the first quarter of 2021. Our tax equivalent yield on investments was 1.55% for the quarter ended June 30, 2021, compared to 1.65% for the first quarter of 2021 and 2.22% for the second quarter of 2020.</w:t>
      </w:r>
    </w:p>
    <w:p>
      <w:pPr>
        <w:spacing w:after="0" w:line="195" w:lineRule="exact"/>
        <w:rPr>
          <w:sz w:val="20"/>
          <w:szCs w:val="20"/>
          <w:color w:val="auto"/>
        </w:rPr>
      </w:pPr>
    </w:p>
    <w:p>
      <w:pPr>
        <w:ind w:firstLine="469"/>
        <w:spacing w:after="0" w:line="308" w:lineRule="auto"/>
        <w:rPr>
          <w:sz w:val="20"/>
          <w:szCs w:val="20"/>
          <w:color w:val="auto"/>
        </w:rPr>
      </w:pPr>
      <w:r>
        <w:rPr>
          <w:rFonts w:ascii="Arial" w:cs="Arial" w:eastAsia="Arial" w:hAnsi="Arial"/>
          <w:sz w:val="16"/>
          <w:szCs w:val="16"/>
          <w:color w:val="auto"/>
        </w:rPr>
        <w:t>Total loans and leases, net of deferred fees and discounts (amortized cost), of $8.07 billion at June 30, 2021 decreased by $277.5 million, or 3.32%, from December 31, 2020. The $277.5 million decrease in total loans included decreases of $225.2 million in PPP loans, $103.4 million in dairy &amp; livestock and agribusiness loans due to seasonal pay downs, $62.9 million in commercial and industrial loans, $33.4 million in SFR mortgage loans, $12.1 million in SBA loans, and $9.7 million in other loans, partially offset by an increase of $169.2 million in commercial real estate loans. After adjusting for seasonality and PPP loans, our loans grew by $51.0 million or at an annualized rate of approximately 1.4% from the end of the fourth quarter of 2020. Our yield on loans was 4.46% for the quarter ended June 30, 2021, compared to 4.50% for the first quarter of 2021 and 4.77% for the second quarter of 2020. The significant decline in interest rates since the start of the pandemic has had a negative impact on loan yields, which after excluding discount accretion, nonaccrual interest income, and the impact from PPP loans, declined by 14 basis points compared to the second quarter of 2020.</w:t>
      </w:r>
    </w:p>
    <w:p>
      <w:pPr>
        <w:spacing w:after="0" w:line="177" w:lineRule="exact"/>
        <w:rPr>
          <w:sz w:val="20"/>
          <w:szCs w:val="20"/>
          <w:color w:val="auto"/>
        </w:rPr>
      </w:pPr>
    </w:p>
    <w:p>
      <w:pPr>
        <w:ind w:firstLine="469"/>
        <w:spacing w:after="0" w:line="329" w:lineRule="auto"/>
        <w:rPr>
          <w:sz w:val="20"/>
          <w:szCs w:val="20"/>
          <w:color w:val="auto"/>
        </w:rPr>
      </w:pPr>
      <w:r>
        <w:rPr>
          <w:rFonts w:ascii="Arial" w:cs="Arial" w:eastAsia="Arial" w:hAnsi="Arial"/>
          <w:sz w:val="16"/>
          <w:szCs w:val="16"/>
          <w:color w:val="auto"/>
        </w:rPr>
        <w:t>Noninterest-bearing deposits were $8.07 billion at June 30, 2021, an increase of $610.0 million, or 8.18%, when compared to December 31, 2020. At June 30, 2021, noninterest-bearing deposits were 63.66% of total deposits, compared to 63.52% at December 31, 2020. Our average cost of total deposits was 0.05% for the quarter ended June 30, 2021, compared to 0.06% for the first quarter of 2021 and 0.12% for the second quarter of 2020.</w:t>
      </w:r>
    </w:p>
    <w:p>
      <w:pPr>
        <w:spacing w:after="0" w:line="161" w:lineRule="exact"/>
        <w:rPr>
          <w:sz w:val="20"/>
          <w:szCs w:val="20"/>
          <w:color w:val="auto"/>
        </w:rPr>
      </w:pPr>
    </w:p>
    <w:p>
      <w:pPr>
        <w:jc w:val="both"/>
        <w:ind w:right="200" w:firstLine="469"/>
        <w:spacing w:after="0" w:line="279" w:lineRule="auto"/>
        <w:rPr>
          <w:sz w:val="20"/>
          <w:szCs w:val="20"/>
          <w:color w:val="auto"/>
        </w:rPr>
      </w:pPr>
      <w:r>
        <w:rPr>
          <w:rFonts w:ascii="Arial" w:cs="Arial" w:eastAsia="Arial" w:hAnsi="Arial"/>
          <w:sz w:val="18"/>
          <w:szCs w:val="18"/>
          <w:color w:val="auto"/>
        </w:rPr>
        <w:t>Customer repurchase agreements totaled $578.2 million at June 30, 2021, compared to $439.4 million at December 31, 2020. Our average cost of total deposits including customer repurchase agreements was 0.05% for the quarter ended June 30, 2021, compared to 0.06% for the first quarter of 2021 and 0.12% for the second quarter of 2020.</w:t>
      </w:r>
    </w:p>
    <w:p>
      <w:pPr>
        <w:spacing w:after="0" w:line="196" w:lineRule="exact"/>
        <w:rPr>
          <w:sz w:val="20"/>
          <w:szCs w:val="20"/>
          <w:color w:val="auto"/>
        </w:rPr>
      </w:pPr>
    </w:p>
    <w:p>
      <w:pPr>
        <w:jc w:val="both"/>
        <w:ind w:right="80" w:firstLine="469"/>
        <w:spacing w:after="0" w:line="266" w:lineRule="auto"/>
        <w:rPr>
          <w:sz w:val="20"/>
          <w:szCs w:val="20"/>
          <w:color w:val="auto"/>
        </w:rPr>
      </w:pPr>
      <w:r>
        <w:rPr>
          <w:rFonts w:ascii="Arial" w:cs="Arial" w:eastAsia="Arial" w:hAnsi="Arial"/>
          <w:sz w:val="18"/>
          <w:szCs w:val="18"/>
          <w:color w:val="auto"/>
        </w:rPr>
        <w:t>We had no borrowings at June 30, 2021, compared to $5.0 million in short-term borrowings with 0% cost at December 31, 2020, and $10.0 million in short-term borrowings with 0% cost at June 30, 2020. We redeemed our $25.8 million junior subordinated debentures on June 15, 2021, bearing interest at three-month LIBOR plus 1.38% with an original maturity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36" w:name="page37"/>
    <w:bookmarkEnd w:id="36"/>
    <w:p>
      <w:pPr>
        <w:spacing w:after="0" w:line="324" w:lineRule="auto"/>
        <w:rPr>
          <w:sz w:val="20"/>
          <w:szCs w:val="20"/>
          <w:color w:val="auto"/>
        </w:rPr>
      </w:pPr>
      <w:r>
        <w:rPr>
          <w:rFonts w:ascii="Arial" w:cs="Arial" w:eastAsia="Arial" w:hAnsi="Arial"/>
          <w:sz w:val="17"/>
          <w:szCs w:val="17"/>
          <w:color w:val="auto"/>
        </w:rPr>
        <w:t>2036. These debentures had a borrowing cost of 1.57% for the second quarter of 2021, compared to 1.60% for the first quarter of 2021. Our average cost of funds was 0.05% for the quarter ended June 30, 2021, 0.07% for the first quarter of 2021, and 0.13% for the second quarter of 2020.</w:t>
      </w:r>
    </w:p>
    <w:p>
      <w:pPr>
        <w:spacing w:after="0" w:line="161" w:lineRule="exact"/>
        <w:rPr>
          <w:sz w:val="20"/>
          <w:szCs w:val="20"/>
          <w:color w:val="auto"/>
        </w:rPr>
      </w:pPr>
    </w:p>
    <w:p>
      <w:pPr>
        <w:ind w:right="20" w:firstLine="469"/>
        <w:spacing w:after="0" w:line="292" w:lineRule="auto"/>
        <w:rPr>
          <w:sz w:val="20"/>
          <w:szCs w:val="20"/>
          <w:color w:val="auto"/>
        </w:rPr>
      </w:pPr>
      <w:r>
        <w:rPr>
          <w:rFonts w:ascii="Arial" w:cs="Arial" w:eastAsia="Arial" w:hAnsi="Arial"/>
          <w:sz w:val="17"/>
          <w:szCs w:val="17"/>
          <w:color w:val="auto"/>
        </w:rPr>
        <w:t>The allowance for credit losses totaled $69.3 million at June 30, 2021, compared to $93.7 million at December 31, 2020. The allowance for credit losses for the first six months of 2021 was decreased by $21.5 million, due to the improved outlook in our forecast of certain macroeconomic variables that were influenced by the economic impact of the pandemic and government stimulus, and by $2.9 million in year-to-date net charge-offs. At June 30, 2021, ACL as a percentage of total loans and leases outstanding was 0.86%, or 0.94% when PPP loans are excluded. This compares to 1.12% at December 31, 2020, or 1.25% when PPP loans are excluded. As of June 30, 2021, total discounts on acquired loans were $23.4 million.</w:t>
      </w:r>
    </w:p>
    <w:p>
      <w:pPr>
        <w:spacing w:after="0" w:line="188" w:lineRule="exact"/>
        <w:rPr>
          <w:sz w:val="20"/>
          <w:szCs w:val="20"/>
          <w:color w:val="auto"/>
        </w:rPr>
      </w:pPr>
    </w:p>
    <w:p>
      <w:pPr>
        <w:ind w:right="160" w:firstLine="469"/>
        <w:spacing w:after="0" w:line="275" w:lineRule="auto"/>
        <w:rPr>
          <w:sz w:val="20"/>
          <w:szCs w:val="20"/>
          <w:color w:val="auto"/>
        </w:rPr>
      </w:pPr>
      <w:r>
        <w:rPr>
          <w:rFonts w:ascii="Arial" w:cs="Arial" w:eastAsia="Arial" w:hAnsi="Arial"/>
          <w:sz w:val="18"/>
          <w:szCs w:val="18"/>
          <w:color w:val="auto"/>
        </w:rPr>
        <w:t>The Company’s total equity was $2.06 billion at June 30, 2021. This represented an increase of $47.1 million, or 2.34%, from total equity of $2.01 billion at December 31, 2020. This increase was primarily due to net earnings of $115.1 million, partially offset by a $22.1 million decrease in other comprehensive income resulting from the tax-effected impact of the decrease in market value of our available-for-sale investment securities portfolio and $49.0 million in cash dividends. Our tangible common equity ratio was 9.2% at June 30, 2021.</w:t>
      </w:r>
    </w:p>
    <w:p>
      <w:pPr>
        <w:spacing w:after="0" w:line="199" w:lineRule="exact"/>
        <w:rPr>
          <w:sz w:val="20"/>
          <w:szCs w:val="20"/>
          <w:color w:val="auto"/>
        </w:rPr>
      </w:pPr>
    </w:p>
    <w:p>
      <w:pPr>
        <w:jc w:val="both"/>
        <w:ind w:right="160" w:firstLine="469"/>
        <w:spacing w:after="0" w:line="282" w:lineRule="auto"/>
        <w:rPr>
          <w:sz w:val="20"/>
          <w:szCs w:val="20"/>
          <w:color w:val="auto"/>
        </w:rPr>
      </w:pPr>
      <w:r>
        <w:rPr>
          <w:rFonts w:ascii="Arial" w:cs="Arial" w:eastAsia="Arial" w:hAnsi="Arial"/>
          <w:sz w:val="17"/>
          <w:szCs w:val="17"/>
          <w:color w:val="auto"/>
        </w:rPr>
        <w:t xml:space="preserve">Our capital ratios under the revised capital framework referred to as Basel III remain well-above regulatory requirements. As of June 30, 2021, the Company’s Tier 1 leverage capital ratio totaled 9.38%, our common equity Tier 1 ratio totaled 15.08%, our Tier 1 risk-based capital ratio totaled 15.08%, and our total risk-based capital ratio totaled 15.94%. We did not elect to phase in the impact of CECL on regulatory capital, as allowed under the interim final rule of the FDIC and other U.S. banking agencies. Refer to our </w:t>
      </w:r>
      <w:r>
        <w:rPr>
          <w:rFonts w:ascii="Arial" w:cs="Arial" w:eastAsia="Arial" w:hAnsi="Arial"/>
          <w:sz w:val="17"/>
          <w:szCs w:val="17"/>
          <w:i w:val="1"/>
          <w:iCs w:val="1"/>
          <w:color w:val="auto"/>
        </w:rPr>
        <w:t>Analysis of Financial Condition – Capital Resources</w:t>
      </w:r>
      <w:r>
        <w:rPr>
          <w:rFonts w:ascii="Arial" w:cs="Arial" w:eastAsia="Arial" w:hAnsi="Arial"/>
          <w:sz w:val="17"/>
          <w:szCs w:val="17"/>
          <w:color w:val="auto"/>
        </w:rPr>
        <w:t>.</w:t>
      </w: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ANALYSIS OF THE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5"/>
          </w:tcPr>
          <w:p>
            <w:pPr>
              <w:jc w:val="right"/>
              <w:ind w:right="11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9"/>
                <w:szCs w:val="19"/>
                <w:color w:val="auto"/>
              </w:rPr>
            </w:pPr>
          </w:p>
        </w:tc>
        <w:tc>
          <w:tcPr>
            <w:tcW w:w="1400" w:type="dxa"/>
            <w:vAlign w:val="bottom"/>
            <w:gridSpan w:val="3"/>
          </w:tcPr>
          <w:p>
            <w:pPr>
              <w:ind w:left="620"/>
              <w:spacing w:after="0"/>
              <w:rPr>
                <w:sz w:val="20"/>
                <w:szCs w:val="20"/>
                <w:color w:val="auto"/>
              </w:rPr>
            </w:pPr>
            <w:r>
              <w:rPr>
                <w:rFonts w:ascii="Arial" w:cs="Arial" w:eastAsia="Arial" w:hAnsi="Arial"/>
                <w:sz w:val="16"/>
                <w:szCs w:val="16"/>
                <w:b w:val="1"/>
                <w:bCs w:val="1"/>
                <w:color w:val="auto"/>
              </w:rPr>
              <w:t>Variance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0"/>
        </w:trPr>
        <w:tc>
          <w:tcPr>
            <w:tcW w:w="5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June 30,</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2"/>
        </w:trPr>
        <w:tc>
          <w:tcPr>
            <w:tcW w:w="5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r>
      <w:tr>
        <w:trPr>
          <w:trHeight w:val="220"/>
        </w:trPr>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20" w:type="dxa"/>
            <w:vAlign w:val="bottom"/>
            <w:gridSpan w:val="8"/>
          </w:tcPr>
          <w:p>
            <w:pPr>
              <w:ind w:left="6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105,388</w:t>
            </w: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103,468</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1,920</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1.86 %</w:t>
            </w: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Recapture of (provision for) credit losses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19,500</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(17,500 )</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-89.74 %</w:t>
            </w: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10,836</w:t>
            </w: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13,681</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(2,845 )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-20.80 %</w:t>
            </w: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20" w:type="dxa"/>
            <w:vAlign w:val="bottom"/>
          </w:tcPr>
          <w:p>
            <w:pPr>
              <w:spacing w:after="0"/>
              <w:rPr>
                <w:sz w:val="19"/>
                <w:szCs w:val="19"/>
                <w:color w:val="auto"/>
              </w:rPr>
            </w:pPr>
          </w:p>
        </w:tc>
        <w:tc>
          <w:tcPr>
            <w:tcW w:w="1460" w:type="dxa"/>
            <w:vAlign w:val="bottom"/>
            <w:gridSpan w:val="2"/>
          </w:tcPr>
          <w:p>
            <w:pPr>
              <w:jc w:val="right"/>
              <w:ind w:right="299"/>
              <w:spacing w:after="0"/>
              <w:rPr>
                <w:sz w:val="20"/>
                <w:szCs w:val="20"/>
                <w:color w:val="auto"/>
              </w:rPr>
            </w:pPr>
            <w:r>
              <w:rPr>
                <w:rFonts w:ascii="Arial" w:cs="Arial" w:eastAsia="Arial" w:hAnsi="Arial"/>
                <w:sz w:val="16"/>
                <w:szCs w:val="16"/>
                <w:color w:val="auto"/>
              </w:rPr>
              <w:t>(46,545 )</w:t>
            </w:r>
          </w:p>
        </w:tc>
        <w:tc>
          <w:tcPr>
            <w:tcW w:w="1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6"/>
                <w:szCs w:val="16"/>
                <w:color w:val="auto"/>
              </w:rPr>
              <w:t>(47,163 )</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1.31 %</w:t>
            </w: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(20,500 )</w:t>
            </w: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(25,593 )</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5,093</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19.90 %</w:t>
            </w:r>
          </w:p>
        </w:tc>
      </w:tr>
      <w:tr>
        <w:trPr>
          <w:trHeight w:val="20"/>
        </w:trPr>
        <w:tc>
          <w:tcPr>
            <w:tcW w:w="5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26"/>
        </w:trPr>
        <w:tc>
          <w:tcPr>
            <w:tcW w:w="5220" w:type="dxa"/>
            <w:vAlign w:val="bottom"/>
          </w:tcPr>
          <w:p>
            <w:pPr>
              <w:ind w:left="22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51,179</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63,893</w:t>
            </w:r>
          </w:p>
        </w:tc>
        <w:tc>
          <w:tcPr>
            <w:tcW w:w="4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(12,714 )</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-19.90 %</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0"/>
        </w:trPr>
        <w:tc>
          <w:tcPr>
            <w:tcW w:w="5220" w:type="dxa"/>
            <w:vAlign w:val="bottom"/>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0.38</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0.47</w:t>
            </w:r>
          </w:p>
        </w:tc>
        <w:tc>
          <w:tcPr>
            <w:tcW w:w="4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(0.09 )</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0.47</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(0.09 )</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220" w:type="dxa"/>
            <w:vAlign w:val="bottom"/>
          </w:tcPr>
          <w:p>
            <w:pPr>
              <w:spacing w:after="0"/>
              <w:rPr>
                <w:sz w:val="19"/>
                <w:szCs w:val="19"/>
                <w:color w:val="auto"/>
              </w:rPr>
            </w:pPr>
          </w:p>
        </w:tc>
        <w:tc>
          <w:tcPr>
            <w:tcW w:w="1460" w:type="dxa"/>
            <w:vAlign w:val="bottom"/>
            <w:gridSpan w:val="2"/>
          </w:tcPr>
          <w:p>
            <w:pPr>
              <w:jc w:val="right"/>
              <w:ind w:right="219"/>
              <w:spacing w:after="0"/>
              <w:rPr>
                <w:sz w:val="20"/>
                <w:szCs w:val="20"/>
                <w:color w:val="auto"/>
              </w:rPr>
            </w:pPr>
            <w:r>
              <w:rPr>
                <w:rFonts w:ascii="Arial" w:cs="Arial" w:eastAsia="Arial" w:hAnsi="Arial"/>
                <w:sz w:val="16"/>
                <w:szCs w:val="16"/>
                <w:color w:val="auto"/>
              </w:rPr>
              <w:t>1.35 %</w:t>
            </w:r>
          </w:p>
        </w:tc>
        <w:tc>
          <w:tcPr>
            <w:tcW w:w="1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1.79 %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-0.44 %</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10.02 %</w:t>
            </w: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12.75 %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-2.73 %</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220" w:type="dxa"/>
            <w:vAlign w:val="bottom"/>
          </w:tcPr>
          <w:p>
            <w:pPr>
              <w:spacing w:after="0"/>
              <w:rPr>
                <w:sz w:val="19"/>
                <w:szCs w:val="19"/>
                <w:color w:val="auto"/>
              </w:rPr>
            </w:pPr>
          </w:p>
        </w:tc>
        <w:tc>
          <w:tcPr>
            <w:tcW w:w="1460" w:type="dxa"/>
            <w:vAlign w:val="bottom"/>
            <w:gridSpan w:val="2"/>
          </w:tcPr>
          <w:p>
            <w:pPr>
              <w:jc w:val="right"/>
              <w:ind w:right="219"/>
              <w:spacing w:after="0"/>
              <w:rPr>
                <w:sz w:val="20"/>
                <w:szCs w:val="20"/>
                <w:color w:val="auto"/>
              </w:rPr>
            </w:pPr>
            <w:r>
              <w:rPr>
                <w:rFonts w:ascii="Arial" w:cs="Arial" w:eastAsia="Arial" w:hAnsi="Arial"/>
                <w:sz w:val="16"/>
                <w:szCs w:val="16"/>
                <w:color w:val="auto"/>
              </w:rPr>
              <w:t>40.05 %</w:t>
            </w:r>
          </w:p>
        </w:tc>
        <w:tc>
          <w:tcPr>
            <w:tcW w:w="1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40.26 %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-0.21 %</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1.23 %</w:t>
            </w: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1.32 %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-0.09 %</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-1196340</wp:posOffset>
            </wp:positionV>
            <wp:extent cx="28257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-1196340</wp:posOffset>
            </wp:positionV>
            <wp:extent cx="28257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-1196340</wp:posOffset>
            </wp:positionV>
            <wp:extent cx="26543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65430" cy="571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jc w:val="right"/>
              <w:ind w:right="11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Variance</w:t>
            </w:r>
          </w:p>
        </w:tc>
        <w:tc>
          <w:tcPr>
            <w:tcW w:w="7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r>
      <w:tr>
        <w:trPr>
          <w:trHeight w:val="220"/>
        </w:trPr>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20" w:type="dxa"/>
            <w:vAlign w:val="bottom"/>
            <w:gridSpan w:val="8"/>
          </w:tcPr>
          <w:p>
            <w:pPr>
              <w:ind w:left="6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105,388</w:t>
            </w: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104,569</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0.78 %</w:t>
            </w: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Recapture of (provision for) credit losses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6"/>
                <w:szCs w:val="16"/>
                <w:color w:val="auto"/>
              </w:rPr>
              <w:t>(11,500 )</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13,500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117.39 %</w:t>
            </w: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10,836</w:t>
            </w: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12,152</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(1,316 )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-10.83 %</w:t>
            </w: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80" w:type="dxa"/>
            <w:vAlign w:val="bottom"/>
          </w:tcPr>
          <w:p>
            <w:pPr>
              <w:spacing w:after="0"/>
              <w:rPr>
                <w:sz w:val="19"/>
                <w:szCs w:val="19"/>
                <w:color w:val="auto"/>
              </w:rPr>
            </w:pPr>
          </w:p>
        </w:tc>
        <w:tc>
          <w:tcPr>
            <w:tcW w:w="1400" w:type="dxa"/>
            <w:vAlign w:val="bottom"/>
            <w:gridSpan w:val="2"/>
          </w:tcPr>
          <w:p>
            <w:pPr>
              <w:jc w:val="right"/>
              <w:ind w:right="299"/>
              <w:spacing w:after="0"/>
              <w:rPr>
                <w:sz w:val="20"/>
                <w:szCs w:val="20"/>
                <w:color w:val="auto"/>
              </w:rPr>
            </w:pPr>
            <w:r>
              <w:rPr>
                <w:rFonts w:ascii="Arial" w:cs="Arial" w:eastAsia="Arial" w:hAnsi="Arial"/>
                <w:sz w:val="16"/>
                <w:szCs w:val="16"/>
                <w:color w:val="auto"/>
              </w:rPr>
              <w:t>(46,545 )</w:t>
            </w:r>
          </w:p>
        </w:tc>
        <w:tc>
          <w:tcPr>
            <w:tcW w:w="28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6"/>
                <w:szCs w:val="16"/>
                <w:color w:val="auto"/>
              </w:rPr>
              <w:t>(46,398 )</w:t>
            </w:r>
          </w:p>
        </w:tc>
        <w:tc>
          <w:tcPr>
            <w:tcW w:w="2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(147 )</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-0.32 %</w:t>
            </w: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(20,500 )</w:t>
            </w: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(17,192 )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(3,308 )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-19.24 %</w:t>
            </w:r>
          </w:p>
        </w:tc>
      </w:tr>
      <w:tr>
        <w:trPr>
          <w:trHeight w:val="226"/>
        </w:trPr>
        <w:tc>
          <w:tcPr>
            <w:tcW w:w="5220" w:type="dxa"/>
            <w:vAlign w:val="bottom"/>
            <w:tcBorders>
              <w:top w:val="single" w:sz="8" w:color="CFF0FC"/>
            </w:tcBorders>
          </w:tcPr>
          <w:p>
            <w:pPr>
              <w:ind w:left="220"/>
              <w:spacing w:after="0"/>
              <w:rPr>
                <w:sz w:val="20"/>
                <w:szCs w:val="20"/>
                <w:color w:val="auto"/>
              </w:rPr>
            </w:pPr>
            <w:r>
              <w:rPr>
                <w:rFonts w:ascii="Arial" w:cs="Arial" w:eastAsia="Arial" w:hAnsi="Arial"/>
                <w:sz w:val="16"/>
                <w:szCs w:val="16"/>
                <w:color w:val="auto"/>
              </w:rPr>
              <w:t>Net earnings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51,179</w:t>
            </w:r>
          </w:p>
        </w:tc>
        <w:tc>
          <w:tcPr>
            <w:tcW w:w="44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41,631</w:t>
            </w:r>
          </w:p>
        </w:tc>
        <w:tc>
          <w:tcPr>
            <w:tcW w:w="4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9,548</w:t>
            </w:r>
          </w:p>
        </w:tc>
        <w:tc>
          <w:tcPr>
            <w:tcW w:w="42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22.93 %</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0"/>
        </w:trPr>
        <w:tc>
          <w:tcPr>
            <w:tcW w:w="522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0.38</w:t>
            </w:r>
          </w:p>
        </w:tc>
        <w:tc>
          <w:tcPr>
            <w:tcW w:w="4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0.31</w:t>
            </w:r>
          </w:p>
        </w:tc>
        <w:tc>
          <w:tcPr>
            <w:tcW w:w="4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280" w:type="dxa"/>
            <w:vAlign w:val="bottom"/>
          </w:tcPr>
          <w:p>
            <w:pPr>
              <w:spacing w:after="0"/>
              <w:rPr>
                <w:sz w:val="19"/>
                <w:szCs w:val="19"/>
                <w:color w:val="auto"/>
              </w:rPr>
            </w:pPr>
          </w:p>
        </w:tc>
        <w:tc>
          <w:tcPr>
            <w:tcW w:w="1400" w:type="dxa"/>
            <w:vAlign w:val="bottom"/>
            <w:gridSpan w:val="2"/>
          </w:tcPr>
          <w:p>
            <w:pPr>
              <w:jc w:val="right"/>
              <w:ind w:right="219"/>
              <w:spacing w:after="0"/>
              <w:rPr>
                <w:sz w:val="20"/>
                <w:szCs w:val="20"/>
                <w:color w:val="auto"/>
              </w:rPr>
            </w:pPr>
            <w:r>
              <w:rPr>
                <w:rFonts w:ascii="Arial" w:cs="Arial" w:eastAsia="Arial" w:hAnsi="Arial"/>
                <w:sz w:val="16"/>
                <w:szCs w:val="16"/>
                <w:color w:val="auto"/>
              </w:rPr>
              <w:t>1.35 %</w:t>
            </w:r>
          </w:p>
        </w:tc>
        <w:tc>
          <w:tcPr>
            <w:tcW w:w="2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1.33 %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0.02 %</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10.02 %</w:t>
            </w: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8.51 %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1.51 %</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280" w:type="dxa"/>
            <w:vAlign w:val="bottom"/>
          </w:tcPr>
          <w:p>
            <w:pPr>
              <w:spacing w:after="0"/>
              <w:rPr>
                <w:sz w:val="19"/>
                <w:szCs w:val="19"/>
                <w:color w:val="auto"/>
              </w:rPr>
            </w:pPr>
          </w:p>
        </w:tc>
        <w:tc>
          <w:tcPr>
            <w:tcW w:w="1400" w:type="dxa"/>
            <w:vAlign w:val="bottom"/>
            <w:gridSpan w:val="2"/>
          </w:tcPr>
          <w:p>
            <w:pPr>
              <w:jc w:val="right"/>
              <w:ind w:right="219"/>
              <w:spacing w:after="0"/>
              <w:rPr>
                <w:sz w:val="20"/>
                <w:szCs w:val="20"/>
                <w:color w:val="auto"/>
              </w:rPr>
            </w:pPr>
            <w:r>
              <w:rPr>
                <w:rFonts w:ascii="Arial" w:cs="Arial" w:eastAsia="Arial" w:hAnsi="Arial"/>
                <w:sz w:val="16"/>
                <w:szCs w:val="16"/>
                <w:color w:val="auto"/>
              </w:rPr>
              <w:t>40.05 %</w:t>
            </w:r>
          </w:p>
        </w:tc>
        <w:tc>
          <w:tcPr>
            <w:tcW w:w="2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39.75 %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0.30 %</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1.23 %</w:t>
            </w: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1.48 %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-0.25 %</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-1196340</wp:posOffset>
            </wp:positionV>
            <wp:extent cx="282575"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-1196340</wp:posOffset>
            </wp:positionV>
            <wp:extent cx="282575"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-1196340</wp:posOffset>
            </wp:positionV>
            <wp:extent cx="26543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65430" cy="571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Variance</w:t>
            </w:r>
          </w:p>
        </w:tc>
        <w:tc>
          <w:tcPr>
            <w:tcW w:w="7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2020</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r>
      <w:tr>
        <w:trPr>
          <w:trHeight w:val="220"/>
        </w:trPr>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20" w:type="dxa"/>
            <w:vAlign w:val="bottom"/>
            <w:gridSpan w:val="8"/>
          </w:tcPr>
          <w:p>
            <w:pPr>
              <w:ind w:left="6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208,856</w:t>
            </w:r>
          </w:p>
        </w:tc>
        <w:tc>
          <w:tcPr>
            <w:tcW w:w="4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206,875</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0.96 %</w:t>
            </w: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Recapture of (provision for) credit losses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21,500</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(23,500 )</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45,000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191.49 %</w:t>
            </w: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24,517</w:t>
            </w:r>
          </w:p>
        </w:tc>
        <w:tc>
          <w:tcPr>
            <w:tcW w:w="4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23,792</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3.05 %</w:t>
            </w: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80" w:type="dxa"/>
            <w:vAlign w:val="bottom"/>
          </w:tcPr>
          <w:p>
            <w:pPr>
              <w:spacing w:after="0"/>
              <w:rPr>
                <w:sz w:val="19"/>
                <w:szCs w:val="19"/>
                <w:color w:val="auto"/>
              </w:rPr>
            </w:pPr>
          </w:p>
        </w:tc>
        <w:tc>
          <w:tcPr>
            <w:tcW w:w="1400" w:type="dxa"/>
            <w:vAlign w:val="bottom"/>
            <w:gridSpan w:val="2"/>
          </w:tcPr>
          <w:p>
            <w:pPr>
              <w:jc w:val="right"/>
              <w:ind w:right="299"/>
              <w:spacing w:after="0"/>
              <w:rPr>
                <w:sz w:val="20"/>
                <w:szCs w:val="20"/>
                <w:color w:val="auto"/>
              </w:rPr>
            </w:pPr>
            <w:r>
              <w:rPr>
                <w:rFonts w:ascii="Arial" w:cs="Arial" w:eastAsia="Arial" w:hAnsi="Arial"/>
                <w:sz w:val="16"/>
                <w:szCs w:val="16"/>
                <w:color w:val="auto"/>
              </w:rPr>
              <w:t>(93,708 )</w:t>
            </w:r>
          </w:p>
        </w:tc>
        <w:tc>
          <w:tcPr>
            <w:tcW w:w="4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(95,039 )</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1.40 %</w:t>
            </w: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(46,093 )</w:t>
            </w:r>
          </w:p>
        </w:tc>
        <w:tc>
          <w:tcPr>
            <w:tcW w:w="4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(32,517 )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(13,576 )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-41.75 %</w:t>
            </w:r>
          </w:p>
        </w:tc>
      </w:tr>
      <w:tr>
        <w:trPr>
          <w:trHeight w:val="226"/>
        </w:trPr>
        <w:tc>
          <w:tcPr>
            <w:tcW w:w="5220" w:type="dxa"/>
            <w:vAlign w:val="bottom"/>
            <w:tcBorders>
              <w:top w:val="single" w:sz="8" w:color="CFF0FC"/>
            </w:tcBorders>
          </w:tcPr>
          <w:p>
            <w:pPr>
              <w:ind w:left="220"/>
              <w:spacing w:after="0"/>
              <w:rPr>
                <w:sz w:val="20"/>
                <w:szCs w:val="20"/>
                <w:color w:val="auto"/>
              </w:rPr>
            </w:pPr>
            <w:r>
              <w:rPr>
                <w:rFonts w:ascii="Arial" w:cs="Arial" w:eastAsia="Arial" w:hAnsi="Arial"/>
                <w:sz w:val="16"/>
                <w:szCs w:val="16"/>
                <w:color w:val="auto"/>
              </w:rPr>
              <w:t>Net earnings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115,072</w:t>
            </w:r>
          </w:p>
        </w:tc>
        <w:tc>
          <w:tcPr>
            <w:tcW w:w="44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79,611</w:t>
            </w:r>
          </w:p>
        </w:tc>
        <w:tc>
          <w:tcPr>
            <w:tcW w:w="4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35,461</w:t>
            </w:r>
          </w:p>
        </w:tc>
        <w:tc>
          <w:tcPr>
            <w:tcW w:w="42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44.54 %</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0"/>
        </w:trPr>
        <w:tc>
          <w:tcPr>
            <w:tcW w:w="522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0.85</w:t>
            </w:r>
          </w:p>
        </w:tc>
        <w:tc>
          <w:tcPr>
            <w:tcW w:w="44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0.58</w:t>
            </w:r>
          </w:p>
        </w:tc>
        <w:tc>
          <w:tcPr>
            <w:tcW w:w="4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0.27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0.85</w:t>
            </w:r>
          </w:p>
        </w:tc>
        <w:tc>
          <w:tcPr>
            <w:tcW w:w="4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0.58</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0.27</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280" w:type="dxa"/>
            <w:vAlign w:val="bottom"/>
          </w:tcPr>
          <w:p>
            <w:pPr>
              <w:spacing w:after="0"/>
              <w:rPr>
                <w:sz w:val="19"/>
                <w:szCs w:val="19"/>
                <w:color w:val="auto"/>
              </w:rPr>
            </w:pPr>
          </w:p>
        </w:tc>
        <w:tc>
          <w:tcPr>
            <w:tcW w:w="1400" w:type="dxa"/>
            <w:vAlign w:val="bottom"/>
            <w:gridSpan w:val="2"/>
          </w:tcPr>
          <w:p>
            <w:pPr>
              <w:jc w:val="right"/>
              <w:ind w:right="219"/>
              <w:spacing w:after="0"/>
              <w:rPr>
                <w:sz w:val="20"/>
                <w:szCs w:val="20"/>
                <w:color w:val="auto"/>
              </w:rPr>
            </w:pPr>
            <w:r>
              <w:rPr>
                <w:rFonts w:ascii="Arial" w:cs="Arial" w:eastAsia="Arial" w:hAnsi="Arial"/>
                <w:sz w:val="16"/>
                <w:szCs w:val="16"/>
                <w:color w:val="auto"/>
              </w:rPr>
              <w:t>1.56 %</w:t>
            </w:r>
          </w:p>
        </w:tc>
        <w:tc>
          <w:tcPr>
            <w:tcW w:w="4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1.33 %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0.23 %</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11.37 %</w:t>
            </w:r>
          </w:p>
        </w:tc>
        <w:tc>
          <w:tcPr>
            <w:tcW w:w="4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8.06 %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3.31 %</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280" w:type="dxa"/>
            <w:vAlign w:val="bottom"/>
          </w:tcPr>
          <w:p>
            <w:pPr>
              <w:spacing w:after="0"/>
              <w:rPr>
                <w:sz w:val="19"/>
                <w:szCs w:val="19"/>
                <w:color w:val="auto"/>
              </w:rPr>
            </w:pPr>
          </w:p>
        </w:tc>
        <w:tc>
          <w:tcPr>
            <w:tcW w:w="1400" w:type="dxa"/>
            <w:vAlign w:val="bottom"/>
            <w:gridSpan w:val="2"/>
          </w:tcPr>
          <w:p>
            <w:pPr>
              <w:jc w:val="right"/>
              <w:ind w:right="219"/>
              <w:spacing w:after="0"/>
              <w:rPr>
                <w:sz w:val="20"/>
                <w:szCs w:val="20"/>
                <w:color w:val="auto"/>
              </w:rPr>
            </w:pPr>
            <w:r>
              <w:rPr>
                <w:rFonts w:ascii="Arial" w:cs="Arial" w:eastAsia="Arial" w:hAnsi="Arial"/>
                <w:sz w:val="16"/>
                <w:szCs w:val="16"/>
                <w:color w:val="auto"/>
              </w:rPr>
              <w:t>40.15 %</w:t>
            </w:r>
          </w:p>
        </w:tc>
        <w:tc>
          <w:tcPr>
            <w:tcW w:w="4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41.20 %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-1.05 %</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1.27 %</w:t>
            </w:r>
          </w:p>
        </w:tc>
        <w:tc>
          <w:tcPr>
            <w:tcW w:w="4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1.59 %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-0.32 %</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-1196340</wp:posOffset>
            </wp:positionV>
            <wp:extent cx="282575"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-1196340</wp:posOffset>
            </wp:positionV>
            <wp:extent cx="28257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-1196340</wp:posOffset>
            </wp:positionV>
            <wp:extent cx="26543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6543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Return on Average Tangible Common Equity Reconciliation (Non-GAAP)</w:t>
      </w:r>
    </w:p>
    <w:p>
      <w:pPr>
        <w:spacing w:after="0" w:line="252" w:lineRule="exact"/>
        <w:rPr>
          <w:sz w:val="20"/>
          <w:szCs w:val="20"/>
          <w:color w:val="auto"/>
        </w:rPr>
      </w:pPr>
    </w:p>
    <w:p>
      <w:pPr>
        <w:ind w:right="120" w:firstLine="469"/>
        <w:spacing w:after="0" w:line="296" w:lineRule="auto"/>
        <w:rPr>
          <w:sz w:val="20"/>
          <w:szCs w:val="20"/>
          <w:color w:val="auto"/>
        </w:rPr>
      </w:pPr>
      <w:r>
        <w:rPr>
          <w:rFonts w:ascii="Arial" w:cs="Arial" w:eastAsia="Arial" w:hAnsi="Arial"/>
          <w:sz w:val="17"/>
          <w:szCs w:val="17"/>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Add: Amortization of intangible assets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Less: Tax effect of amortization of intangible assets (1)</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Tangible net income</w:t>
      </w:r>
    </w:p>
    <w:p>
      <w:pPr>
        <w:spacing w:after="0" w:line="244" w:lineRule="exact"/>
        <w:rPr>
          <w:sz w:val="20"/>
          <w:szCs w:val="20"/>
          <w:color w:val="auto"/>
        </w:rPr>
      </w:pPr>
    </w:p>
    <w:p>
      <w:pPr>
        <w:jc w:val="right"/>
        <w:ind w:right="2720"/>
        <w:spacing w:after="0"/>
        <w:rPr>
          <w:sz w:val="20"/>
          <w:szCs w:val="20"/>
          <w:color w:val="auto"/>
        </w:rPr>
      </w:pPr>
      <w:r>
        <w:rPr>
          <w:rFonts w:ascii="Arial" w:cs="Arial" w:eastAsia="Arial" w:hAnsi="Arial"/>
          <w:sz w:val="13"/>
          <w:szCs w:val="13"/>
          <w:color w:val="auto"/>
        </w:rPr>
        <w:t>Average stockholders' equity</w:t>
      </w:r>
    </w:p>
    <w:p>
      <w:pPr>
        <w:spacing w:after="0" w:line="53" w:lineRule="exact"/>
        <w:rPr>
          <w:sz w:val="20"/>
          <w:szCs w:val="20"/>
          <w:color w:val="auto"/>
        </w:rPr>
      </w:pPr>
    </w:p>
    <w:p>
      <w:pPr>
        <w:jc w:val="right"/>
        <w:ind w:right="2760"/>
        <w:spacing w:after="0"/>
        <w:rPr>
          <w:sz w:val="20"/>
          <w:szCs w:val="20"/>
          <w:color w:val="auto"/>
        </w:rPr>
      </w:pPr>
      <w:r>
        <w:rPr>
          <w:rFonts w:ascii="Arial" w:cs="Arial" w:eastAsia="Arial" w:hAnsi="Arial"/>
          <w:sz w:val="14"/>
          <w:szCs w:val="14"/>
          <w:color w:val="auto"/>
        </w:rPr>
        <w:t>Less: Average goodwill</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Less: Average intangible assets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Average tangible common equity</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Return on average equity, annualized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Return on average tangible common equity, annualized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r>
      <w:tr>
        <w:trPr>
          <w:trHeight w:val="190"/>
        </w:trPr>
        <w:tc>
          <w:tcPr>
            <w:tcW w:w="180" w:type="dxa"/>
            <w:vAlign w:val="bottom"/>
          </w:tcPr>
          <w:p>
            <w:pPr>
              <w:spacing w:after="0"/>
              <w:rPr>
                <w:sz w:val="16"/>
                <w:szCs w:val="16"/>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6"/>
                <w:szCs w:val="16"/>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June 30,</w:t>
            </w:r>
          </w:p>
        </w:tc>
      </w:tr>
      <w:tr>
        <w:trPr>
          <w:trHeight w:val="208"/>
        </w:trPr>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r>
      <w:tr>
        <w:trPr>
          <w:trHeight w:val="190"/>
        </w:trPr>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right"/>
              <w:ind w:right="28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51,179</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63,893</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41,631</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115,072</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79,611</w:t>
            </w:r>
          </w:p>
        </w:tc>
        <w:tc>
          <w:tcPr>
            <w:tcW w:w="1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2,167</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4,334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4,890</w:t>
            </w:r>
          </w:p>
        </w:tc>
        <w:tc>
          <w:tcPr>
            <w:tcW w:w="140" w:type="dxa"/>
            <w:vAlign w:val="bottom"/>
          </w:tcPr>
          <w:p>
            <w:pPr>
              <w:spacing w:after="0"/>
              <w:rPr>
                <w:sz w:val="17"/>
                <w:szCs w:val="17"/>
                <w:color w:val="auto"/>
              </w:rPr>
            </w:pPr>
          </w:p>
        </w:tc>
      </w:tr>
      <w:tr>
        <w:trPr>
          <w:trHeight w:val="208"/>
        </w:trPr>
        <w:tc>
          <w:tcPr>
            <w:tcW w:w="180" w:type="dxa"/>
            <w:vAlign w:val="bottom"/>
          </w:tcPr>
          <w:p>
            <w:pPr>
              <w:spacing w:after="0"/>
              <w:rPr>
                <w:sz w:val="18"/>
                <w:szCs w:val="18"/>
                <w:color w:val="auto"/>
              </w:rPr>
            </w:pPr>
          </w:p>
        </w:tc>
        <w:tc>
          <w:tcPr>
            <w:tcW w:w="1280" w:type="dxa"/>
            <w:vAlign w:val="bottom"/>
            <w:gridSpan w:val="2"/>
          </w:tcPr>
          <w:p>
            <w:pPr>
              <w:jc w:val="right"/>
              <w:ind w:right="268"/>
              <w:spacing w:after="0"/>
              <w:rPr>
                <w:sz w:val="20"/>
                <w:szCs w:val="20"/>
                <w:color w:val="auto"/>
              </w:rPr>
            </w:pPr>
            <w:r>
              <w:rPr>
                <w:rFonts w:ascii="Arial" w:cs="Arial" w:eastAsia="Arial" w:hAnsi="Arial"/>
                <w:sz w:val="14"/>
                <w:szCs w:val="14"/>
                <w:color w:val="auto"/>
              </w:rPr>
              <w:t>(641 )</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(641 )</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(723 )</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(1,281 )</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(1,446 )</w:t>
            </w:r>
          </w:p>
        </w:tc>
      </w:tr>
      <w:tr>
        <w:trPr>
          <w:trHeight w:val="196"/>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52,705</w:t>
            </w:r>
          </w:p>
        </w:tc>
        <w:tc>
          <w:tcPr>
            <w:tcW w:w="4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65,419</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43,353</w:t>
            </w: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118,125</w:t>
            </w: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83,055</w:t>
            </w:r>
          </w:p>
        </w:tc>
        <w:tc>
          <w:tcPr>
            <w:tcW w:w="140" w:type="dxa"/>
            <w:vAlign w:val="bottom"/>
          </w:tcPr>
          <w:p>
            <w:pPr>
              <w:spacing w:after="0"/>
              <w:rPr>
                <w:sz w:val="17"/>
                <w:szCs w:val="17"/>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9"/>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2,048,956</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2,032,676</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1,966,600</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2,040,861</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1,986,532</w:t>
            </w:r>
          </w:p>
        </w:tc>
        <w:tc>
          <w:tcPr>
            <w:tcW w:w="140" w:type="dxa"/>
            <w:vAlign w:val="bottom"/>
          </w:tcPr>
          <w:p>
            <w:pPr>
              <w:spacing w:after="0"/>
              <w:rPr>
                <w:sz w:val="24"/>
                <w:szCs w:val="24"/>
                <w:color w:val="auto"/>
              </w:rPr>
            </w:pPr>
          </w:p>
        </w:tc>
      </w:tr>
      <w:tr>
        <w:trPr>
          <w:trHeight w:val="202"/>
        </w:trPr>
        <w:tc>
          <w:tcPr>
            <w:tcW w:w="180" w:type="dxa"/>
            <w:vAlign w:val="bottom"/>
          </w:tcPr>
          <w:p>
            <w:pPr>
              <w:spacing w:after="0"/>
              <w:rPr>
                <w:sz w:val="17"/>
                <w:szCs w:val="17"/>
                <w:color w:val="auto"/>
              </w:rPr>
            </w:pPr>
          </w:p>
        </w:tc>
        <w:tc>
          <w:tcPr>
            <w:tcW w:w="1280" w:type="dxa"/>
            <w:vAlign w:val="bottom"/>
            <w:gridSpan w:val="2"/>
          </w:tcPr>
          <w:p>
            <w:pPr>
              <w:jc w:val="right"/>
              <w:ind w:right="268"/>
              <w:spacing w:after="0"/>
              <w:rPr>
                <w:sz w:val="20"/>
                <w:szCs w:val="20"/>
                <w:color w:val="auto"/>
              </w:rPr>
            </w:pPr>
            <w:r>
              <w:rPr>
                <w:rFonts w:ascii="Arial" w:cs="Arial" w:eastAsia="Arial" w:hAnsi="Arial"/>
                <w:sz w:val="14"/>
                <w:szCs w:val="14"/>
                <w:color w:val="auto"/>
              </w:rPr>
              <w:t>(663,707 )</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(663,707 )</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(663,707 )</w:t>
            </w:r>
          </w:p>
        </w:tc>
        <w:tc>
          <w:tcPr>
            <w:tcW w:w="1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(663,707 )</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(663,707 )</w:t>
            </w:r>
          </w:p>
        </w:tc>
      </w:tr>
      <w:tr>
        <w:trPr>
          <w:trHeight w:val="208"/>
        </w:trPr>
        <w:tc>
          <w:tcPr>
            <w:tcW w:w="180" w:type="dxa"/>
            <w:vAlign w:val="bottom"/>
          </w:tcPr>
          <w:p>
            <w:pPr>
              <w:spacing w:after="0"/>
              <w:rPr>
                <w:sz w:val="18"/>
                <w:szCs w:val="18"/>
                <w:color w:val="auto"/>
              </w:rPr>
            </w:pPr>
          </w:p>
        </w:tc>
        <w:tc>
          <w:tcPr>
            <w:tcW w:w="1280" w:type="dxa"/>
            <w:vAlign w:val="bottom"/>
            <w:gridSpan w:val="2"/>
          </w:tcPr>
          <w:p>
            <w:pPr>
              <w:jc w:val="right"/>
              <w:ind w:right="268"/>
              <w:spacing w:after="0"/>
              <w:rPr>
                <w:sz w:val="20"/>
                <w:szCs w:val="20"/>
                <w:color w:val="auto"/>
              </w:rPr>
            </w:pPr>
            <w:r>
              <w:rPr>
                <w:rFonts w:ascii="Arial" w:cs="Arial" w:eastAsia="Arial" w:hAnsi="Arial"/>
                <w:sz w:val="14"/>
                <w:szCs w:val="14"/>
                <w:color w:val="auto"/>
              </w:rPr>
              <w:t>(30,348 )</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(32,590 )</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(39,287 )</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(31,463 )</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(40,510 )</w:t>
            </w:r>
          </w:p>
        </w:tc>
      </w:tr>
      <w:tr>
        <w:trPr>
          <w:trHeight w:val="196"/>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1,354,901</w:t>
            </w:r>
          </w:p>
        </w:tc>
        <w:tc>
          <w:tcPr>
            <w:tcW w:w="4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1,336,379</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1,263,606</w:t>
            </w: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1,345,691</w:t>
            </w: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1,282,315</w:t>
            </w:r>
          </w:p>
        </w:tc>
        <w:tc>
          <w:tcPr>
            <w:tcW w:w="140" w:type="dxa"/>
            <w:vAlign w:val="bottom"/>
          </w:tcPr>
          <w:p>
            <w:pPr>
              <w:spacing w:after="0"/>
              <w:rPr>
                <w:sz w:val="17"/>
                <w:szCs w:val="17"/>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9"/>
        </w:trPr>
        <w:tc>
          <w:tcPr>
            <w:tcW w:w="180" w:type="dxa"/>
            <w:vAlign w:val="bottom"/>
          </w:tcPr>
          <w:p>
            <w:pPr>
              <w:spacing w:after="0"/>
              <w:rPr>
                <w:sz w:val="24"/>
                <w:szCs w:val="24"/>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4"/>
                <w:szCs w:val="14"/>
                <w:color w:val="auto"/>
              </w:rPr>
              <w:t>10.02 %</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12.75 %</w:t>
            </w:r>
          </w:p>
        </w:tc>
        <w:tc>
          <w:tcPr>
            <w:tcW w:w="14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8.51 %</w:t>
            </w:r>
          </w:p>
        </w:tc>
        <w:tc>
          <w:tcPr>
            <w:tcW w:w="1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11.37 %</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8.06 %</w:t>
            </w:r>
          </w:p>
        </w:tc>
      </w:tr>
      <w:tr>
        <w:trPr>
          <w:trHeight w:val="203"/>
        </w:trPr>
        <w:tc>
          <w:tcPr>
            <w:tcW w:w="180" w:type="dxa"/>
            <w:vAlign w:val="bottom"/>
          </w:tcPr>
          <w:p>
            <w:pPr>
              <w:spacing w:after="0"/>
              <w:rPr>
                <w:sz w:val="17"/>
                <w:szCs w:val="17"/>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4"/>
                <w:szCs w:val="14"/>
                <w:color w:val="auto"/>
              </w:rPr>
              <w:t>15.60 %</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19.85 %</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13.80 %</w:t>
            </w:r>
          </w:p>
        </w:tc>
        <w:tc>
          <w:tcPr>
            <w:tcW w:w="1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17.70 %</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-1603375</wp:posOffset>
            </wp:positionV>
            <wp:extent cx="7132320" cy="1289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-1346200</wp:posOffset>
            </wp:positionV>
            <wp:extent cx="7132320" cy="1371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-925830</wp:posOffset>
            </wp:positionV>
            <wp:extent cx="7132320" cy="1289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-668655</wp:posOffset>
            </wp:positionV>
            <wp:extent cx="7132320" cy="1371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-248920</wp:posOffset>
            </wp:positionV>
            <wp:extent cx="7132320" cy="1289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120"/>
          </w:cols>
          <w:pgMar w:left="320" w:top="638" w:right="339" w:bottom="1440" w:gutter="0" w:footer="0" w:header="0"/>
          <w:type w:val="continuous"/>
        </w:sectPr>
      </w:pPr>
    </w:p>
    <w:p>
      <w:pPr>
        <w:spacing w:after="0" w:line="32"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Tax effected at respective statutory rates.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firstLine="469"/>
        <w:spacing w:after="0" w:line="304" w:lineRule="auto"/>
        <w:rPr>
          <w:sz w:val="20"/>
          <w:szCs w:val="20"/>
          <w:color w:val="auto"/>
        </w:rPr>
      </w:pPr>
      <w:r>
        <w:rPr>
          <w:rFonts w:ascii="Arial" w:cs="Arial" w:eastAsia="Arial" w:hAnsi="Arial"/>
          <w:sz w:val="16"/>
          <w:szCs w:val="16"/>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six months ended June 30, 2021 and 2020.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Arial" w:cs="Arial" w:eastAsia="Arial" w:hAnsi="Arial"/>
          <w:sz w:val="16"/>
          <w:szCs w:val="16"/>
          <w:i w:val="1"/>
          <w:iCs w:val="1"/>
          <w:color w:val="auto"/>
        </w:rPr>
        <w:t>Management’s Discussion and Analysis of Financial Condition and Results of Operations – Asset/Liability and Market Risk Management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Interest Rate Sensitivity Management </w:t>
      </w:r>
      <w:r>
        <w:rPr>
          <w:rFonts w:ascii="Arial" w:cs="Arial" w:eastAsia="Arial" w:hAnsi="Arial"/>
          <w:sz w:val="16"/>
          <w:szCs w:val="16"/>
          <w:color w:val="auto"/>
        </w:rPr>
        <w:t>included 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9" w:name="page40"/>
    <w:bookmarkEnd w:id="39"/>
    <w:p>
      <w:pPr>
        <w:ind w:right="300" w:firstLine="469"/>
        <w:spacing w:after="0" w:line="279" w:lineRule="auto"/>
        <w:rPr>
          <w:sz w:val="20"/>
          <w:szCs w:val="20"/>
          <w:color w:val="auto"/>
        </w:rPr>
      </w:pPr>
      <w:r>
        <w:rPr>
          <w:rFonts w:ascii="Arial" w:cs="Arial" w:eastAsia="Arial" w:hAnsi="Arial"/>
          <w:sz w:val="18"/>
          <w:szCs w:val="18"/>
          <w:color w:val="auto"/>
        </w:rPr>
        <w:t>The tables below presents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Interest</w:t>
            </w:r>
          </w:p>
        </w:tc>
        <w:tc>
          <w:tcPr>
            <w:tcW w:w="300" w:type="dxa"/>
            <w:vAlign w:val="bottom"/>
          </w:tcPr>
          <w:p>
            <w:pPr>
              <w:spacing w:after="0"/>
              <w:rPr>
                <w:sz w:val="18"/>
                <w:szCs w:val="18"/>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gridSpan w:val="4"/>
          </w:tcPr>
          <w:p>
            <w:pPr>
              <w:ind w:left="1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INTEREST-EARNING ASSETS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280"/>
              <w:spacing w:after="0"/>
              <w:rPr>
                <w:sz w:val="20"/>
                <w:szCs w:val="20"/>
                <w:color w:val="auto"/>
              </w:rPr>
            </w:pPr>
            <w:r>
              <w:rPr>
                <w:rFonts w:ascii="Arial" w:cs="Arial" w:eastAsia="Arial" w:hAnsi="Arial"/>
                <w:sz w:val="14"/>
                <w:szCs w:val="14"/>
                <w:color w:val="auto"/>
              </w:rPr>
              <w:t>Investment securities (1)</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Available-for-sale securities: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780"/>
              <w:spacing w:after="0"/>
              <w:rPr>
                <w:sz w:val="20"/>
                <w:szCs w:val="20"/>
                <w:color w:val="auto"/>
              </w:rPr>
            </w:pPr>
            <w:r>
              <w:rPr>
                <w:rFonts w:ascii="Arial" w:cs="Arial" w:eastAsia="Arial" w:hAnsi="Arial"/>
                <w:sz w:val="14"/>
                <w:szCs w:val="14"/>
                <w:color w:val="auto"/>
              </w:rPr>
              <w:t>Taxable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2,832,787</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9,226</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1.35 %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1,580,483</w:t>
            </w: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8,244</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2.09 %</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780"/>
              <w:spacing w:after="0"/>
              <w:rPr>
                <w:sz w:val="20"/>
                <w:szCs w:val="20"/>
                <w:color w:val="auto"/>
              </w:rPr>
            </w:pPr>
            <w:r>
              <w:rPr>
                <w:rFonts w:ascii="Arial" w:cs="Arial" w:eastAsia="Arial" w:hAnsi="Arial"/>
                <w:sz w:val="14"/>
                <w:szCs w:val="14"/>
                <w:color w:val="auto"/>
              </w:rPr>
              <w:t>Tax-advantaged</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13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2.97 %</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36,424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3.27 %</w:t>
            </w:r>
          </w:p>
        </w:tc>
        <w:tc>
          <w:tcPr>
            <w:tcW w:w="0" w:type="dxa"/>
            <w:vAlign w:val="bottom"/>
          </w:tcPr>
          <w:p>
            <w:pPr>
              <w:spacing w:after="0"/>
              <w:rPr>
                <w:sz w:val="1"/>
                <w:szCs w:val="1"/>
                <w:color w:val="auto"/>
              </w:rPr>
            </w:pPr>
          </w:p>
        </w:tc>
      </w:tr>
      <w:tr>
        <w:trPr>
          <w:trHeight w:val="196"/>
        </w:trPr>
        <w:tc>
          <w:tcPr>
            <w:tcW w:w="4480" w:type="dxa"/>
            <w:vAlign w:val="bottom"/>
          </w:tcPr>
          <w:p>
            <w:pPr>
              <w:ind w:left="520"/>
              <w:spacing w:after="0"/>
              <w:rPr>
                <w:sz w:val="20"/>
                <w:szCs w:val="20"/>
                <w:color w:val="auto"/>
              </w:rPr>
            </w:pPr>
            <w:r>
              <w:rPr>
                <w:rFonts w:ascii="Arial" w:cs="Arial" w:eastAsia="Arial" w:hAnsi="Arial"/>
                <w:sz w:val="14"/>
                <w:szCs w:val="14"/>
                <w:color w:val="auto"/>
              </w:rPr>
              <w:t>Held-to-maturity securities: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780"/>
              <w:spacing w:after="0"/>
              <w:rPr>
                <w:sz w:val="20"/>
                <w:szCs w:val="20"/>
                <w:color w:val="auto"/>
              </w:rPr>
            </w:pPr>
            <w:r>
              <w:rPr>
                <w:rFonts w:ascii="Arial" w:cs="Arial" w:eastAsia="Arial" w:hAnsi="Arial"/>
                <w:sz w:val="14"/>
                <w:szCs w:val="14"/>
                <w:color w:val="auto"/>
              </w:rPr>
              <w:t>Taxable</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859,175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4,007</w:t>
            </w:r>
          </w:p>
        </w:tc>
        <w:tc>
          <w:tcPr>
            <w:tcW w:w="13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1.87 %</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448,667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2,447</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2.18 %</w:t>
            </w:r>
          </w:p>
        </w:tc>
        <w:tc>
          <w:tcPr>
            <w:tcW w:w="0" w:type="dxa"/>
            <w:vAlign w:val="bottom"/>
          </w:tcPr>
          <w:p>
            <w:pPr>
              <w:spacing w:after="0"/>
              <w:rPr>
                <w:sz w:val="1"/>
                <w:szCs w:val="1"/>
                <w:color w:val="auto"/>
              </w:rPr>
            </w:pPr>
          </w:p>
        </w:tc>
      </w:tr>
      <w:tr>
        <w:trPr>
          <w:trHeight w:val="196"/>
        </w:trPr>
        <w:tc>
          <w:tcPr>
            <w:tcW w:w="4480" w:type="dxa"/>
            <w:vAlign w:val="bottom"/>
          </w:tcPr>
          <w:p>
            <w:pPr>
              <w:ind w:left="780"/>
              <w:spacing w:after="0"/>
              <w:rPr>
                <w:sz w:val="20"/>
                <w:szCs w:val="20"/>
                <w:color w:val="auto"/>
              </w:rPr>
            </w:pPr>
            <w:r>
              <w:rPr>
                <w:rFonts w:ascii="Arial" w:cs="Arial" w:eastAsia="Arial" w:hAnsi="Arial"/>
                <w:sz w:val="14"/>
                <w:szCs w:val="14"/>
                <w:color w:val="auto"/>
              </w:rPr>
              <w:t>Tax-advantaged</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203,667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1,123</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2.67 %</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177,890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1,213</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3.30 %</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Investment in FHLB stock</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13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6.42 %</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4.87 %</w:t>
            </w:r>
          </w:p>
        </w:tc>
        <w:tc>
          <w:tcPr>
            <w:tcW w:w="0" w:type="dxa"/>
            <w:vAlign w:val="bottom"/>
          </w:tcPr>
          <w:p>
            <w:pPr>
              <w:spacing w:after="0"/>
              <w:rPr>
                <w:sz w:val="1"/>
                <w:szCs w:val="1"/>
                <w:color w:val="auto"/>
              </w:rPr>
            </w:pPr>
          </w:p>
        </w:tc>
      </w:tr>
      <w:tr>
        <w:trPr>
          <w:trHeight w:val="196"/>
        </w:trPr>
        <w:tc>
          <w:tcPr>
            <w:tcW w:w="4480" w:type="dxa"/>
            <w:vAlign w:val="bottom"/>
          </w:tcPr>
          <w:p>
            <w:pPr>
              <w:ind w:left="280"/>
              <w:spacing w:after="0"/>
              <w:rPr>
                <w:sz w:val="20"/>
                <w:szCs w:val="20"/>
                <w:color w:val="auto"/>
              </w:rPr>
            </w:pPr>
            <w:r>
              <w:rPr>
                <w:rFonts w:ascii="Arial" w:cs="Arial" w:eastAsia="Arial" w:hAnsi="Arial"/>
                <w:sz w:val="14"/>
                <w:szCs w:val="14"/>
                <w:color w:val="auto"/>
              </w:rPr>
              <w:t>Interest-earning deposits with other institutions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1,738,785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479</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0.11 %</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1,080,433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283</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0.11 %</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Loans (2)</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8,249,481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91,726</w:t>
            </w:r>
          </w:p>
        </w:tc>
        <w:tc>
          <w:tcPr>
            <w:tcW w:w="1340" w:type="dxa"/>
            <w:vAlign w:val="bottom"/>
            <w:tcBorders>
              <w:bottom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4.46 %</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8,047,054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95,352</w:t>
            </w:r>
          </w:p>
        </w:tc>
        <w:tc>
          <w:tcPr>
            <w:tcW w:w="11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4.77 %</w:t>
            </w:r>
          </w:p>
        </w:tc>
        <w:tc>
          <w:tcPr>
            <w:tcW w:w="0" w:type="dxa"/>
            <w:vAlign w:val="bottom"/>
          </w:tcPr>
          <w:p>
            <w:pPr>
              <w:spacing w:after="0"/>
              <w:rPr>
                <w:sz w:val="1"/>
                <w:szCs w:val="1"/>
                <w:color w:val="auto"/>
              </w:rPr>
            </w:pPr>
          </w:p>
        </w:tc>
      </w:tr>
      <w:tr>
        <w:trPr>
          <w:trHeight w:val="190"/>
        </w:trPr>
        <w:tc>
          <w:tcPr>
            <w:tcW w:w="4480" w:type="dxa"/>
            <w:vAlign w:val="bottom"/>
          </w:tcPr>
          <w:p>
            <w:pPr>
              <w:ind w:left="280"/>
              <w:spacing w:after="0"/>
              <w:rPr>
                <w:sz w:val="20"/>
                <w:szCs w:val="20"/>
                <w:color w:val="auto"/>
              </w:rPr>
            </w:pPr>
            <w:r>
              <w:rPr>
                <w:rFonts w:ascii="Arial" w:cs="Arial" w:eastAsia="Arial" w:hAnsi="Arial"/>
                <w:sz w:val="14"/>
                <w:szCs w:val="14"/>
                <w:color w:val="auto"/>
              </w:rPr>
              <w:t>Total interest-earning assets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13,931,348</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107,028</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3.11 %</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11,388,639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107,958</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3.82 %</w:t>
            </w:r>
          </w:p>
        </w:tc>
        <w:tc>
          <w:tcPr>
            <w:tcW w:w="0" w:type="dxa"/>
            <w:vAlign w:val="bottom"/>
          </w:tcPr>
          <w:p>
            <w:pPr>
              <w:spacing w:after="0"/>
              <w:rPr>
                <w:sz w:val="1"/>
                <w:szCs w:val="1"/>
                <w:color w:val="auto"/>
              </w:rPr>
            </w:pPr>
          </w:p>
        </w:tc>
      </w:tr>
      <w:tr>
        <w:trPr>
          <w:trHeight w:val="208"/>
        </w:trPr>
        <w:tc>
          <w:tcPr>
            <w:tcW w:w="4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Total noninterest-earning assets</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1,258,796</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1,222,416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15,190,144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12,611,055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LIABILITIES</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280"/>
              <w:spacing w:after="0"/>
              <w:rPr>
                <w:sz w:val="20"/>
                <w:szCs w:val="20"/>
                <w:color w:val="auto"/>
              </w:rPr>
            </w:pPr>
            <w:r>
              <w:rPr>
                <w:rFonts w:ascii="Arial" w:cs="Arial" w:eastAsia="Arial" w:hAnsi="Arial"/>
                <w:sz w:val="14"/>
                <w:szCs w:val="14"/>
                <w:color w:val="auto"/>
              </w:rPr>
              <w:t>Savings deposits (3)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4,231,812</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1,098</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0.10 %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3,393,105</w:t>
            </w: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2,010</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0.24 %</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Time deposits</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401,291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w:t>
            </w:r>
          </w:p>
        </w:tc>
        <w:tc>
          <w:tcPr>
            <w:tcW w:w="1340" w:type="dxa"/>
            <w:vAlign w:val="bottom"/>
            <w:tcBorders>
              <w:bottom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0.33 %</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450,920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985</w:t>
            </w:r>
          </w:p>
        </w:tc>
        <w:tc>
          <w:tcPr>
            <w:tcW w:w="11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0.88 %</w:t>
            </w:r>
          </w:p>
        </w:tc>
        <w:tc>
          <w:tcPr>
            <w:tcW w:w="0" w:type="dxa"/>
            <w:vAlign w:val="bottom"/>
          </w:tcPr>
          <w:p>
            <w:pPr>
              <w:spacing w:after="0"/>
              <w:rPr>
                <w:sz w:val="1"/>
                <w:szCs w:val="1"/>
                <w:color w:val="auto"/>
              </w:rPr>
            </w:pPr>
          </w:p>
        </w:tc>
      </w:tr>
      <w:tr>
        <w:trPr>
          <w:trHeight w:val="190"/>
        </w:trPr>
        <w:tc>
          <w:tcPr>
            <w:tcW w:w="4480" w:type="dxa"/>
            <w:vAlign w:val="bottom"/>
          </w:tcPr>
          <w:p>
            <w:pPr>
              <w:ind w:left="520"/>
              <w:spacing w:after="0"/>
              <w:rPr>
                <w:sz w:val="20"/>
                <w:szCs w:val="20"/>
                <w:color w:val="auto"/>
              </w:rPr>
            </w:pPr>
            <w:r>
              <w:rPr>
                <w:rFonts w:ascii="Arial" w:cs="Arial" w:eastAsia="Arial" w:hAnsi="Arial"/>
                <w:sz w:val="14"/>
                <w:szCs w:val="14"/>
                <w:color w:val="auto"/>
              </w:rPr>
              <w:t>Total interest-bearing deposits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4,633,103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1,425</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0.12 %</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3,844,025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2,995</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0.31 %</w:t>
            </w:r>
          </w:p>
        </w:tc>
        <w:tc>
          <w:tcPr>
            <w:tcW w:w="0" w:type="dxa"/>
            <w:vAlign w:val="bottom"/>
          </w:tcPr>
          <w:p>
            <w:pPr>
              <w:spacing w:after="0"/>
              <w:rPr>
                <w:sz w:val="1"/>
                <w:szCs w:val="1"/>
                <w:color w:val="auto"/>
              </w:rPr>
            </w:pPr>
          </w:p>
        </w:tc>
      </w:tr>
      <w:tr>
        <w:trPr>
          <w:trHeight w:val="190"/>
        </w:trPr>
        <w:tc>
          <w:tcPr>
            <w:tcW w:w="4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FHLB advances, other borrowings, and customer</w:t>
            </w:r>
          </w:p>
        </w:tc>
        <w:tc>
          <w:tcPr>
            <w:tcW w:w="20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607,977</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3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472,335</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394</w:t>
            </w: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repurchase agreements</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1340" w:type="dxa"/>
            <w:vAlign w:val="bottom"/>
            <w:tcBorders>
              <w:bottom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0.14 %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11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0.33 %</w:t>
            </w:r>
          </w:p>
        </w:tc>
        <w:tc>
          <w:tcPr>
            <w:tcW w:w="0" w:type="dxa"/>
            <w:vAlign w:val="bottom"/>
          </w:tcPr>
          <w:p>
            <w:pPr>
              <w:spacing w:after="0"/>
              <w:rPr>
                <w:sz w:val="1"/>
                <w:szCs w:val="1"/>
                <w:color w:val="auto"/>
              </w:rPr>
            </w:pPr>
          </w:p>
        </w:tc>
      </w:tr>
      <w:tr>
        <w:trPr>
          <w:trHeight w:val="196"/>
        </w:trPr>
        <w:tc>
          <w:tcPr>
            <w:tcW w:w="4480" w:type="dxa"/>
            <w:vAlign w:val="bottom"/>
          </w:tcPr>
          <w:p>
            <w:pPr>
              <w:ind w:left="280"/>
              <w:spacing w:after="0"/>
              <w:rPr>
                <w:sz w:val="20"/>
                <w:szCs w:val="20"/>
                <w:color w:val="auto"/>
              </w:rPr>
            </w:pPr>
            <w:r>
              <w:rPr>
                <w:rFonts w:ascii="Arial" w:cs="Arial" w:eastAsia="Arial" w:hAnsi="Arial"/>
                <w:sz w:val="14"/>
                <w:szCs w:val="14"/>
                <w:color w:val="auto"/>
              </w:rPr>
              <w:t>Interest-bearing liabilities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5,241,080</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0.13 %</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4,316,360</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0.32 %</w:t>
            </w: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7,698,640</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6,204,329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201,468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123,766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Stockholders' equity</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2,048,956</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1,966,600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15,190,144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12,611,055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105,388</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ind w:lef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104,569</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4480" w:type="dxa"/>
            <w:vAlign w:val="bottom"/>
            <w:tcBorders>
              <w:top w:val="single" w:sz="8" w:color="CFF0FC"/>
            </w:tcBorders>
          </w:tcPr>
          <w:p>
            <w:pPr>
              <w:ind w:left="300"/>
              <w:spacing w:after="0"/>
              <w:rPr>
                <w:sz w:val="20"/>
                <w:szCs w:val="20"/>
                <w:color w:val="auto"/>
              </w:rPr>
            </w:pPr>
            <w:r>
              <w:rPr>
                <w:rFonts w:ascii="Arial" w:cs="Arial" w:eastAsia="Arial" w:hAnsi="Arial"/>
                <w:sz w:val="14"/>
                <w:szCs w:val="14"/>
                <w:color w:val="auto"/>
              </w:rPr>
              <w:t>Net interest spread - tax equivalent</w:t>
            </w:r>
          </w:p>
        </w:tc>
        <w:tc>
          <w:tcPr>
            <w:tcW w:w="20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40" w:type="dxa"/>
            <w:vAlign w:val="bottom"/>
            <w:tcBorders>
              <w:top w:val="single" w:sz="8" w:color="CFF0FC"/>
            </w:tcBorders>
            <w:gridSpan w:val="3"/>
          </w:tcPr>
          <w:p>
            <w:pPr>
              <w:jc w:val="right"/>
              <w:ind w:right="280"/>
              <w:spacing w:after="0"/>
              <w:rPr>
                <w:sz w:val="20"/>
                <w:szCs w:val="20"/>
                <w:color w:val="auto"/>
              </w:rPr>
            </w:pPr>
            <w:r>
              <w:rPr>
                <w:rFonts w:ascii="Arial" w:cs="Arial" w:eastAsia="Arial" w:hAnsi="Arial"/>
                <w:sz w:val="14"/>
                <w:szCs w:val="14"/>
                <w:color w:val="auto"/>
              </w:rPr>
              <w:t>2.98 %</w:t>
            </w:r>
          </w:p>
        </w:tc>
        <w:tc>
          <w:tcPr>
            <w:tcW w:w="18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100" w:type="dxa"/>
            <w:vAlign w:val="bottom"/>
            <w:tcBorders>
              <w:top w:val="single" w:sz="8" w:color="CFF0FC"/>
            </w:tcBorders>
            <w:gridSpan w:val="3"/>
          </w:tcPr>
          <w:p>
            <w:pPr>
              <w:jc w:val="right"/>
              <w:ind w:right="80"/>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208"/>
        </w:trPr>
        <w:tc>
          <w:tcPr>
            <w:tcW w:w="44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interest margin</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3.05 %</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3.69 %</w:t>
            </w:r>
          </w:p>
        </w:tc>
        <w:tc>
          <w:tcPr>
            <w:tcW w:w="0" w:type="dxa"/>
            <w:vAlign w:val="bottom"/>
          </w:tcPr>
          <w:p>
            <w:pPr>
              <w:spacing w:after="0"/>
              <w:rPr>
                <w:sz w:val="1"/>
                <w:szCs w:val="1"/>
                <w:color w:val="auto"/>
              </w:rPr>
            </w:pPr>
          </w:p>
        </w:tc>
      </w:tr>
      <w:tr>
        <w:trPr>
          <w:trHeight w:val="191"/>
        </w:trPr>
        <w:tc>
          <w:tcPr>
            <w:tcW w:w="4480" w:type="dxa"/>
            <w:vAlign w:val="bottom"/>
          </w:tcPr>
          <w:p>
            <w:pPr>
              <w:ind w:left="300"/>
              <w:spacing w:after="0"/>
              <w:rPr>
                <w:sz w:val="20"/>
                <w:szCs w:val="20"/>
                <w:color w:val="auto"/>
              </w:rPr>
            </w:pPr>
            <w:r>
              <w:rPr>
                <w:rFonts w:ascii="Arial" w:cs="Arial" w:eastAsia="Arial" w:hAnsi="Arial"/>
                <w:sz w:val="14"/>
                <w:szCs w:val="14"/>
                <w:color w:val="auto"/>
              </w:rPr>
              <w:t>Net interest margin - tax equivalent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3.06 %</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3.70 %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-2792095</wp:posOffset>
            </wp:positionV>
            <wp:extent cx="188595"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-2792095</wp:posOffset>
            </wp:positionV>
            <wp:extent cx="188595"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-2792095</wp:posOffset>
            </wp:positionV>
            <wp:extent cx="17145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-2792095</wp:posOffset>
            </wp:positionV>
            <wp:extent cx="17145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-2526030</wp:posOffset>
            </wp:positionV>
            <wp:extent cx="188595"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-2526030</wp:posOffset>
            </wp:positionV>
            <wp:extent cx="17145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-1849120</wp:posOffset>
            </wp:positionV>
            <wp:extent cx="188595"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-1849120</wp:posOffset>
            </wp:positionV>
            <wp:extent cx="188595"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-1849120</wp:posOffset>
            </wp:positionV>
            <wp:extent cx="17145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-1849120</wp:posOffset>
            </wp:positionV>
            <wp:extent cx="171450"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-1480185</wp:posOffset>
            </wp:positionV>
            <wp:extent cx="188595"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-1480185</wp:posOffset>
            </wp:positionV>
            <wp:extent cx="18859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-1480185</wp:posOffset>
            </wp:positionV>
            <wp:extent cx="171450"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-1480185</wp:posOffset>
            </wp:positionV>
            <wp:extent cx="171450"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-948690</wp:posOffset>
            </wp:positionV>
            <wp:extent cx="188595"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-948690</wp:posOffset>
            </wp:positionV>
            <wp:extent cx="17145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-532130</wp:posOffset>
            </wp:positionV>
            <wp:extent cx="18859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-514985</wp:posOffset>
            </wp:positionV>
            <wp:extent cx="18859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-532130</wp:posOffset>
            </wp:positionV>
            <wp:extent cx="17145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-514985</wp:posOffset>
            </wp:positionV>
            <wp:extent cx="17145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5" w:lineRule="exact"/>
        <w:rPr>
          <w:sz w:val="20"/>
          <w:szCs w:val="20"/>
          <w:color w:val="auto"/>
        </w:rPr>
      </w:pPr>
    </w:p>
    <w:p>
      <w:pPr>
        <w:ind w:left="980" w:right="120" w:hanging="409"/>
        <w:spacing w:after="0" w:line="266" w:lineRule="auto"/>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tax equivalent (TE) adjustments utilizing federal statutory rates of 21% in effect for the three months ended June 30, 2021 and 2020. The non TE rates were 1.52% and 2.16% for the three months ended June 30, 2021 and 2020, respectively.</w:t>
      </w:r>
    </w:p>
    <w:p>
      <w:pPr>
        <w:ind w:left="980" w:right="20" w:hanging="403"/>
        <w:spacing w:after="0" w:line="261" w:lineRule="auto"/>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loan fees of $6.7 million and $7.3 million for the three months ended June 30, 2021 and 2020, respectively. Prepayment penalty fees of $3.4 million and $2.1 million are included in interest income for the three months ended June 30, 2021 and 2020, respectively.</w:t>
      </w:r>
    </w:p>
    <w:p>
      <w:pPr>
        <w:ind w:left="980" w:hanging="409"/>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interest-bearing demand and money market accounts.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Yield/</w:t>
            </w:r>
          </w:p>
        </w:tc>
        <w:tc>
          <w:tcPr>
            <w:tcW w:w="18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4"/>
          </w:tcPr>
          <w:p>
            <w:pPr>
              <w:jc w:val="right"/>
              <w:ind w:right="548"/>
              <w:spacing w:after="0"/>
              <w:rPr>
                <w:sz w:val="20"/>
                <w:szCs w:val="20"/>
                <w:color w:val="auto"/>
              </w:rPr>
            </w:pPr>
            <w:r>
              <w:rPr>
                <w:rFonts w:ascii="Arial" w:cs="Arial" w:eastAsia="Arial" w:hAnsi="Arial"/>
                <w:sz w:val="14"/>
                <w:szCs w:val="14"/>
                <w:i w:val="1"/>
                <w:iCs w:val="1"/>
                <w:color w:val="auto"/>
                <w:w w:val="96"/>
              </w:rPr>
              <w:t>(Dollars in thousands)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INTEREST-EARNING ASSETS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280"/>
              <w:spacing w:after="0"/>
              <w:rPr>
                <w:sz w:val="20"/>
                <w:szCs w:val="20"/>
                <w:color w:val="auto"/>
              </w:rPr>
            </w:pPr>
            <w:r>
              <w:rPr>
                <w:rFonts w:ascii="Arial" w:cs="Arial" w:eastAsia="Arial" w:hAnsi="Arial"/>
                <w:sz w:val="14"/>
                <w:szCs w:val="14"/>
                <w:color w:val="auto"/>
              </w:rPr>
              <w:t>Investment securities (1)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Available-for-sale securities: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780"/>
              <w:spacing w:after="0"/>
              <w:rPr>
                <w:sz w:val="20"/>
                <w:szCs w:val="20"/>
                <w:color w:val="auto"/>
              </w:rPr>
            </w:pPr>
            <w:r>
              <w:rPr>
                <w:rFonts w:ascii="Arial" w:cs="Arial" w:eastAsia="Arial" w:hAnsi="Arial"/>
                <w:sz w:val="14"/>
                <w:szCs w:val="14"/>
                <w:color w:val="auto"/>
              </w:rPr>
              <w:t>Taxable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2,679,052</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18,194</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1.41 %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1,619,929</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18,069</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2.23 %</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780"/>
              <w:spacing w:after="0"/>
              <w:rPr>
                <w:sz w:val="20"/>
                <w:szCs w:val="20"/>
                <w:color w:val="auto"/>
              </w:rPr>
            </w:pPr>
            <w:r>
              <w:rPr>
                <w:rFonts w:ascii="Arial" w:cs="Arial" w:eastAsia="Arial" w:hAnsi="Arial"/>
                <w:sz w:val="14"/>
                <w:szCs w:val="14"/>
                <w:color w:val="auto"/>
              </w:rPr>
              <w:t>Tax-advantaged</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29,961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2.99 %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37,256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3.32 %</w:t>
            </w:r>
          </w:p>
        </w:tc>
        <w:tc>
          <w:tcPr>
            <w:tcW w:w="0" w:type="dxa"/>
            <w:vAlign w:val="bottom"/>
          </w:tcPr>
          <w:p>
            <w:pPr>
              <w:spacing w:after="0"/>
              <w:rPr>
                <w:sz w:val="1"/>
                <w:szCs w:val="1"/>
                <w:color w:val="auto"/>
              </w:rPr>
            </w:pPr>
          </w:p>
        </w:tc>
      </w:tr>
      <w:tr>
        <w:trPr>
          <w:trHeight w:val="197"/>
        </w:trPr>
        <w:tc>
          <w:tcPr>
            <w:tcW w:w="4280" w:type="dxa"/>
            <w:vAlign w:val="bottom"/>
          </w:tcPr>
          <w:p>
            <w:pPr>
              <w:ind w:left="520"/>
              <w:spacing w:after="0"/>
              <w:rPr>
                <w:sz w:val="20"/>
                <w:szCs w:val="20"/>
                <w:color w:val="auto"/>
              </w:rPr>
            </w:pPr>
            <w:r>
              <w:rPr>
                <w:rFonts w:ascii="Arial" w:cs="Arial" w:eastAsia="Arial" w:hAnsi="Arial"/>
                <w:sz w:val="14"/>
                <w:szCs w:val="14"/>
                <w:color w:val="auto"/>
              </w:rPr>
              <w:t>Held-to-maturity securities: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780"/>
              <w:spacing w:after="0"/>
              <w:rPr>
                <w:sz w:val="20"/>
                <w:szCs w:val="20"/>
                <w:color w:val="auto"/>
              </w:rPr>
            </w:pPr>
            <w:r>
              <w:rPr>
                <w:rFonts w:ascii="Arial" w:cs="Arial" w:eastAsia="Arial" w:hAnsi="Arial"/>
                <w:sz w:val="14"/>
                <w:szCs w:val="14"/>
                <w:color w:val="auto"/>
              </w:rPr>
              <w:t>Taxable</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720,596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6,818</w:t>
            </w: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1.90 %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459,039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5,145</w:t>
            </w: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2.24 %</w:t>
            </w:r>
          </w:p>
        </w:tc>
        <w:tc>
          <w:tcPr>
            <w:tcW w:w="0" w:type="dxa"/>
            <w:vAlign w:val="bottom"/>
          </w:tcPr>
          <w:p>
            <w:pPr>
              <w:spacing w:after="0"/>
              <w:rPr>
                <w:sz w:val="1"/>
                <w:szCs w:val="1"/>
                <w:color w:val="auto"/>
              </w:rPr>
            </w:pPr>
          </w:p>
        </w:tc>
      </w:tr>
      <w:tr>
        <w:trPr>
          <w:trHeight w:val="197"/>
        </w:trPr>
        <w:tc>
          <w:tcPr>
            <w:tcW w:w="4280" w:type="dxa"/>
            <w:vAlign w:val="bottom"/>
          </w:tcPr>
          <w:p>
            <w:pPr>
              <w:ind w:left="780"/>
              <w:spacing w:after="0"/>
              <w:rPr>
                <w:sz w:val="20"/>
                <w:szCs w:val="20"/>
                <w:color w:val="auto"/>
              </w:rPr>
            </w:pPr>
            <w:r>
              <w:rPr>
                <w:rFonts w:ascii="Arial" w:cs="Arial" w:eastAsia="Arial" w:hAnsi="Arial"/>
                <w:sz w:val="14"/>
                <w:szCs w:val="14"/>
                <w:color w:val="auto"/>
              </w:rPr>
              <w:t>Tax-advantaged</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201,519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2,252</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2.70 %</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183,706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2,513</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3.31 %</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Investment in FHLB stock</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5.70 %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w:t>
            </w: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6.21 %</w:t>
            </w:r>
          </w:p>
        </w:tc>
        <w:tc>
          <w:tcPr>
            <w:tcW w:w="0" w:type="dxa"/>
            <w:vAlign w:val="bottom"/>
          </w:tcPr>
          <w:p>
            <w:pPr>
              <w:spacing w:after="0"/>
              <w:rPr>
                <w:sz w:val="1"/>
                <w:szCs w:val="1"/>
                <w:color w:val="auto"/>
              </w:rPr>
            </w:pPr>
          </w:p>
        </w:tc>
      </w:tr>
      <w:tr>
        <w:trPr>
          <w:trHeight w:val="197"/>
        </w:trPr>
        <w:tc>
          <w:tcPr>
            <w:tcW w:w="4280" w:type="dxa"/>
            <w:vAlign w:val="bottom"/>
          </w:tcPr>
          <w:p>
            <w:pPr>
              <w:ind w:left="280"/>
              <w:spacing w:after="0"/>
              <w:rPr>
                <w:sz w:val="20"/>
                <w:szCs w:val="20"/>
                <w:color w:val="auto"/>
              </w:rPr>
            </w:pPr>
            <w:r>
              <w:rPr>
                <w:rFonts w:ascii="Arial" w:cs="Arial" w:eastAsia="Arial" w:hAnsi="Arial"/>
                <w:sz w:val="14"/>
                <w:szCs w:val="14"/>
                <w:color w:val="auto"/>
              </w:rPr>
              <w:t>Interest-earning deposits with other institutions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1,701,695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892</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0.11 %</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670,737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896</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0.27 %</w:t>
            </w:r>
          </w:p>
        </w:tc>
        <w:tc>
          <w:tcPr>
            <w:tcW w:w="0" w:type="dxa"/>
            <w:vAlign w:val="bottom"/>
          </w:tcPr>
          <w:p>
            <w:pPr>
              <w:spacing w:after="0"/>
              <w:rPr>
                <w:sz w:val="1"/>
                <w:szCs w:val="1"/>
                <w:color w:val="auto"/>
              </w:rPr>
            </w:pPr>
          </w:p>
        </w:tc>
      </w:tr>
      <w:tr>
        <w:trPr>
          <w:trHeight w:val="208"/>
        </w:trPr>
        <w:tc>
          <w:tcPr>
            <w:tcW w:w="4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Loans (2)</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8,259,824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183,521</w:t>
            </w:r>
          </w:p>
        </w:tc>
        <w:tc>
          <w:tcPr>
            <w:tcW w:w="124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4.48 %</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7,764,930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187,469</w:t>
            </w:r>
          </w:p>
        </w:tc>
        <w:tc>
          <w:tcPr>
            <w:tcW w:w="10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4.85 %</w:t>
            </w:r>
          </w:p>
        </w:tc>
        <w:tc>
          <w:tcPr>
            <w:tcW w:w="0" w:type="dxa"/>
            <w:vAlign w:val="bottom"/>
          </w:tcPr>
          <w:p>
            <w:pPr>
              <w:spacing w:after="0"/>
              <w:rPr>
                <w:sz w:val="1"/>
                <w:szCs w:val="1"/>
                <w:color w:val="auto"/>
              </w:rPr>
            </w:pPr>
          </w:p>
        </w:tc>
      </w:tr>
      <w:tr>
        <w:trPr>
          <w:trHeight w:val="190"/>
        </w:trPr>
        <w:tc>
          <w:tcPr>
            <w:tcW w:w="4280" w:type="dxa"/>
            <w:vAlign w:val="bottom"/>
          </w:tcPr>
          <w:p>
            <w:pPr>
              <w:ind w:left="280"/>
              <w:spacing w:after="0"/>
              <w:rPr>
                <w:sz w:val="20"/>
                <w:szCs w:val="20"/>
                <w:color w:val="auto"/>
              </w:rPr>
            </w:pPr>
            <w:r>
              <w:rPr>
                <w:rFonts w:ascii="Arial" w:cs="Arial" w:eastAsia="Arial" w:hAnsi="Arial"/>
                <w:sz w:val="14"/>
                <w:szCs w:val="14"/>
                <w:color w:val="auto"/>
              </w:rPr>
              <w:t>Total interest-earning assets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13,610,335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212,552</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3.18 %</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10,753,285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215,067</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4.03 %</w:t>
            </w:r>
          </w:p>
        </w:tc>
        <w:tc>
          <w:tcPr>
            <w:tcW w:w="0" w:type="dxa"/>
            <w:vAlign w:val="bottom"/>
          </w:tcPr>
          <w:p>
            <w:pPr>
              <w:spacing w:after="0"/>
              <w:rPr>
                <w:sz w:val="1"/>
                <w:szCs w:val="1"/>
                <w:color w:val="auto"/>
              </w:rPr>
            </w:pPr>
          </w:p>
        </w:tc>
      </w:tr>
      <w:tr>
        <w:trPr>
          <w:trHeight w:val="208"/>
        </w:trPr>
        <w:tc>
          <w:tcPr>
            <w:tcW w:w="4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Total noninterest-earning assets</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1,239,953</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1,240,143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14,850,288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11,993,428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LIABILITIES</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280"/>
              <w:spacing w:after="0"/>
              <w:rPr>
                <w:sz w:val="20"/>
                <w:szCs w:val="20"/>
                <w:color w:val="auto"/>
              </w:rPr>
            </w:pPr>
            <w:r>
              <w:rPr>
                <w:rFonts w:ascii="Arial" w:cs="Arial" w:eastAsia="Arial" w:hAnsi="Arial"/>
                <w:sz w:val="14"/>
                <w:szCs w:val="14"/>
                <w:color w:val="auto"/>
              </w:rPr>
              <w:t>Savings deposits (3)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4,129,598</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2,296</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0.11 %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3,224,924</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5,121</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0.32 %</w:t>
            </w:r>
          </w:p>
        </w:tc>
        <w:tc>
          <w:tcPr>
            <w:tcW w:w="0" w:type="dxa"/>
            <w:vAlign w:val="bottom"/>
          </w:tcPr>
          <w:p>
            <w:pPr>
              <w:spacing w:after="0"/>
              <w:rPr>
                <w:sz w:val="1"/>
                <w:szCs w:val="1"/>
                <w:color w:val="auto"/>
              </w:rPr>
            </w:pPr>
          </w:p>
        </w:tc>
      </w:tr>
      <w:tr>
        <w:trPr>
          <w:trHeight w:val="208"/>
        </w:trPr>
        <w:tc>
          <w:tcPr>
            <w:tcW w:w="4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Time deposits</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404,644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941</w:t>
            </w:r>
          </w:p>
        </w:tc>
        <w:tc>
          <w:tcPr>
            <w:tcW w:w="124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0.47 %</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448,176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1,998</w:t>
            </w:r>
          </w:p>
        </w:tc>
        <w:tc>
          <w:tcPr>
            <w:tcW w:w="10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0.90 %</w:t>
            </w:r>
          </w:p>
        </w:tc>
        <w:tc>
          <w:tcPr>
            <w:tcW w:w="0" w:type="dxa"/>
            <w:vAlign w:val="bottom"/>
          </w:tcPr>
          <w:p>
            <w:pPr>
              <w:spacing w:after="0"/>
              <w:rPr>
                <w:sz w:val="1"/>
                <w:szCs w:val="1"/>
                <w:color w:val="auto"/>
              </w:rPr>
            </w:pPr>
          </w:p>
        </w:tc>
      </w:tr>
      <w:tr>
        <w:trPr>
          <w:trHeight w:val="190"/>
        </w:trPr>
        <w:tc>
          <w:tcPr>
            <w:tcW w:w="4280" w:type="dxa"/>
            <w:vAlign w:val="bottom"/>
          </w:tcPr>
          <w:p>
            <w:pPr>
              <w:ind w:left="520"/>
              <w:spacing w:after="0"/>
              <w:rPr>
                <w:sz w:val="20"/>
                <w:szCs w:val="20"/>
                <w:color w:val="auto"/>
              </w:rPr>
            </w:pPr>
            <w:r>
              <w:rPr>
                <w:rFonts w:ascii="Arial" w:cs="Arial" w:eastAsia="Arial" w:hAnsi="Arial"/>
                <w:sz w:val="14"/>
                <w:szCs w:val="14"/>
                <w:color w:val="auto"/>
              </w:rPr>
              <w:t>Total interest-bearing deposits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4,534,242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3,237</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0.14 %</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3,673,100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7,119</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0.39 %</w:t>
            </w:r>
          </w:p>
        </w:tc>
        <w:tc>
          <w:tcPr>
            <w:tcW w:w="0" w:type="dxa"/>
            <w:vAlign w:val="bottom"/>
          </w:tcPr>
          <w:p>
            <w:pPr>
              <w:spacing w:after="0"/>
              <w:rPr>
                <w:sz w:val="1"/>
                <w:szCs w:val="1"/>
                <w:color w:val="auto"/>
              </w:rPr>
            </w:pPr>
          </w:p>
        </w:tc>
      </w:tr>
      <w:tr>
        <w:trPr>
          <w:trHeight w:val="190"/>
        </w:trPr>
        <w:tc>
          <w:tcPr>
            <w:tcW w:w="42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FHLB advances, other borrowings, and customer</w:t>
            </w:r>
          </w:p>
        </w:tc>
        <w:tc>
          <w:tcPr>
            <w:tcW w:w="18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599,124</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488,460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1,073</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repurchase agreements</w:t>
            </w: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vMerge w:val="continue"/>
            <w:shd w:val="clear" w:color="auto" w:fill="CFF0FC"/>
          </w:tcPr>
          <w:p>
            <w:pPr>
              <w:spacing w:after="0"/>
              <w:rPr>
                <w:sz w:val="15"/>
                <w:szCs w:val="15"/>
                <w:color w:val="auto"/>
              </w:rPr>
            </w:pPr>
          </w:p>
        </w:tc>
        <w:tc>
          <w:tcPr>
            <w:tcW w:w="124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0.15 %</w:t>
            </w: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0.44 %</w:t>
            </w:r>
          </w:p>
        </w:tc>
        <w:tc>
          <w:tcPr>
            <w:tcW w:w="0" w:type="dxa"/>
            <w:vAlign w:val="bottom"/>
          </w:tcPr>
          <w:p>
            <w:pPr>
              <w:spacing w:after="0"/>
              <w:rPr>
                <w:sz w:val="1"/>
                <w:szCs w:val="1"/>
                <w:color w:val="auto"/>
              </w:rPr>
            </w:pPr>
          </w:p>
        </w:tc>
      </w:tr>
      <w:tr>
        <w:trPr>
          <w:trHeight w:val="196"/>
        </w:trPr>
        <w:tc>
          <w:tcPr>
            <w:tcW w:w="4280" w:type="dxa"/>
            <w:vAlign w:val="bottom"/>
          </w:tcPr>
          <w:p>
            <w:pPr>
              <w:ind w:left="280"/>
              <w:spacing w:after="0"/>
              <w:rPr>
                <w:sz w:val="20"/>
                <w:szCs w:val="20"/>
                <w:color w:val="auto"/>
              </w:rPr>
            </w:pPr>
            <w:r>
              <w:rPr>
                <w:rFonts w:ascii="Arial" w:cs="Arial" w:eastAsia="Arial" w:hAnsi="Arial"/>
                <w:sz w:val="14"/>
                <w:szCs w:val="14"/>
                <w:color w:val="auto"/>
              </w:rPr>
              <w:t>Interest-bearing liabilities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5,133,366</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3,696</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0.15 %</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4,161,560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8,192</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0.40 %</w:t>
            </w: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Noninterest-bearing deposits</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7,470,832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5,725,677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205,229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119,659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2,040,861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1,986,532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14,850,288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11,993,428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208,856</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206,875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4280" w:type="dxa"/>
            <w:vAlign w:val="bottom"/>
            <w:tcBorders>
              <w:top w:val="single" w:sz="8" w:color="CFF0FC"/>
            </w:tcBorders>
          </w:tcPr>
          <w:p>
            <w:pPr>
              <w:ind w:left="300"/>
              <w:spacing w:after="0"/>
              <w:rPr>
                <w:sz w:val="20"/>
                <w:szCs w:val="20"/>
                <w:color w:val="auto"/>
              </w:rPr>
            </w:pPr>
            <w:r>
              <w:rPr>
                <w:rFonts w:ascii="Arial" w:cs="Arial" w:eastAsia="Arial" w:hAnsi="Arial"/>
                <w:sz w:val="14"/>
                <w:szCs w:val="14"/>
                <w:color w:val="auto"/>
              </w:rPr>
              <w:t>Net interest spread - tax equivalent</w:t>
            </w:r>
          </w:p>
        </w:tc>
        <w:tc>
          <w:tcPr>
            <w:tcW w:w="18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40" w:type="dxa"/>
            <w:vAlign w:val="bottom"/>
            <w:tcBorders>
              <w:top w:val="single" w:sz="8" w:color="CFF0FC"/>
            </w:tcBorders>
            <w:gridSpan w:val="3"/>
          </w:tcPr>
          <w:p>
            <w:pPr>
              <w:jc w:val="right"/>
              <w:ind w:right="240"/>
              <w:spacing w:after="0"/>
              <w:rPr>
                <w:sz w:val="20"/>
                <w:szCs w:val="20"/>
                <w:color w:val="auto"/>
              </w:rPr>
            </w:pPr>
            <w:r>
              <w:rPr>
                <w:rFonts w:ascii="Arial" w:cs="Arial" w:eastAsia="Arial" w:hAnsi="Arial"/>
                <w:sz w:val="14"/>
                <w:szCs w:val="14"/>
                <w:color w:val="auto"/>
              </w:rPr>
              <w:t>3.03 %</w:t>
            </w:r>
          </w:p>
        </w:tc>
        <w:tc>
          <w:tcPr>
            <w:tcW w:w="18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40" w:type="dxa"/>
            <w:vAlign w:val="bottom"/>
            <w:tcBorders>
              <w:top w:val="single" w:sz="8" w:color="CFF0FC"/>
            </w:tcBorders>
            <w:gridSpan w:val="3"/>
          </w:tcPr>
          <w:p>
            <w:pPr>
              <w:jc w:val="right"/>
              <w:ind w:right="80"/>
              <w:spacing w:after="0"/>
              <w:rPr>
                <w:sz w:val="20"/>
                <w:szCs w:val="20"/>
                <w:color w:val="auto"/>
              </w:rPr>
            </w:pPr>
            <w:r>
              <w:rPr>
                <w:rFonts w:ascii="Arial" w:cs="Arial" w:eastAsia="Arial" w:hAnsi="Arial"/>
                <w:sz w:val="14"/>
                <w:szCs w:val="14"/>
                <w:color w:val="auto"/>
              </w:rPr>
              <w:t>3.64 %</w:t>
            </w:r>
          </w:p>
        </w:tc>
        <w:tc>
          <w:tcPr>
            <w:tcW w:w="0" w:type="dxa"/>
            <w:vAlign w:val="bottom"/>
          </w:tcPr>
          <w:p>
            <w:pPr>
              <w:spacing w:after="0"/>
              <w:rPr>
                <w:sz w:val="1"/>
                <w:szCs w:val="1"/>
                <w:color w:val="auto"/>
              </w:rPr>
            </w:pPr>
          </w:p>
        </w:tc>
      </w:tr>
      <w:tr>
        <w:trPr>
          <w:trHeight w:val="208"/>
        </w:trPr>
        <w:tc>
          <w:tcPr>
            <w:tcW w:w="42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interest margin</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3.11 %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3.87 %</w:t>
            </w:r>
          </w:p>
        </w:tc>
        <w:tc>
          <w:tcPr>
            <w:tcW w:w="0" w:type="dxa"/>
            <w:vAlign w:val="bottom"/>
          </w:tcPr>
          <w:p>
            <w:pPr>
              <w:spacing w:after="0"/>
              <w:rPr>
                <w:sz w:val="1"/>
                <w:szCs w:val="1"/>
                <w:color w:val="auto"/>
              </w:rPr>
            </w:pPr>
          </w:p>
        </w:tc>
      </w:tr>
      <w:tr>
        <w:trPr>
          <w:trHeight w:val="191"/>
        </w:trPr>
        <w:tc>
          <w:tcPr>
            <w:tcW w:w="4280" w:type="dxa"/>
            <w:vAlign w:val="bottom"/>
          </w:tcPr>
          <w:p>
            <w:pPr>
              <w:ind w:left="300"/>
              <w:spacing w:after="0"/>
              <w:rPr>
                <w:sz w:val="20"/>
                <w:szCs w:val="20"/>
                <w:color w:val="auto"/>
              </w:rPr>
            </w:pPr>
            <w:r>
              <w:rPr>
                <w:rFonts w:ascii="Arial" w:cs="Arial" w:eastAsia="Arial" w:hAnsi="Arial"/>
                <w:sz w:val="14"/>
                <w:szCs w:val="14"/>
                <w:color w:val="auto"/>
              </w:rPr>
              <w:t>Net interest margin - tax equivalent</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3.12 %</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-2792095</wp:posOffset>
            </wp:positionV>
            <wp:extent cx="188595"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-2792095</wp:posOffset>
            </wp:positionV>
            <wp:extent cx="188595"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-2792095</wp:posOffset>
            </wp:positionV>
            <wp:extent cx="17145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-2792095</wp:posOffset>
            </wp:positionV>
            <wp:extent cx="17145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-2526030</wp:posOffset>
            </wp:positionV>
            <wp:extent cx="188595"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-2526030</wp:posOffset>
            </wp:positionV>
            <wp:extent cx="171450"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-1849120</wp:posOffset>
            </wp:positionV>
            <wp:extent cx="188595"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-1849120</wp:posOffset>
            </wp:positionV>
            <wp:extent cx="188595"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-1849120</wp:posOffset>
            </wp:positionV>
            <wp:extent cx="171450"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-1849120</wp:posOffset>
            </wp:positionV>
            <wp:extent cx="171450"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-1480185</wp:posOffset>
            </wp:positionV>
            <wp:extent cx="188595"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-1480185</wp:posOffset>
            </wp:positionV>
            <wp:extent cx="188595"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-1480185</wp:posOffset>
            </wp:positionV>
            <wp:extent cx="17145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-1480185</wp:posOffset>
            </wp:positionV>
            <wp:extent cx="171450"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-948690</wp:posOffset>
            </wp:positionV>
            <wp:extent cx="18859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-948690</wp:posOffset>
            </wp:positionV>
            <wp:extent cx="17145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-532130</wp:posOffset>
            </wp:positionV>
            <wp:extent cx="18859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-514985</wp:posOffset>
            </wp:positionV>
            <wp:extent cx="18859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-532130</wp:posOffset>
            </wp:positionV>
            <wp:extent cx="17145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-514985</wp:posOffset>
            </wp:positionV>
            <wp:extent cx="17145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62" w:lineRule="exact"/>
        <w:rPr>
          <w:sz w:val="20"/>
          <w:szCs w:val="20"/>
          <w:color w:val="auto"/>
        </w:rPr>
      </w:pPr>
    </w:p>
    <w:p>
      <w:pPr>
        <w:ind w:left="980" w:right="240" w:hanging="409"/>
        <w:spacing w:after="0" w:line="266" w:lineRule="auto"/>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tax equivalent (TE) adjustments utilizing federal statutory rates of 21% in effect for the six months ended June 30, 2021 and 2020. The non TE rates were 1.56% and 2.28% for the six months ended June 30, 2021 and 2020, respectively.</w:t>
      </w:r>
    </w:p>
    <w:p>
      <w:pPr>
        <w:ind w:left="980" w:right="80" w:hanging="403"/>
        <w:spacing w:after="0" w:line="261" w:lineRule="auto"/>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loan fees of $15.6 million and $7.8 million for the six months ended June 30, 2021 and 2020, respectively. Prepayment penalty fees of $5.0 million and $3.6 million are included in interest income for the six months ended June 30, 2021 and 2020, respectively.</w:t>
      </w:r>
    </w:p>
    <w:p>
      <w:pPr>
        <w:ind w:left="980" w:hanging="409"/>
        <w:spacing w:after="0"/>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interest-bearing demand and money market accounts.</w:t>
      </w:r>
    </w:p>
    <w:p>
      <w:pPr>
        <w:spacing w:after="0" w:line="215" w:lineRule="exact"/>
        <w:rPr>
          <w:sz w:val="20"/>
          <w:szCs w:val="20"/>
          <w:color w:val="auto"/>
        </w:rPr>
      </w:pPr>
    </w:p>
    <w:p>
      <w:pPr>
        <w:ind w:right="200" w:firstLine="562"/>
        <w:spacing w:after="0" w:line="292" w:lineRule="auto"/>
        <w:rPr>
          <w:sz w:val="20"/>
          <w:szCs w:val="20"/>
          <w:color w:val="auto"/>
        </w:rPr>
      </w:pPr>
      <w:r>
        <w:rPr>
          <w:rFonts w:ascii="Arial" w:cs="Arial" w:eastAsia="Arial" w:hAnsi="Arial"/>
          <w:sz w:val="17"/>
          <w:szCs w:val="17"/>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Rate and Volume Analysis for Changes in Interest Income, Interest Expense and Net Interest Income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1"/>
              </w:rPr>
              <w:t>Comparison of Three Months Ended June 30,</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1"/>
              </w:rPr>
              <w:t>2021 Compared to 2020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w w:val="89"/>
              </w:rPr>
              <w:t>Increase (Decrease) Due to</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Rate/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Volume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Rate</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Volume</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center"/>
              <w:ind w:right="540"/>
              <w:spacing w:after="0"/>
              <w:rPr>
                <w:sz w:val="20"/>
                <w:szCs w:val="20"/>
                <w:color w:val="auto"/>
              </w:rPr>
            </w:pPr>
            <w:r>
              <w:rPr>
                <w:rFonts w:ascii="Arial" w:cs="Arial" w:eastAsia="Arial" w:hAnsi="Arial"/>
                <w:sz w:val="16"/>
                <w:szCs w:val="16"/>
                <w:i w:val="1"/>
                <w:iCs w:val="1"/>
                <w:color w:val="auto"/>
                <w:w w:val="93"/>
              </w:rPr>
              <w:t>(Dollars 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Available-for-sale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Taxable investment securities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6,025</w:t>
            </w:r>
          </w:p>
        </w:tc>
        <w:tc>
          <w:tcPr>
            <w:tcW w:w="100" w:type="dxa"/>
            <w:vAlign w:val="bottom"/>
            <w:tcBorders>
              <w:left w:val="single" w:sz="8" w:color="CFF0FC"/>
            </w:tcBorders>
            <w:shd w:val="clear" w:color="auto" w:fill="CFF0FC"/>
          </w:tcPr>
          <w:p>
            <w:pPr>
              <w:spacing w:after="0"/>
              <w:rPr>
                <w:sz w:val="20"/>
                <w:szCs w:val="20"/>
                <w:color w:val="auto"/>
              </w:rPr>
            </w:pPr>
          </w:p>
        </w:tc>
        <w:tc>
          <w:tcPr>
            <w:tcW w:w="42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(2,910 )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(2,133 )</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52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(4 )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Held-to-maturity securities: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520"/>
              <w:spacing w:after="0"/>
              <w:rPr>
                <w:sz w:val="20"/>
                <w:szCs w:val="20"/>
                <w:color w:val="auto"/>
              </w:rPr>
            </w:pPr>
            <w:r>
              <w:rPr>
                <w:rFonts w:ascii="Arial" w:cs="Arial" w:eastAsia="Arial" w:hAnsi="Arial"/>
                <w:sz w:val="16"/>
                <w:szCs w:val="16"/>
                <w:color w:val="auto"/>
              </w:rPr>
              <w:t>Taxable investment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(354 )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(323 )</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(231 )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Investment in FHLB stock</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Interest-earning deposits with other institutions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Loans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(5,951 )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(150 )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(3,626 )</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interest income</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11,071</w:t>
            </w:r>
          </w:p>
        </w:tc>
        <w:tc>
          <w:tcPr>
            <w:tcW w:w="100" w:type="dxa"/>
            <w:vAlign w:val="bottom"/>
            <w:tcBorders>
              <w:lef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(9,357 )</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(2,644 )</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(930 )</w:t>
            </w:r>
          </w:p>
        </w:tc>
        <w:tc>
          <w:tcPr>
            <w:tcW w:w="0" w:type="dxa"/>
            <w:vAlign w:val="bottom"/>
          </w:tcPr>
          <w:p>
            <w:pPr>
              <w:spacing w:after="0"/>
              <w:rPr>
                <w:sz w:val="1"/>
                <w:szCs w:val="1"/>
                <w:color w:val="auto"/>
              </w:rPr>
            </w:pPr>
          </w:p>
        </w:tc>
      </w:tr>
      <w:tr>
        <w:trPr>
          <w:trHeight w:val="449"/>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Savings deposits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(1,131 )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(281 )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(912 )</w:t>
            </w: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(407 )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(179 )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(658 )</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FHLB advances, other borrowings, and</w:t>
            </w:r>
          </w:p>
        </w:tc>
        <w:tc>
          <w:tcPr>
            <w:tcW w:w="2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(227 )</w:t>
            </w:r>
          </w:p>
        </w:tc>
        <w:tc>
          <w:tcPr>
            <w:tcW w:w="2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(65 )</w:t>
            </w:r>
          </w:p>
        </w:tc>
        <w:tc>
          <w:tcPr>
            <w:tcW w:w="26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98"/>
        </w:trPr>
        <w:tc>
          <w:tcPr>
            <w:tcW w:w="5520" w:type="dxa"/>
            <w:vAlign w:val="bottom"/>
            <w:vMerge w:val="restart"/>
            <w:shd w:val="clear" w:color="auto" w:fill="CFF0FC"/>
          </w:tcPr>
          <w:p>
            <w:pPr>
              <w:ind w:left="400"/>
              <w:spacing w:after="0"/>
              <w:rPr>
                <w:sz w:val="20"/>
                <w:szCs w:val="20"/>
                <w:color w:val="auto"/>
              </w:rPr>
            </w:pPr>
            <w:r>
              <w:rPr>
                <w:rFonts w:ascii="Arial" w:cs="Arial" w:eastAsia="Arial" w:hAnsi="Arial"/>
                <w:sz w:val="16"/>
                <w:szCs w:val="16"/>
                <w:color w:val="auto"/>
              </w:rPr>
              <w:t>customer repurchase agreements</w:t>
            </w:r>
          </w:p>
        </w:tc>
        <w:tc>
          <w:tcPr>
            <w:tcW w:w="220" w:type="dxa"/>
            <w:vAlign w:val="bottom"/>
            <w:shd w:val="clear" w:color="auto" w:fill="CFF0FC"/>
          </w:tcPr>
          <w:p>
            <w:pPr>
              <w:spacing w:after="0"/>
              <w:rPr>
                <w:sz w:val="8"/>
                <w:szCs w:val="8"/>
                <w:color w:val="auto"/>
              </w:rPr>
            </w:pPr>
          </w:p>
        </w:tc>
        <w:tc>
          <w:tcPr>
            <w:tcW w:w="1000" w:type="dxa"/>
            <w:vAlign w:val="bottom"/>
            <w:vMerge w:val="continue"/>
            <w:shd w:val="clear" w:color="auto" w:fill="CFF0FC"/>
          </w:tcPr>
          <w:p>
            <w:pPr>
              <w:spacing w:after="0"/>
              <w:rPr>
                <w:sz w:val="8"/>
                <w:szCs w:val="8"/>
                <w:color w:val="auto"/>
              </w:rPr>
            </w:pPr>
          </w:p>
        </w:tc>
        <w:tc>
          <w:tcPr>
            <w:tcW w:w="100" w:type="dxa"/>
            <w:vAlign w:val="bottom"/>
            <w:tcBorders>
              <w:left w:val="single" w:sz="8" w:color="CFF0FC"/>
            </w:tcBorders>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520" w:type="dxa"/>
            <w:vAlign w:val="bottom"/>
            <w:tcBorders>
              <w:bottom w:val="single" w:sz="8" w:color="CFF0FC"/>
            </w:tcBorders>
            <w:vMerge w:val="continue"/>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100" w:type="dxa"/>
            <w:vAlign w:val="bottom"/>
            <w:tcBorders>
              <w:left w:val="single" w:sz="8" w:color="CFF0FC"/>
              <w:bottom w:val="single" w:sz="8" w:color="CFF0FC"/>
            </w:tcBorders>
            <w:shd w:val="clear" w:color="auto" w:fill="CFF0FC"/>
          </w:tcPr>
          <w:p>
            <w:pPr>
              <w:spacing w:after="0"/>
              <w:rPr>
                <w:sz w:val="9"/>
                <w:szCs w:val="9"/>
                <w:color w:val="auto"/>
              </w:rPr>
            </w:pPr>
          </w:p>
        </w:tc>
        <w:tc>
          <w:tcPr>
            <w:tcW w:w="180" w:type="dxa"/>
            <w:vAlign w:val="bottom"/>
            <w:tcBorders>
              <w:bottom w:val="single" w:sz="8" w:color="CFF0FC"/>
              <w:right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960" w:type="dxa"/>
            <w:vAlign w:val="bottom"/>
            <w:tcBorders>
              <w:bottom w:val="single" w:sz="8" w:color="auto"/>
            </w:tcBorders>
            <w:shd w:val="clear" w:color="auto" w:fill="CFF0FC"/>
          </w:tcPr>
          <w:p>
            <w:pPr>
              <w:spacing w:after="0"/>
              <w:rPr>
                <w:sz w:val="9"/>
                <w:szCs w:val="9"/>
                <w:color w:val="auto"/>
              </w:rPr>
            </w:pPr>
          </w:p>
        </w:tc>
        <w:tc>
          <w:tcPr>
            <w:tcW w:w="260" w:type="dxa"/>
            <w:vAlign w:val="bottom"/>
            <w:tcBorders>
              <w:left w:val="single" w:sz="8" w:color="CFF0FC"/>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spacing w:after="0"/>
              <w:rPr>
                <w:sz w:val="9"/>
                <w:szCs w:val="9"/>
                <w:color w:val="auto"/>
              </w:rPr>
            </w:pPr>
          </w:p>
        </w:tc>
        <w:tc>
          <w:tcPr>
            <w:tcW w:w="260" w:type="dxa"/>
            <w:vAlign w:val="bottom"/>
            <w:tcBorders>
              <w:left w:val="single" w:sz="8" w:color="CFF0FC"/>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520"/>
              <w:spacing w:after="0"/>
              <w:rPr>
                <w:sz w:val="20"/>
                <w:szCs w:val="20"/>
                <w:color w:val="auto"/>
              </w:rPr>
            </w:pPr>
            <w:r>
              <w:rPr>
                <w:rFonts w:ascii="Arial" w:cs="Arial" w:eastAsia="Arial" w:hAnsi="Arial"/>
                <w:sz w:val="16"/>
                <w:szCs w:val="16"/>
                <w:color w:val="auto"/>
              </w:rPr>
              <w:t>Total interest expense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(1,765 )</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(525 )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(1,749 )</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5520" w:type="dxa"/>
            <w:vAlign w:val="bottom"/>
            <w:shd w:val="clear" w:color="auto" w:fill="CFF0FC"/>
          </w:tcPr>
          <w:p>
            <w:pPr>
              <w:ind w:left="780"/>
              <w:spacing w:after="0"/>
              <w:rPr>
                <w:sz w:val="20"/>
                <w:szCs w:val="20"/>
                <w:color w:val="auto"/>
              </w:rPr>
            </w:pPr>
            <w:r>
              <w:rPr>
                <w:rFonts w:ascii="Arial" w:cs="Arial" w:eastAsia="Arial" w:hAnsi="Arial"/>
                <w:sz w:val="16"/>
                <w:szCs w:val="16"/>
                <w:color w:val="auto"/>
              </w:rPr>
              <w:t>Net interest income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10,530</w:t>
            </w:r>
          </w:p>
        </w:tc>
        <w:tc>
          <w:tcPr>
            <w:tcW w:w="100" w:type="dxa"/>
            <w:vAlign w:val="bottom"/>
            <w:tcBorders>
              <w:left w:val="single" w:sz="8" w:color="CFF0FC"/>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(7,592 )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(2,119 )</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1"/>
              </w:rPr>
              <w:t>Comparison of Six Months Ended June 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91"/>
              </w:rPr>
              <w:t>2021 Compared to 2020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6"/>
                <w:szCs w:val="16"/>
                <w:b w:val="1"/>
                <w:bCs w:val="1"/>
                <w:color w:val="auto"/>
                <w:w w:val="90"/>
              </w:rPr>
              <w:t>Increase (Decrease) Due to</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Rate/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Volume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Rate</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Volume</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center"/>
              <w:ind w:right="540"/>
              <w:spacing w:after="0"/>
              <w:rPr>
                <w:sz w:val="20"/>
                <w:szCs w:val="20"/>
                <w:color w:val="auto"/>
              </w:rPr>
            </w:pPr>
            <w:r>
              <w:rPr>
                <w:rFonts w:ascii="Arial" w:cs="Arial" w:eastAsia="Arial" w:hAnsi="Arial"/>
                <w:sz w:val="16"/>
                <w:szCs w:val="16"/>
                <w:i w:val="1"/>
                <w:iCs w:val="1"/>
                <w:color w:val="auto"/>
                <w:w w:val="93"/>
              </w:rPr>
              <w:t>(Dollars 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Available-for-sale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Taxable investment securities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10,807</w:t>
            </w:r>
          </w:p>
        </w:tc>
        <w:tc>
          <w:tcPr>
            <w:tcW w:w="100" w:type="dxa"/>
            <w:vAlign w:val="bottom"/>
            <w:tcBorders>
              <w:left w:val="single" w:sz="8" w:color="CFF0FC"/>
            </w:tcBorders>
            <w:shd w:val="clear" w:color="auto" w:fill="CFF0FC"/>
          </w:tcPr>
          <w:p>
            <w:pPr>
              <w:spacing w:after="0"/>
              <w:rPr>
                <w:sz w:val="20"/>
                <w:szCs w:val="20"/>
                <w:color w:val="auto"/>
              </w:rPr>
            </w:pPr>
          </w:p>
        </w:tc>
        <w:tc>
          <w:tcPr>
            <w:tcW w:w="420" w:type="dxa"/>
            <w:vAlign w:val="bottom"/>
            <w:gridSpan w:val="2"/>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(6,684 )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(3,998 )</w:t>
            </w:r>
          </w:p>
        </w:tc>
        <w:tc>
          <w:tcPr>
            <w:tcW w:w="260" w:type="dxa"/>
            <w:vAlign w:val="bottom"/>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52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(84 )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Held-to-maturity securities: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520"/>
              <w:spacing w:after="0"/>
              <w:rPr>
                <w:sz w:val="20"/>
                <w:szCs w:val="20"/>
                <w:color w:val="auto"/>
              </w:rPr>
            </w:pPr>
            <w:r>
              <w:rPr>
                <w:rFonts w:ascii="Arial" w:cs="Arial" w:eastAsia="Arial" w:hAnsi="Arial"/>
                <w:sz w:val="16"/>
                <w:szCs w:val="16"/>
                <w:color w:val="auto"/>
              </w:rPr>
              <w:t>Taxable investment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(783 )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(446 )</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Tax-advantaged investment securities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(459 )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(261 )</w:t>
            </w: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Investment in FHLB stock</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(46 )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Interest-earning deposits with other institutions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3,693</w:t>
            </w: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(1,457 )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(2,240 )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Loans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(16,576 )</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(1,057 )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(3,948 )</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interest income</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31,245</w:t>
            </w:r>
          </w:p>
        </w:tc>
        <w:tc>
          <w:tcPr>
            <w:tcW w:w="100" w:type="dxa"/>
            <w:vAlign w:val="bottom"/>
            <w:tcBorders>
              <w:lef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(25,968 )</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(7,792 )</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(2,515 )</w:t>
            </w:r>
          </w:p>
        </w:tc>
        <w:tc>
          <w:tcPr>
            <w:tcW w:w="0" w:type="dxa"/>
            <w:vAlign w:val="bottom"/>
          </w:tcPr>
          <w:p>
            <w:pPr>
              <w:spacing w:after="0"/>
              <w:rPr>
                <w:sz w:val="1"/>
                <w:szCs w:val="1"/>
                <w:color w:val="auto"/>
              </w:rPr>
            </w:pPr>
          </w:p>
        </w:tc>
      </w:tr>
      <w:tr>
        <w:trPr>
          <w:trHeight w:val="449"/>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Savings deposits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Borders>
              <w:lef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(3,330 )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(934 )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(2,825 )</w:t>
            </w: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(195 )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(955 )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(1,057 )</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FHLB advances, other borrowings, and</w:t>
            </w:r>
          </w:p>
        </w:tc>
        <w:tc>
          <w:tcPr>
            <w:tcW w:w="2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(699 )</w:t>
            </w:r>
          </w:p>
        </w:tc>
        <w:tc>
          <w:tcPr>
            <w:tcW w:w="2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(158 )</w:t>
            </w:r>
          </w:p>
        </w:tc>
        <w:tc>
          <w:tcPr>
            <w:tcW w:w="26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(614 )</w:t>
            </w:r>
          </w:p>
        </w:tc>
        <w:tc>
          <w:tcPr>
            <w:tcW w:w="0" w:type="dxa"/>
            <w:vAlign w:val="bottom"/>
          </w:tcPr>
          <w:p>
            <w:pPr>
              <w:spacing w:after="0"/>
              <w:rPr>
                <w:sz w:val="1"/>
                <w:szCs w:val="1"/>
                <w:color w:val="auto"/>
              </w:rPr>
            </w:pPr>
          </w:p>
        </w:tc>
      </w:tr>
      <w:tr>
        <w:trPr>
          <w:trHeight w:val="98"/>
        </w:trPr>
        <w:tc>
          <w:tcPr>
            <w:tcW w:w="5520" w:type="dxa"/>
            <w:vAlign w:val="bottom"/>
            <w:vMerge w:val="restart"/>
            <w:shd w:val="clear" w:color="auto" w:fill="CFF0FC"/>
          </w:tcPr>
          <w:p>
            <w:pPr>
              <w:ind w:left="400"/>
              <w:spacing w:after="0"/>
              <w:rPr>
                <w:sz w:val="20"/>
                <w:szCs w:val="20"/>
                <w:color w:val="auto"/>
              </w:rPr>
            </w:pPr>
            <w:r>
              <w:rPr>
                <w:rFonts w:ascii="Arial" w:cs="Arial" w:eastAsia="Arial" w:hAnsi="Arial"/>
                <w:sz w:val="16"/>
                <w:szCs w:val="16"/>
                <w:color w:val="auto"/>
              </w:rPr>
              <w:t>customer repurchase agreements</w:t>
            </w:r>
          </w:p>
        </w:tc>
        <w:tc>
          <w:tcPr>
            <w:tcW w:w="220" w:type="dxa"/>
            <w:vAlign w:val="bottom"/>
            <w:shd w:val="clear" w:color="auto" w:fill="CFF0FC"/>
          </w:tcPr>
          <w:p>
            <w:pPr>
              <w:spacing w:after="0"/>
              <w:rPr>
                <w:sz w:val="8"/>
                <w:szCs w:val="8"/>
                <w:color w:val="auto"/>
              </w:rPr>
            </w:pPr>
          </w:p>
        </w:tc>
        <w:tc>
          <w:tcPr>
            <w:tcW w:w="1000" w:type="dxa"/>
            <w:vAlign w:val="bottom"/>
            <w:vMerge w:val="continue"/>
            <w:shd w:val="clear" w:color="auto" w:fill="CFF0FC"/>
          </w:tcPr>
          <w:p>
            <w:pPr>
              <w:spacing w:after="0"/>
              <w:rPr>
                <w:sz w:val="8"/>
                <w:szCs w:val="8"/>
                <w:color w:val="auto"/>
              </w:rPr>
            </w:pPr>
          </w:p>
        </w:tc>
        <w:tc>
          <w:tcPr>
            <w:tcW w:w="100" w:type="dxa"/>
            <w:vAlign w:val="bottom"/>
            <w:tcBorders>
              <w:left w:val="single" w:sz="8" w:color="CFF0FC"/>
            </w:tcBorders>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520" w:type="dxa"/>
            <w:vAlign w:val="bottom"/>
            <w:tcBorders>
              <w:bottom w:val="single" w:sz="8" w:color="CFF0FC"/>
            </w:tcBorders>
            <w:vMerge w:val="continue"/>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100" w:type="dxa"/>
            <w:vAlign w:val="bottom"/>
            <w:tcBorders>
              <w:left w:val="single" w:sz="8" w:color="CFF0FC"/>
              <w:bottom w:val="single" w:sz="8" w:color="CFF0FC"/>
            </w:tcBorders>
            <w:shd w:val="clear" w:color="auto" w:fill="CFF0FC"/>
          </w:tcPr>
          <w:p>
            <w:pPr>
              <w:spacing w:after="0"/>
              <w:rPr>
                <w:sz w:val="9"/>
                <w:szCs w:val="9"/>
                <w:color w:val="auto"/>
              </w:rPr>
            </w:pPr>
          </w:p>
        </w:tc>
        <w:tc>
          <w:tcPr>
            <w:tcW w:w="180" w:type="dxa"/>
            <w:vAlign w:val="bottom"/>
            <w:tcBorders>
              <w:bottom w:val="single" w:sz="8" w:color="CFF0FC"/>
              <w:right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960" w:type="dxa"/>
            <w:vAlign w:val="bottom"/>
            <w:tcBorders>
              <w:bottom w:val="single" w:sz="8" w:color="auto"/>
            </w:tcBorders>
            <w:shd w:val="clear" w:color="auto" w:fill="CFF0FC"/>
          </w:tcPr>
          <w:p>
            <w:pPr>
              <w:spacing w:after="0"/>
              <w:rPr>
                <w:sz w:val="9"/>
                <w:szCs w:val="9"/>
                <w:color w:val="auto"/>
              </w:rPr>
            </w:pPr>
          </w:p>
        </w:tc>
        <w:tc>
          <w:tcPr>
            <w:tcW w:w="260" w:type="dxa"/>
            <w:vAlign w:val="bottom"/>
            <w:tcBorders>
              <w:left w:val="single" w:sz="8" w:color="CFF0FC"/>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spacing w:after="0"/>
              <w:rPr>
                <w:sz w:val="9"/>
                <w:szCs w:val="9"/>
                <w:color w:val="auto"/>
              </w:rPr>
            </w:pPr>
          </w:p>
        </w:tc>
        <w:tc>
          <w:tcPr>
            <w:tcW w:w="260" w:type="dxa"/>
            <w:vAlign w:val="bottom"/>
            <w:tcBorders>
              <w:left w:val="single" w:sz="8" w:color="CFF0FC"/>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520"/>
              <w:spacing w:after="0"/>
              <w:rPr>
                <w:sz w:val="20"/>
                <w:szCs w:val="20"/>
                <w:color w:val="auto"/>
              </w:rPr>
            </w:pPr>
            <w:r>
              <w:rPr>
                <w:rFonts w:ascii="Arial" w:cs="Arial" w:eastAsia="Arial" w:hAnsi="Arial"/>
                <w:sz w:val="16"/>
                <w:szCs w:val="16"/>
                <w:color w:val="auto"/>
              </w:rPr>
              <w:t>Total interest expense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(4,984 )</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(999 )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(4,496 )</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5520" w:type="dxa"/>
            <w:vAlign w:val="bottom"/>
            <w:shd w:val="clear" w:color="auto" w:fill="CFF0FC"/>
          </w:tcPr>
          <w:p>
            <w:pPr>
              <w:ind w:left="780"/>
              <w:spacing w:after="0"/>
              <w:rPr>
                <w:sz w:val="20"/>
                <w:szCs w:val="20"/>
                <w:color w:val="auto"/>
              </w:rPr>
            </w:pPr>
            <w:r>
              <w:rPr>
                <w:rFonts w:ascii="Arial" w:cs="Arial" w:eastAsia="Arial" w:hAnsi="Arial"/>
                <w:sz w:val="16"/>
                <w:szCs w:val="16"/>
                <w:color w:val="auto"/>
              </w:rPr>
              <w:t>Net interest income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29,758</w:t>
            </w:r>
          </w:p>
        </w:tc>
        <w:tc>
          <w:tcPr>
            <w:tcW w:w="100" w:type="dxa"/>
            <w:vAlign w:val="bottom"/>
            <w:tcBorders>
              <w:left w:val="single" w:sz="8" w:color="CFF0FC"/>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(20,984 )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(6,793 )</w:t>
            </w:r>
          </w:p>
        </w:tc>
        <w:tc>
          <w:tcPr>
            <w:tcW w:w="260" w:type="dxa"/>
            <w:vAlign w:val="bottom"/>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-5019675</wp:posOffset>
            </wp:positionV>
            <wp:extent cx="171450"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-5019675</wp:posOffset>
            </wp:positionV>
            <wp:extent cx="171450"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-5019675</wp:posOffset>
            </wp:positionV>
            <wp:extent cx="154305"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-5019675</wp:posOffset>
            </wp:positionV>
            <wp:extent cx="6858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-4162425</wp:posOffset>
            </wp:positionV>
            <wp:extent cx="171450"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-4162425</wp:posOffset>
            </wp:positionV>
            <wp:extent cx="171450"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-4162425</wp:posOffset>
            </wp:positionV>
            <wp:extent cx="154305"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-4162425</wp:posOffset>
            </wp:positionV>
            <wp:extent cx="68580"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-3856990</wp:posOffset>
            </wp:positionV>
            <wp:extent cx="17145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-3839845</wp:posOffset>
            </wp:positionV>
            <wp:extent cx="17145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-3856990</wp:posOffset>
            </wp:positionV>
            <wp:extent cx="17145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-3839845</wp:posOffset>
            </wp:positionV>
            <wp:extent cx="17145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-3856990</wp:posOffset>
            </wp:positionV>
            <wp:extent cx="15430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-3839845</wp:posOffset>
            </wp:positionV>
            <wp:extent cx="15430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-1188085</wp:posOffset>
            </wp:positionV>
            <wp:extent cx="171450"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-1188085</wp:posOffset>
            </wp:positionV>
            <wp:extent cx="154305"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-1188085</wp:posOffset>
            </wp:positionV>
            <wp:extent cx="154305"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-1188085</wp:posOffset>
            </wp:positionV>
            <wp:extent cx="68580"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-330835</wp:posOffset>
            </wp:positionV>
            <wp:extent cx="171450"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-330835</wp:posOffset>
            </wp:positionV>
            <wp:extent cx="154305"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-330835</wp:posOffset>
            </wp:positionV>
            <wp:extent cx="154305"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wp:posOffset>
            </wp:positionV>
            <wp:extent cx="68580"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17145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17145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15430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15430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15430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15430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2" w:name="page43"/>
    <w:bookmarkEnd w:id="42"/>
    <w:p>
      <w:pPr>
        <w:ind w:left="480"/>
        <w:spacing w:after="0"/>
        <w:rPr>
          <w:sz w:val="20"/>
          <w:szCs w:val="20"/>
          <w:color w:val="auto"/>
        </w:rPr>
      </w:pPr>
      <w:r>
        <w:rPr>
          <w:rFonts w:ascii="Arial" w:cs="Arial" w:eastAsia="Arial" w:hAnsi="Arial"/>
          <w:sz w:val="18"/>
          <w:szCs w:val="18"/>
          <w:i w:val="1"/>
          <w:iCs w:val="1"/>
          <w:color w:val="auto"/>
        </w:rPr>
        <w:t>Second Quarter of 2021 Compared to the Second Quarter of 2020</w:t>
      </w:r>
    </w:p>
    <w:p>
      <w:pPr>
        <w:spacing w:after="0" w:line="212" w:lineRule="exact"/>
        <w:rPr>
          <w:sz w:val="20"/>
          <w:szCs w:val="20"/>
          <w:color w:val="auto"/>
        </w:rPr>
      </w:pPr>
    </w:p>
    <w:p>
      <w:pPr>
        <w:ind w:right="180" w:firstLine="469"/>
        <w:spacing w:after="0" w:line="275" w:lineRule="auto"/>
        <w:rPr>
          <w:sz w:val="20"/>
          <w:szCs w:val="20"/>
          <w:color w:val="auto"/>
        </w:rPr>
      </w:pPr>
      <w:r>
        <w:rPr>
          <w:rFonts w:ascii="Arial" w:cs="Arial" w:eastAsia="Arial" w:hAnsi="Arial"/>
          <w:sz w:val="18"/>
          <w:szCs w:val="18"/>
          <w:color w:val="auto"/>
        </w:rPr>
        <w:t>Net interest income, before recapture of provision for credit losses, of $105.4 million for the second quarter of 2021 increased $819,000, or 0.78%, compared to $104.6 million for the second quarter of 2020. Interest-earning assets increased on average by $2.54 billion, or 22.33%, from $11.39 billion for the second quarter of 2020 to $13.93 billion for the second quarter of 2021. Our net interest margin (TE) was 3.06% for the second quarter of 2021, compared to 3.70% for the second quarter of 2020.</w:t>
      </w:r>
    </w:p>
    <w:p>
      <w:pPr>
        <w:spacing w:after="0" w:line="199" w:lineRule="exact"/>
        <w:rPr>
          <w:sz w:val="20"/>
          <w:szCs w:val="20"/>
          <w:color w:val="auto"/>
        </w:rPr>
      </w:pPr>
    </w:p>
    <w:p>
      <w:pPr>
        <w:ind w:right="100" w:firstLine="469"/>
        <w:spacing w:after="0" w:line="306" w:lineRule="auto"/>
        <w:rPr>
          <w:sz w:val="20"/>
          <w:szCs w:val="20"/>
          <w:color w:val="auto"/>
        </w:rPr>
      </w:pPr>
      <w:r>
        <w:rPr>
          <w:rFonts w:ascii="Arial" w:cs="Arial" w:eastAsia="Arial" w:hAnsi="Arial"/>
          <w:sz w:val="16"/>
          <w:szCs w:val="16"/>
          <w:color w:val="auto"/>
        </w:rPr>
        <w:t>Interest income for the second quarter of 2021 was $107.0 million, which represented a $930,000, or 0.86%, decrease when compared to the same period of 2020. Average interest-earning assets increased to $13.93 billion and the average interest-earning asset yield was 3.11% for the second quarter of 2021, compared to 3.82% for the second quarter of 2020. The 71 basis point decrease in the average interest-earning asset yield compared to the second quarter of 2020, was primarily due to a combination of a 31 basis point decrease in loan yields, a 64 basis point decrease in the non-tax equivalent investment yields, and a change in mix of average earning assets, with loan balances declining to 59.22% of earning assets on average for the second quarter of 2021, compared to 70.66% for the second quarter of 2020. Average balances at the Federal Reserve grew to 12.29% of earning assets for the second quarter of 2021, compared to 9.21% for the second quarter of 2020. The increase in balances at the Federal Reserve was impacted by $2.28 billion in average deposit growth compared to the second quarter of 2020. The net interest margin for the second quarter of 2021 would have been approximately 15 basis points higher without the $662.4 million year-over-year increase in average deposits at the Federal Reserve, earning 11 basis points.</w:t>
      </w:r>
    </w:p>
    <w:p>
      <w:pPr>
        <w:spacing w:after="0" w:line="184" w:lineRule="exact"/>
        <w:rPr>
          <w:sz w:val="20"/>
          <w:szCs w:val="20"/>
          <w:color w:val="auto"/>
        </w:rPr>
      </w:pPr>
    </w:p>
    <w:p>
      <w:pPr>
        <w:ind w:right="40" w:firstLine="469"/>
        <w:spacing w:after="0" w:line="288" w:lineRule="auto"/>
        <w:rPr>
          <w:sz w:val="20"/>
          <w:szCs w:val="20"/>
          <w:color w:val="auto"/>
        </w:rPr>
      </w:pPr>
      <w:r>
        <w:rPr>
          <w:rFonts w:ascii="Arial" w:cs="Arial" w:eastAsia="Arial" w:hAnsi="Arial"/>
          <w:sz w:val="17"/>
          <w:szCs w:val="17"/>
          <w:color w:val="auto"/>
        </w:rPr>
        <w:t>Interest income and fees on loans for the second quarter of 2021 of $91.7 million decreased $3.6 million, or 3.80%, when compared to the second quarter of 2020. Average loans increased $202.4 million for the second quarter of 2021 when compared with the same period of 2020. The increase in average loans included a $168.9 million increase in average PPP loans. PPP loans generated approximately $6.0 million in amortized loan fee income and $2.1 million in loan interest during the second quarter of 2021. This compares to $8.5 million in loan fee and interest income in the second quarter of 2020. Discount accretion on acquired loans decreased by $621,000 compared to the second quarter of 2020. The significant decline in interest rates since the start of the pandemic has had a negative impact on loan yields, which after excluding the impact from PPP loans, discount accretion and nonaccrual interest income, declined by 14 basis points from the second quarter of 2020.</w:t>
      </w:r>
    </w:p>
    <w:p>
      <w:pPr>
        <w:spacing w:after="0" w:line="194" w:lineRule="exact"/>
        <w:rPr>
          <w:sz w:val="20"/>
          <w:szCs w:val="20"/>
          <w:color w:val="auto"/>
        </w:rPr>
      </w:pPr>
    </w:p>
    <w:p>
      <w:pPr>
        <w:ind w:right="120" w:firstLine="469"/>
        <w:spacing w:after="0" w:line="271" w:lineRule="auto"/>
        <w:rPr>
          <w:sz w:val="20"/>
          <w:szCs w:val="20"/>
          <w:color w:val="auto"/>
        </w:rPr>
      </w:pPr>
      <w:r>
        <w:rPr>
          <w:rFonts w:ascii="Arial" w:cs="Arial" w:eastAsia="Arial" w:hAnsi="Arial"/>
          <w:sz w:val="18"/>
          <w:szCs w:val="18"/>
          <w:color w:val="auto"/>
        </w:rPr>
        <w:t>Interest income from investment securities was $14.5 million for the second quarter of 2021, a $2.4 million, or 20.08%, increase from $12.1 million for the second quarter of 2020. This increase was primarily the result of a $1.68 billion increase in average investment securities, when compared to the same period of 2020, as a result of purchases of investments securities due to the growth in the Bank's deposits. Partially offsetting the increase in interest revenue from greater levels of investment securities was a 64 basis point decline in the non-tax equivalent yield on investments. The significant decline in interest rates over the past four quarters decreased yields on investment securities due to higher levels of premium amortization, as well as lower yields on investments purchased during the past four quarters.</w:t>
      </w:r>
    </w:p>
    <w:p>
      <w:pPr>
        <w:spacing w:after="0" w:line="204" w:lineRule="exact"/>
        <w:rPr>
          <w:sz w:val="20"/>
          <w:szCs w:val="20"/>
          <w:color w:val="auto"/>
        </w:rPr>
      </w:pPr>
    </w:p>
    <w:p>
      <w:pPr>
        <w:ind w:firstLine="469"/>
        <w:spacing w:after="0" w:line="288" w:lineRule="auto"/>
        <w:rPr>
          <w:sz w:val="20"/>
          <w:szCs w:val="20"/>
          <w:color w:val="auto"/>
        </w:rPr>
      </w:pPr>
      <w:r>
        <w:rPr>
          <w:rFonts w:ascii="Arial" w:cs="Arial" w:eastAsia="Arial" w:hAnsi="Arial"/>
          <w:sz w:val="17"/>
          <w:szCs w:val="17"/>
          <w:color w:val="auto"/>
        </w:rPr>
        <w:t>Interest expense of $1.6 million for the second quarter of 2021, decreased $1.7 million, or 51.61%, compared to the second quarter of 2020. The average rate paid on interest-bearing liabilities decreased by 19 basis points, to 0.13% for the second quarter of 2021 from 0.32% for the second quarter of 2020. Average interest-bearing liabilities were $924.7 million higher for the second quarter of 2021 when compared to the second quarter of 2020. On average, noninterest-bearing deposits were 62.43% of our total deposits for the second quarter of 2021, compared to 61.74% for the second quarter of 2020. In comparison to the second quarter of 2020, our overall cost of funds decreased by 8 basis points, partially due to growth in average noninterest-bearing deposits of $1.49 billion, compared to the increase in average interest-bearing deposits of $789.1 million. In addition, the cost of interest-bearing deposits decreased by 19 basis points for the second quarter of 2021 compared to the second quarter of 2020.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3" w:name="page44"/>
    <w:bookmarkEnd w:id="43"/>
    <w:p>
      <w:pPr>
        <w:ind w:left="480"/>
        <w:spacing w:after="0"/>
        <w:rPr>
          <w:sz w:val="20"/>
          <w:szCs w:val="20"/>
          <w:color w:val="auto"/>
        </w:rPr>
      </w:pPr>
      <w:r>
        <w:rPr>
          <w:rFonts w:ascii="Arial" w:cs="Arial" w:eastAsia="Arial" w:hAnsi="Arial"/>
          <w:sz w:val="18"/>
          <w:szCs w:val="18"/>
          <w:i w:val="1"/>
          <w:iCs w:val="1"/>
          <w:color w:val="auto"/>
        </w:rPr>
        <w:t>Six Months of 2021 Compared to Six Months of 2020</w:t>
      </w:r>
    </w:p>
    <w:p>
      <w:pPr>
        <w:spacing w:after="0" w:line="212" w:lineRule="exact"/>
        <w:rPr>
          <w:sz w:val="20"/>
          <w:szCs w:val="20"/>
          <w:color w:val="auto"/>
        </w:rPr>
      </w:pPr>
    </w:p>
    <w:p>
      <w:pPr>
        <w:jc w:val="both"/>
        <w:ind w:right="280" w:firstLine="469"/>
        <w:spacing w:after="0" w:line="275" w:lineRule="auto"/>
        <w:rPr>
          <w:sz w:val="20"/>
          <w:szCs w:val="20"/>
          <w:color w:val="auto"/>
        </w:rPr>
      </w:pPr>
      <w:r>
        <w:rPr>
          <w:rFonts w:ascii="Arial" w:cs="Arial" w:eastAsia="Arial" w:hAnsi="Arial"/>
          <w:sz w:val="18"/>
          <w:szCs w:val="18"/>
          <w:color w:val="auto"/>
        </w:rPr>
        <w:t>Net interest income, before provision for credit losses, was $208.9 million for the six months ended June 30, 2021, an increase of $2.0 million, or 0.96%, compared to $206.9 million for the same period of 2020. Interest-earning assets increased on average by $2.86 billion, or 26.57%, from $10.75 billion for the six months ended June 30, 2020 to $13.61 billion for the current year. Our net interest margin (TE) was 3.12% for the first six months of 2021, compared to 3.88% for the same period of 2020.</w:t>
      </w:r>
    </w:p>
    <w:p>
      <w:pPr>
        <w:spacing w:after="0" w:line="199" w:lineRule="exact"/>
        <w:rPr>
          <w:sz w:val="20"/>
          <w:szCs w:val="20"/>
          <w:color w:val="auto"/>
        </w:rPr>
      </w:pPr>
    </w:p>
    <w:p>
      <w:pPr>
        <w:ind w:firstLine="469"/>
        <w:spacing w:after="0" w:line="309" w:lineRule="auto"/>
        <w:rPr>
          <w:sz w:val="20"/>
          <w:szCs w:val="20"/>
          <w:color w:val="auto"/>
        </w:rPr>
      </w:pPr>
      <w:r>
        <w:rPr>
          <w:rFonts w:ascii="Arial" w:cs="Arial" w:eastAsia="Arial" w:hAnsi="Arial"/>
          <w:sz w:val="16"/>
          <w:szCs w:val="16"/>
          <w:color w:val="auto"/>
        </w:rPr>
        <w:t>Interest income for the six months ended June 30, 2021 was $212.6 million, which represented a $2.5 million, or 1.17%, decrease when compared to the same period of 2020. Compared to the first six months of 2020, average interest-earning assets increased by $2.86 billion</w:t>
      </w:r>
      <w:r>
        <w:rPr>
          <w:rFonts w:ascii="Arial" w:cs="Arial" w:eastAsia="Arial" w:hAnsi="Arial"/>
          <w:sz w:val="16"/>
          <w:szCs w:val="16"/>
          <w:color w:val="CC0000"/>
        </w:rPr>
        <w:t>,</w:t>
      </w:r>
      <w:r>
        <w:rPr>
          <w:rFonts w:ascii="Arial" w:cs="Arial" w:eastAsia="Arial" w:hAnsi="Arial"/>
          <w:sz w:val="16"/>
          <w:szCs w:val="16"/>
          <w:color w:val="auto"/>
        </w:rPr>
        <w:t xml:space="preserve"> and the yield on interest-earning assets decreased by 85 basis points. The 85 basis point decrease in the earning asset yield over the first six months of 2020, resulted from a 37 basis point decrease in loan yields from 4.85% for first six months of 2020 to 4.48% for the same period of 2021, and a 75 basis point decline in investment yields, as well as a change in the mix of earning assets resulting from a $1.02 billion increase in average balances at the Federal Reserve. Average loans as a percentage of earning assets declined from 72.21% for the first six months of 2020 to 60.69% for the first six months of 2021. Conversely, average balances at the Federal Reserve grew as a percentage of earning assets from 6.01% in the prior year to 12.25% for the first six months of 2021.</w:t>
      </w:r>
    </w:p>
    <w:p>
      <w:pPr>
        <w:spacing w:after="0" w:line="178" w:lineRule="exact"/>
        <w:rPr>
          <w:sz w:val="20"/>
          <w:szCs w:val="20"/>
          <w:color w:val="auto"/>
        </w:rPr>
      </w:pPr>
    </w:p>
    <w:p>
      <w:pPr>
        <w:ind w:right="80" w:firstLine="469"/>
        <w:spacing w:after="0" w:line="308" w:lineRule="auto"/>
        <w:rPr>
          <w:sz w:val="20"/>
          <w:szCs w:val="20"/>
          <w:color w:val="auto"/>
        </w:rPr>
      </w:pPr>
      <w:r>
        <w:rPr>
          <w:rFonts w:ascii="Arial" w:cs="Arial" w:eastAsia="Arial" w:hAnsi="Arial"/>
          <w:sz w:val="16"/>
          <w:szCs w:val="16"/>
          <w:color w:val="auto"/>
        </w:rPr>
        <w:t>Interest income and fees on loans for the first six months of 2021 of $183.5 million decreased $3.9 million, or 2.11%, when compared to the same period of 2020. Average loans increased $494.9 million for the first six months of 2021 when compared with the same period of 2020, primarily due to a $524.7 million increase in average PPP loans. The PPP loans generated approximately $18.4 million in loan fee and interest income during the first six months of 2021, compared to $8.5 million for the same period in 2020. The first six months of 2021 reflected a $1.7 million decrease in discount accretion on acquired loans and nonaccrual interest income when compared to the first six months of 2020. Loan yields decreased by 37 basis points from the prior six month period. Excluding the impact of PPP loans, interest income related to purchase discount accretion and nonaccrual interest income, loan yields were 28 basis points lower than the first six months of 2020. The decline in loan yields was primarily due to lower rates on loans indexed to variable interest rates such as the Bank’s prime rate and lower yields on new loans in the low rate environment experienced for the past 15 months.</w:t>
      </w:r>
    </w:p>
    <w:p>
      <w:pPr>
        <w:spacing w:after="0" w:line="177" w:lineRule="exact"/>
        <w:rPr>
          <w:sz w:val="20"/>
          <w:szCs w:val="20"/>
          <w:color w:val="auto"/>
        </w:rPr>
      </w:pPr>
    </w:p>
    <w:p>
      <w:pPr>
        <w:jc w:val="both"/>
        <w:ind w:right="60" w:firstLine="469"/>
        <w:spacing w:after="0" w:line="279" w:lineRule="auto"/>
        <w:rPr>
          <w:sz w:val="20"/>
          <w:szCs w:val="20"/>
          <w:color w:val="auto"/>
        </w:rPr>
      </w:pPr>
      <w:r>
        <w:rPr>
          <w:rFonts w:ascii="Arial" w:cs="Arial" w:eastAsia="Arial" w:hAnsi="Arial"/>
          <w:sz w:val="18"/>
          <w:szCs w:val="18"/>
          <w:color w:val="auto"/>
        </w:rPr>
        <w:t>Interest income from investment securities was $27.6 million for the six months ended June 30, 2021, a $1.5 million increase from $26.2 million for the first six months of 2020. This increase was the net result of a $1.33 billion increase in average investment securities, partially offset by a 72 basis point decline in the non tax-equivalent yield on securities, compared to the first six months of 2020.</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expense of $3.7 million for the six months ended June 30, 2021, decreased by $4.5 million from the same period of 2020. The average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paid on interest-bearing liabilities decreased by 25 basis points, to 0.15% for the first six months of 2021, from 0.40% for the same period of 2020. The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interest-bearing deposits for the first six months of 2021 decreased by 25 basis points from the same period in 2020. Average interest-bearing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were $971.8 million higher for the first six months of 2021 when compared with the same period of 2020. Average interest-bearing deposits grew by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$861.1 million when compared to the first six months of 2020. Average noninterest-bearing deposits represented 62.23% of our total deposits for the six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2021, compared to 60.92% for the same period of 2020. Total cost of funds for the first six months of 2021 was 0.06%, compared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0.17% for the same period of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ind w:right="60" w:firstLine="469"/>
        <w:spacing w:after="0" w:line="293" w:lineRule="auto"/>
        <w:rPr>
          <w:sz w:val="20"/>
          <w:szCs w:val="20"/>
          <w:color w:val="auto"/>
        </w:rPr>
      </w:pPr>
      <w:r>
        <w:rPr>
          <w:rFonts w:ascii="Arial" w:cs="Arial" w:eastAsia="Arial" w:hAnsi="Arial"/>
          <w:sz w:val="18"/>
          <w:szCs w:val="18"/>
          <w:color w:val="auto"/>
        </w:rPr>
        <w:t>The provision for credit losses is a charge to earnings to maintain the allowance for credit losses at a level consistent with management’s assessment of expected lifetime losses in the loan portfolio at the balance sheet date.</w:t>
      </w:r>
    </w:p>
    <w:p>
      <w:pPr>
        <w:spacing w:after="0" w:line="183" w:lineRule="exact"/>
        <w:rPr>
          <w:sz w:val="20"/>
          <w:szCs w:val="20"/>
          <w:color w:val="auto"/>
        </w:rPr>
      </w:pPr>
    </w:p>
    <w:p>
      <w:pPr>
        <w:ind w:right="20" w:firstLine="469"/>
        <w:spacing w:after="0" w:line="299" w:lineRule="auto"/>
        <w:rPr>
          <w:sz w:val="20"/>
          <w:szCs w:val="20"/>
          <w:color w:val="auto"/>
        </w:rPr>
      </w:pPr>
      <w:r>
        <w:rPr>
          <w:rFonts w:ascii="Arial" w:cs="Arial" w:eastAsia="Arial" w:hAnsi="Arial"/>
          <w:sz w:val="16"/>
          <w:szCs w:val="16"/>
          <w:color w:val="auto"/>
        </w:rPr>
        <w:t>The allowance for credit losses on loans totaled $69.3 million at June 30, 2021, compared to $93.7 million at December 31, 2020 and $94.0 million as of June 30, 2020. For the six months ended June 30, 2021, we recaptured $21.5 million in provision for credit losses, due to the improved outlook in our forecast of certain macroeconomic variables that were influenced by the economic impact of the pandemic and government stimulus. For the six months ended June 30, 2021, we experienced credit charge-offs of $3.0 million and total recoveries of $135,000, resulting in net charge-offs of $2.9 million. This compares to a $23.5 million credit loss provision and net charge-offs of $17,000 for the same period of 2020. The provision for credit losses during the first six months of 2020 was primarily the result of the forecast of a significant decline in economic activity due to the impact of the COVID-19 pandemic. The ratio of the allowance for credit losses to total loans and leases outstanding, net of deferred fees and discount, as of June 30, 2021, was 0.86%. This compares to 1.12% and 1.12%, as of December 31, 2020 and June 30, 2020, respectively. When PPP loans are excluded, allowance for credit losses as a percentage of total adjusted loans and leases outstanding was 0.94% at June 30, 2021, compared to 1.25% at December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4" w:name="page45"/>
    <w:bookmarkEnd w:id="44"/>
    <w:p>
      <w:pPr>
        <w:ind w:right="180"/>
        <w:spacing w:after="0" w:line="275" w:lineRule="auto"/>
        <w:rPr>
          <w:sz w:val="20"/>
          <w:szCs w:val="20"/>
          <w:color w:val="auto"/>
        </w:rPr>
      </w:pPr>
      <w:r>
        <w:rPr>
          <w:rFonts w:ascii="Arial" w:cs="Arial" w:eastAsia="Arial" w:hAnsi="Arial"/>
          <w:sz w:val="18"/>
          <w:szCs w:val="18"/>
          <w:color w:val="auto"/>
        </w:rPr>
        <w:t xml:space="preserve">31, 2020 and 1.29% at June 30, 2020. As of June 30, 2021, remaining discounts on acquired loans were $23.4 million. Refer to the discussion of “Allowance for Credit Losses” in Item 2 –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contained herein for discussion concerning observed changes in the credit quality of various components of our loan portfolio as well as changes and refinements to our methodology.</w:t>
      </w:r>
    </w:p>
    <w:p>
      <w:pPr>
        <w:spacing w:after="0" w:line="199" w:lineRule="exact"/>
        <w:rPr>
          <w:sz w:val="20"/>
          <w:szCs w:val="20"/>
          <w:color w:val="auto"/>
        </w:rPr>
      </w:pPr>
    </w:p>
    <w:p>
      <w:pPr>
        <w:jc w:val="both"/>
        <w:ind w:right="80" w:firstLine="469"/>
        <w:spacing w:after="0" w:line="319" w:lineRule="auto"/>
        <w:rPr>
          <w:sz w:val="20"/>
          <w:szCs w:val="20"/>
          <w:color w:val="auto"/>
        </w:rPr>
      </w:pPr>
      <w:r>
        <w:rPr>
          <w:rFonts w:ascii="Arial" w:cs="Arial" w:eastAsia="Arial" w:hAnsi="Arial"/>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of the pandemic on our business and customers. See “Allowance for Credit Losses” under </w:t>
      </w:r>
      <w:r>
        <w:rPr>
          <w:rFonts w:ascii="Arial" w:cs="Arial" w:eastAsia="Arial" w:hAnsi="Arial"/>
          <w:sz w:val="16"/>
          <w:szCs w:val="16"/>
          <w:i w:val="1"/>
          <w:iCs w:val="1"/>
          <w:color w:val="auto"/>
        </w:rPr>
        <w:t>Analysis of Financial Condition</w:t>
      </w:r>
      <w:r>
        <w:rPr>
          <w:rFonts w:ascii="Arial" w:cs="Arial" w:eastAsia="Arial" w:hAnsi="Arial"/>
          <w:sz w:val="16"/>
          <w:szCs w:val="16"/>
          <w:color w:val="auto"/>
        </w:rPr>
        <w:t xml:space="preserve">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52" w:lineRule="exact"/>
        <w:rPr>
          <w:sz w:val="20"/>
          <w:szCs w:val="20"/>
          <w:color w:val="auto"/>
        </w:rPr>
      </w:pPr>
    </w:p>
    <w:p>
      <w:pPr>
        <w:jc w:val="both"/>
        <w:ind w:right="260" w:firstLine="469"/>
        <w:spacing w:after="0" w:line="329" w:lineRule="auto"/>
        <w:rPr>
          <w:sz w:val="20"/>
          <w:szCs w:val="20"/>
          <w:color w:val="auto"/>
        </w:rPr>
      </w:pPr>
      <w:r>
        <w:rPr>
          <w:rFonts w:ascii="Arial" w:cs="Arial" w:eastAsia="Arial" w:hAnsi="Arial"/>
          <w:sz w:val="16"/>
          <w:szCs w:val="16"/>
          <w:color w:val="auto"/>
        </w:rPr>
        <w:t>Noninterest income includes income derived from financial services offered,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various components of noninterest income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8"/>
        </w:trPr>
        <w:tc>
          <w:tcPr>
            <w:tcW w:w="2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Variance</w:t>
            </w:r>
          </w:p>
        </w:tc>
        <w:tc>
          <w:tcPr>
            <w:tcW w:w="5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2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i w:val="1"/>
                <w:iCs w:val="1"/>
                <w:color w:val="auto"/>
                <w:w w:val="99"/>
              </w:rPr>
              <w:t>(Dollars in thousands)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income:</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184"/>
        </w:trPr>
        <w:tc>
          <w:tcPr>
            <w:tcW w:w="2920" w:type="dxa"/>
            <w:vAlign w:val="bottom"/>
          </w:tcPr>
          <w:p>
            <w:pPr>
              <w:ind w:left="280"/>
              <w:spacing w:after="0"/>
              <w:rPr>
                <w:sz w:val="20"/>
                <w:szCs w:val="20"/>
                <w:color w:val="auto"/>
              </w:rPr>
            </w:pPr>
            <w:r>
              <w:rPr>
                <w:rFonts w:ascii="Arial" w:cs="Arial" w:eastAsia="Arial" w:hAnsi="Arial"/>
                <w:sz w:val="14"/>
                <w:szCs w:val="14"/>
                <w:color w:val="auto"/>
              </w:rPr>
              <w:t>Service charges on deposit</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8"/>
        </w:trPr>
        <w:tc>
          <w:tcPr>
            <w:tcW w:w="2920" w:type="dxa"/>
            <w:vAlign w:val="bottom"/>
          </w:tcPr>
          <w:p>
            <w:pPr>
              <w:ind w:left="300"/>
              <w:spacing w:after="0"/>
              <w:rPr>
                <w:sz w:val="20"/>
                <w:szCs w:val="20"/>
                <w:color w:val="auto"/>
              </w:rPr>
            </w:pPr>
            <w:r>
              <w:rPr>
                <w:rFonts w:ascii="Arial" w:cs="Arial" w:eastAsia="Arial" w:hAnsi="Arial"/>
                <w:sz w:val="14"/>
                <w:szCs w:val="14"/>
                <w:color w:val="auto"/>
              </w:rPr>
              <w:t>accounts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4,169</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3,809</w:t>
            </w:r>
          </w:p>
        </w:tc>
        <w:tc>
          <w:tcPr>
            <w:tcW w:w="5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9.45 %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8,154</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8,585</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(431 )</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-5.02 %</w:t>
            </w:r>
          </w:p>
        </w:tc>
      </w:tr>
      <w:tr>
        <w:trPr>
          <w:trHeight w:val="208"/>
        </w:trPr>
        <w:tc>
          <w:tcPr>
            <w:tcW w:w="29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Trust and investment services</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27.86 %</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17.99 %</w:t>
            </w:r>
          </w:p>
        </w:tc>
      </w:tr>
      <w:tr>
        <w:trPr>
          <w:trHeight w:val="197"/>
        </w:trPr>
        <w:tc>
          <w:tcPr>
            <w:tcW w:w="2920" w:type="dxa"/>
            <w:vAlign w:val="bottom"/>
          </w:tcPr>
          <w:p>
            <w:pPr>
              <w:ind w:left="280"/>
              <w:spacing w:after="0"/>
              <w:rPr>
                <w:sz w:val="20"/>
                <w:szCs w:val="20"/>
                <w:color w:val="auto"/>
              </w:rPr>
            </w:pPr>
            <w:r>
              <w:rPr>
                <w:rFonts w:ascii="Arial" w:cs="Arial" w:eastAsia="Arial" w:hAnsi="Arial"/>
                <w:sz w:val="14"/>
                <w:szCs w:val="14"/>
                <w:color w:val="auto"/>
              </w:rPr>
              <w:t>Bankcard services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31.60 %</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(99 )</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-10.08 %</w:t>
            </w:r>
          </w:p>
        </w:tc>
      </w:tr>
      <w:tr>
        <w:trPr>
          <w:trHeight w:val="208"/>
        </w:trPr>
        <w:tc>
          <w:tcPr>
            <w:tcW w:w="29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BOLI income</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(443 )</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-26.32 %</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56.71 %</w:t>
            </w:r>
          </w:p>
        </w:tc>
      </w:tr>
      <w:tr>
        <w:trPr>
          <w:trHeight w:val="197"/>
        </w:trPr>
        <w:tc>
          <w:tcPr>
            <w:tcW w:w="2920" w:type="dxa"/>
            <w:vAlign w:val="bottom"/>
          </w:tcPr>
          <w:p>
            <w:pPr>
              <w:ind w:left="280"/>
              <w:spacing w:after="0"/>
              <w:rPr>
                <w:sz w:val="20"/>
                <w:szCs w:val="20"/>
                <w:color w:val="auto"/>
              </w:rPr>
            </w:pPr>
            <w:r>
              <w:rPr>
                <w:rFonts w:ascii="Arial" w:cs="Arial" w:eastAsia="Arial" w:hAnsi="Arial"/>
                <w:sz w:val="14"/>
                <w:szCs w:val="14"/>
                <w:color w:val="auto"/>
              </w:rPr>
              <w:t>Swap fee income</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2,185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(2,185 )</w:t>
            </w:r>
          </w:p>
        </w:tc>
        <w:tc>
          <w:tcPr>
            <w:tcW w:w="14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-100.00 %</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2,558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(2,343 )</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-91.59 %</w:t>
            </w:r>
          </w:p>
        </w:tc>
      </w:tr>
      <w:tr>
        <w:trPr>
          <w:trHeight w:val="208"/>
        </w:trPr>
        <w:tc>
          <w:tcPr>
            <w:tcW w:w="29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Gain on OREO, net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4670.00 %</w:t>
            </w:r>
          </w:p>
        </w:tc>
      </w:tr>
      <w:tr>
        <w:trPr>
          <w:trHeight w:val="203"/>
        </w:trPr>
        <w:tc>
          <w:tcPr>
            <w:tcW w:w="2920" w:type="dxa"/>
            <w:vAlign w:val="bottom"/>
          </w:tcPr>
          <w:p>
            <w:pPr>
              <w:ind w:left="28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5.40 %</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3,146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3,018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4.24 %</w:t>
            </w:r>
          </w:p>
        </w:tc>
      </w:tr>
      <w:tr>
        <w:trPr>
          <w:trHeight w:val="20"/>
        </w:trPr>
        <w:tc>
          <w:tcPr>
            <w:tcW w:w="2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9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noninterest income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12,152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(1,316 )</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-10.83 %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24,517</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23,792</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3.05 %</w:t>
            </w: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-24765</wp:posOffset>
            </wp:positionV>
            <wp:extent cx="15430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15430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18859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wp:posOffset>
            </wp:positionV>
            <wp:extent cx="18859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18859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18859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2743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27432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7145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7145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17145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17145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17145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17145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Second Quarter of 2021 Compared to the Second Quarter of 2020</w:t>
      </w:r>
    </w:p>
    <w:p>
      <w:pPr>
        <w:spacing w:after="0" w:line="252" w:lineRule="exact"/>
        <w:rPr>
          <w:sz w:val="20"/>
          <w:szCs w:val="20"/>
          <w:color w:val="auto"/>
        </w:rPr>
      </w:pPr>
    </w:p>
    <w:p>
      <w:pPr>
        <w:ind w:right="140" w:firstLine="469"/>
        <w:spacing w:after="0" w:line="293" w:lineRule="auto"/>
        <w:rPr>
          <w:sz w:val="20"/>
          <w:szCs w:val="20"/>
          <w:color w:val="auto"/>
        </w:rPr>
      </w:pPr>
      <w:r>
        <w:rPr>
          <w:rFonts w:ascii="Arial" w:cs="Arial" w:eastAsia="Arial" w:hAnsi="Arial"/>
          <w:sz w:val="18"/>
          <w:szCs w:val="18"/>
          <w:color w:val="auto"/>
        </w:rPr>
        <w:t>The $1.3 million decrease in noninterest income was primarily due to a $2.2 million decrease in swap fee income and a $443,000 decrease in BOLI income, partially offset by a $690,000 increase in trust and investment services income.</w:t>
      </w:r>
    </w:p>
    <w:p>
      <w:pPr>
        <w:spacing w:after="0" w:line="183" w:lineRule="exact"/>
        <w:rPr>
          <w:sz w:val="20"/>
          <w:szCs w:val="20"/>
          <w:color w:val="auto"/>
        </w:rPr>
      </w:pPr>
    </w:p>
    <w:p>
      <w:pPr>
        <w:ind w:right="40" w:firstLine="469"/>
        <w:spacing w:after="0" w:line="309" w:lineRule="auto"/>
        <w:rPr>
          <w:sz w:val="20"/>
          <w:szCs w:val="20"/>
          <w:color w:val="auto"/>
        </w:rPr>
      </w:pPr>
      <w:r>
        <w:rPr>
          <w:rFonts w:ascii="Arial" w:cs="Arial" w:eastAsia="Arial" w:hAnsi="Arial"/>
          <w:sz w:val="16"/>
          <w:szCs w:val="16"/>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8 – </w:t>
      </w:r>
      <w:r>
        <w:rPr>
          <w:rFonts w:ascii="Arial" w:cs="Arial" w:eastAsia="Arial" w:hAnsi="Arial"/>
          <w:sz w:val="16"/>
          <w:szCs w:val="16"/>
          <w:i w:val="1"/>
          <w:iCs w:val="1"/>
          <w:color w:val="auto"/>
        </w:rPr>
        <w:t>Derivative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of the notes to the unaudited condensed consolidated financial statements of this report for additional information). Fees from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swaps decreased $2.2 million compared to the second quarter of 2020, due to lower volume of swap transactions. The steepening of the yield curve has made it less attractive for our customers to enter into interest rates swaps that convert floating rate loans to fixed rate instruments, compared to a conventional fixed rate loan. There were no executed swap agreements related to new loan originations for the second quarter of 2021, compared to executed swap agreements related to new loan originations with a notional amount totaling $126.2 million for the second quarter of 2020.</w:t>
      </w:r>
    </w:p>
    <w:p>
      <w:pPr>
        <w:spacing w:after="0" w:line="178" w:lineRule="exact"/>
        <w:rPr>
          <w:sz w:val="20"/>
          <w:szCs w:val="20"/>
          <w:color w:val="auto"/>
        </w:rPr>
      </w:pPr>
    </w:p>
    <w:p>
      <w:pPr>
        <w:ind w:right="20" w:firstLine="469"/>
        <w:spacing w:after="0" w:line="271" w:lineRule="auto"/>
        <w:rPr>
          <w:sz w:val="20"/>
          <w:szCs w:val="20"/>
          <w:color w:val="auto"/>
        </w:rPr>
      </w:pPr>
      <w:r>
        <w:rPr>
          <w:rFonts w:ascii="Arial" w:cs="Arial" w:eastAsia="Arial" w:hAnsi="Arial"/>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June 30, 2021, CitizensTrust had approximately $3.25 billion in assets under management and administration, including $2.40 billion in assets under management. CitizensTrust generated fees of $3.2 million for the second quarter of 2021, compared to $2.5 million for the second quarter of 2020, due to the growth in assets under management and investment services.</w:t>
      </w:r>
    </w:p>
    <w:p>
      <w:pPr>
        <w:spacing w:after="0" w:line="204" w:lineRule="exact"/>
        <w:rPr>
          <w:sz w:val="20"/>
          <w:szCs w:val="20"/>
          <w:color w:val="auto"/>
        </w:rPr>
      </w:pPr>
    </w:p>
    <w:p>
      <w:pPr>
        <w:jc w:val="both"/>
        <w:ind w:right="240" w:firstLine="469"/>
        <w:spacing w:after="0" w:line="266" w:lineRule="auto"/>
        <w:rPr>
          <w:sz w:val="20"/>
          <w:szCs w:val="20"/>
          <w:color w:val="auto"/>
        </w:rPr>
      </w:pPr>
      <w:r>
        <w:rPr>
          <w:rFonts w:ascii="Arial" w:cs="Arial" w:eastAsia="Arial" w:hAnsi="Arial"/>
          <w:sz w:val="18"/>
          <w:szCs w:val="18"/>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5" w:name="page46"/>
    <w:bookmarkEnd w:id="45"/>
    <w:p>
      <w:pPr>
        <w:ind w:right="20"/>
        <w:spacing w:after="0" w:line="293" w:lineRule="auto"/>
        <w:rPr>
          <w:sz w:val="20"/>
          <w:szCs w:val="20"/>
          <w:color w:val="auto"/>
        </w:rPr>
      </w:pPr>
      <w:r>
        <w:rPr>
          <w:rFonts w:ascii="Arial" w:cs="Arial" w:eastAsia="Arial" w:hAnsi="Arial"/>
          <w:sz w:val="18"/>
          <w:szCs w:val="18"/>
          <w:color w:val="auto"/>
        </w:rPr>
        <w:t>covered parties. There were no death benefits from our BOLI policies for the second quarter of 2021, compared to $450,000 in death benefits that exceeded cash surrender values of certain BOLI policies for the second quarter of 2020.</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Six Months of 2021 Compared to Six Months of 2020</w:t>
      </w:r>
    </w:p>
    <w:p>
      <w:pPr>
        <w:spacing w:after="0" w:line="252" w:lineRule="exact"/>
        <w:rPr>
          <w:sz w:val="20"/>
          <w:szCs w:val="20"/>
          <w:color w:val="auto"/>
        </w:rPr>
      </w:pPr>
    </w:p>
    <w:p>
      <w:pPr>
        <w:ind w:right="160" w:firstLine="469"/>
        <w:spacing w:after="0" w:line="272" w:lineRule="auto"/>
        <w:rPr>
          <w:sz w:val="20"/>
          <w:szCs w:val="20"/>
          <w:color w:val="auto"/>
        </w:rPr>
      </w:pPr>
      <w:r>
        <w:rPr>
          <w:rFonts w:ascii="Arial" w:cs="Arial" w:eastAsia="Arial" w:hAnsi="Arial"/>
          <w:sz w:val="18"/>
          <w:szCs w:val="18"/>
          <w:color w:val="auto"/>
        </w:rPr>
        <w:t>The $725,000 increase in noninterest income was primarily due to a $2.1 million increase in BOLI income which included $3.5 million in death benefits that exceeded the asset value of certain BOLI policies in for the first six months of 2021, compared to $1.2 million of death benefits included in our BOLI policies for the first six months of 2020</w:t>
      </w:r>
      <w:r>
        <w:rPr>
          <w:rFonts w:ascii="Arial" w:cs="Arial" w:eastAsia="Arial" w:hAnsi="Arial"/>
          <w:sz w:val="18"/>
          <w:szCs w:val="18"/>
          <w:color w:val="CC0000"/>
        </w:rPr>
        <w:t>.</w:t>
      </w:r>
      <w:r>
        <w:rPr>
          <w:rFonts w:ascii="Arial" w:cs="Arial" w:eastAsia="Arial" w:hAnsi="Arial"/>
          <w:sz w:val="18"/>
          <w:szCs w:val="18"/>
          <w:color w:val="auto"/>
        </w:rPr>
        <w:t xml:space="preserve"> Trust and investment services income also increased $881,000, compared with the first six months of 2020. Swap fee income decreased $2.3 million from the first six months of 2020 due to lower volume of swap transactions and service charges on deposit accounts decreased by $431,000 from the first six months of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various components of noninterest expense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9"/>
        </w:trPr>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9"/>
              </w:rPr>
              <w:t>Variance</w:t>
            </w:r>
          </w:p>
        </w:tc>
        <w:tc>
          <w:tcPr>
            <w:tcW w:w="5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2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i w:val="1"/>
                <w:iCs w:val="1"/>
                <w:color w:val="auto"/>
                <w:w w:val="96"/>
              </w:rPr>
              <w:t>(Dollars in thousands)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197"/>
        </w:trPr>
        <w:tc>
          <w:tcPr>
            <w:tcW w:w="2860" w:type="dxa"/>
            <w:vAlign w:val="bottom"/>
          </w:tcPr>
          <w:p>
            <w:pPr>
              <w:ind w:left="280"/>
              <w:spacing w:after="0"/>
              <w:rPr>
                <w:sz w:val="20"/>
                <w:szCs w:val="20"/>
                <w:color w:val="auto"/>
              </w:rPr>
            </w:pPr>
            <w:r>
              <w:rPr>
                <w:rFonts w:ascii="Arial" w:cs="Arial" w:eastAsia="Arial" w:hAnsi="Arial"/>
                <w:sz w:val="14"/>
                <w:szCs w:val="14"/>
                <w:color w:val="auto"/>
              </w:rPr>
              <w:t>Salaries and employee benefits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28,836</w:t>
            </w:r>
          </w:p>
        </w:tc>
        <w:tc>
          <w:tcPr>
            <w:tcW w:w="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28,706</w:t>
            </w:r>
          </w:p>
        </w:tc>
        <w:tc>
          <w:tcPr>
            <w:tcW w:w="3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0.45 %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58,542</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59,583</w:t>
            </w:r>
          </w:p>
        </w:tc>
        <w:tc>
          <w:tcPr>
            <w:tcW w:w="3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(1,041 )</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-1.75 %</w:t>
            </w:r>
          </w:p>
        </w:tc>
      </w:tr>
      <w:tr>
        <w:trPr>
          <w:trHeight w:val="208"/>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Occupancy</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4,256</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4.36 %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7,881</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6.12 %</w:t>
            </w:r>
          </w:p>
        </w:tc>
      </w:tr>
      <w:tr>
        <w:trPr>
          <w:trHeight w:val="197"/>
        </w:trPr>
        <w:tc>
          <w:tcPr>
            <w:tcW w:w="2860" w:type="dxa"/>
            <w:vAlign w:val="bottom"/>
          </w:tcPr>
          <w:p>
            <w:pPr>
              <w:ind w:left="280"/>
              <w:spacing w:after="0"/>
              <w:rPr>
                <w:sz w:val="20"/>
                <w:szCs w:val="20"/>
                <w:color w:val="auto"/>
              </w:rPr>
            </w:pPr>
            <w:r>
              <w:rPr>
                <w:rFonts w:ascii="Arial" w:cs="Arial" w:eastAsia="Arial" w:hAnsi="Arial"/>
                <w:sz w:val="14"/>
                <w:szCs w:val="14"/>
                <w:color w:val="auto"/>
              </w:rPr>
              <w:t>Equipment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693</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(260 )</w:t>
            </w: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-27.28 %</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1,449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1,987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(538 )</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-27.08 %</w:t>
            </w:r>
          </w:p>
        </w:tc>
      </w:tr>
      <w:tr>
        <w:trPr>
          <w:trHeight w:val="208"/>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Professional services</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(120 )</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-5.07 %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4,624</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(208 )</w:t>
            </w: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-4.50 %</w:t>
            </w:r>
          </w:p>
        </w:tc>
      </w:tr>
      <w:tr>
        <w:trPr>
          <w:trHeight w:val="197"/>
        </w:trPr>
        <w:tc>
          <w:tcPr>
            <w:tcW w:w="2860" w:type="dxa"/>
            <w:vAlign w:val="bottom"/>
          </w:tcPr>
          <w:p>
            <w:pPr>
              <w:ind w:left="280"/>
              <w:spacing w:after="0"/>
              <w:rPr>
                <w:sz w:val="20"/>
                <w:szCs w:val="20"/>
                <w:color w:val="auto"/>
              </w:rPr>
            </w:pPr>
            <w:r>
              <w:rPr>
                <w:rFonts w:ascii="Arial" w:cs="Arial" w:eastAsia="Arial" w:hAnsi="Arial"/>
                <w:sz w:val="14"/>
                <w:szCs w:val="14"/>
                <w:color w:val="auto"/>
              </w:rPr>
              <w:t>Computer software expense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2,657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(97 )</w:t>
            </w: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-3.52 %</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5,501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5,570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(69 )</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-1.24 %</w:t>
            </w:r>
          </w:p>
        </w:tc>
      </w:tr>
      <w:tr>
        <w:trPr>
          <w:trHeight w:val="208"/>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Marketing and promotion</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1,799</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43.35 %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(286 )</w:t>
            </w: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-10.18 %</w:t>
            </w:r>
          </w:p>
        </w:tc>
      </w:tr>
      <w:tr>
        <w:trPr>
          <w:trHeight w:val="184"/>
        </w:trPr>
        <w:tc>
          <w:tcPr>
            <w:tcW w:w="2860" w:type="dxa"/>
            <w:vAlign w:val="bottom"/>
          </w:tcPr>
          <w:p>
            <w:pPr>
              <w:ind w:left="280"/>
              <w:spacing w:after="0"/>
              <w:rPr>
                <w:sz w:val="20"/>
                <w:szCs w:val="20"/>
                <w:color w:val="auto"/>
              </w:rPr>
            </w:pPr>
            <w:r>
              <w:rPr>
                <w:rFonts w:ascii="Arial" w:cs="Arial" w:eastAsia="Arial" w:hAnsi="Arial"/>
                <w:sz w:val="14"/>
                <w:szCs w:val="14"/>
                <w:color w:val="auto"/>
              </w:rPr>
              <w:t>Amortization of intangible</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8"/>
        </w:trPr>
        <w:tc>
          <w:tcPr>
            <w:tcW w:w="2860" w:type="dxa"/>
            <w:vAlign w:val="bottom"/>
          </w:tcPr>
          <w:p>
            <w:pPr>
              <w:ind w:left="38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2,167</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2,445</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(278 )</w:t>
            </w:r>
          </w:p>
        </w:tc>
        <w:tc>
          <w:tcPr>
            <w:tcW w:w="16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-11.37 %</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4,334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4,890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(556 )</w:t>
            </w:r>
          </w:p>
        </w:tc>
        <w:tc>
          <w:tcPr>
            <w:tcW w:w="2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-11.37 %</w:t>
            </w:r>
          </w:p>
        </w:tc>
      </w:tr>
      <w:tr>
        <w:trPr>
          <w:trHeight w:val="208"/>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Telecommunications expense</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(124 )</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-19.08 %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1,286</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(208 )</w:t>
            </w: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-16.17 %</w:t>
            </w:r>
          </w:p>
        </w:tc>
      </w:tr>
      <w:tr>
        <w:trPr>
          <w:trHeight w:val="196"/>
        </w:trPr>
        <w:tc>
          <w:tcPr>
            <w:tcW w:w="2860" w:type="dxa"/>
            <w:vAlign w:val="bottom"/>
          </w:tcPr>
          <w:p>
            <w:pPr>
              <w:ind w:left="280"/>
              <w:spacing w:after="0"/>
              <w:rPr>
                <w:sz w:val="20"/>
                <w:szCs w:val="20"/>
                <w:color w:val="auto"/>
              </w:rPr>
            </w:pPr>
            <w:r>
              <w:rPr>
                <w:rFonts w:ascii="Arial" w:cs="Arial" w:eastAsia="Arial" w:hAnsi="Arial"/>
                <w:sz w:val="14"/>
                <w:szCs w:val="14"/>
                <w:color w:val="auto"/>
              </w:rPr>
              <w:t>Regulatory assessments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1,139</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582.04 %</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2,198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1,883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597.78 %</w:t>
            </w:r>
          </w:p>
        </w:tc>
      </w:tr>
      <w:tr>
        <w:trPr>
          <w:trHeight w:val="209"/>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Insurance</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17.88 %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14.65 %</w:t>
            </w:r>
          </w:p>
        </w:tc>
      </w:tr>
      <w:tr>
        <w:trPr>
          <w:trHeight w:val="196"/>
        </w:trPr>
        <w:tc>
          <w:tcPr>
            <w:tcW w:w="2860" w:type="dxa"/>
            <w:vAlign w:val="bottom"/>
          </w:tcPr>
          <w:p>
            <w:pPr>
              <w:ind w:left="280"/>
              <w:spacing w:after="0"/>
              <w:rPr>
                <w:sz w:val="20"/>
                <w:szCs w:val="20"/>
                <w:color w:val="auto"/>
              </w:rPr>
            </w:pPr>
            <w:r>
              <w:rPr>
                <w:rFonts w:ascii="Arial" w:cs="Arial" w:eastAsia="Arial" w:hAnsi="Arial"/>
                <w:sz w:val="14"/>
                <w:szCs w:val="14"/>
                <w:color w:val="auto"/>
              </w:rPr>
              <w:t>Loan expense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(58 )</w:t>
            </w: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-15.72 %</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(77 )</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-12.30 %</w:t>
            </w:r>
          </w:p>
        </w:tc>
      </w:tr>
      <w:tr>
        <w:trPr>
          <w:trHeight w:val="209"/>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OREO expense</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(79 )</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-70.54 %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(328 )</w:t>
            </w: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-88.65 %</w:t>
            </w:r>
          </w:p>
        </w:tc>
      </w:tr>
      <w:tr>
        <w:trPr>
          <w:trHeight w:val="184"/>
        </w:trPr>
        <w:tc>
          <w:tcPr>
            <w:tcW w:w="2860" w:type="dxa"/>
            <w:vAlign w:val="bottom"/>
          </w:tcPr>
          <w:p>
            <w:pPr>
              <w:ind w:left="280"/>
              <w:spacing w:after="0"/>
              <w:rPr>
                <w:sz w:val="20"/>
                <w:szCs w:val="20"/>
                <w:color w:val="auto"/>
              </w:rPr>
            </w:pPr>
            <w:r>
              <w:rPr>
                <w:rFonts w:ascii="Arial" w:cs="Arial" w:eastAsia="Arial" w:hAnsi="Arial"/>
                <w:sz w:val="14"/>
                <w:szCs w:val="14"/>
                <w:color w:val="auto"/>
              </w:rPr>
              <w:t>(Recapture of) provision for</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8"/>
        </w:trPr>
        <w:tc>
          <w:tcPr>
            <w:tcW w:w="2860" w:type="dxa"/>
            <w:vAlign w:val="bottom"/>
          </w:tcPr>
          <w:p>
            <w:pPr>
              <w:ind w:left="380"/>
              <w:spacing w:after="0"/>
              <w:rPr>
                <w:sz w:val="20"/>
                <w:szCs w:val="20"/>
                <w:color w:val="auto"/>
              </w:rPr>
            </w:pPr>
            <w:r>
              <w:rPr>
                <w:rFonts w:ascii="Arial" w:cs="Arial" w:eastAsia="Arial" w:hAnsi="Arial"/>
                <w:sz w:val="14"/>
                <w:szCs w:val="14"/>
                <w:color w:val="auto"/>
              </w:rPr>
              <w:t>unfunded loan commitments</w:t>
            </w:r>
          </w:p>
        </w:tc>
        <w:tc>
          <w:tcPr>
            <w:tcW w:w="16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(1,000 )</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(1,000 )</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(1,000 )</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(1,000 )</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r>
      <w:tr>
        <w:trPr>
          <w:trHeight w:val="208"/>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Directors' expenses</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8.66 %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8.32 %</w:t>
            </w:r>
          </w:p>
        </w:tc>
      </w:tr>
      <w:tr>
        <w:trPr>
          <w:trHeight w:val="197"/>
        </w:trPr>
        <w:tc>
          <w:tcPr>
            <w:tcW w:w="2860" w:type="dxa"/>
            <w:vAlign w:val="bottom"/>
          </w:tcPr>
          <w:p>
            <w:pPr>
              <w:ind w:left="280"/>
              <w:spacing w:after="0"/>
              <w:rPr>
                <w:sz w:val="20"/>
                <w:szCs w:val="20"/>
                <w:color w:val="auto"/>
              </w:rPr>
            </w:pPr>
            <w:r>
              <w:rPr>
                <w:rFonts w:ascii="Arial" w:cs="Arial" w:eastAsia="Arial" w:hAnsi="Arial"/>
                <w:sz w:val="14"/>
                <w:szCs w:val="14"/>
                <w:color w:val="auto"/>
              </w:rPr>
              <w:t>Stationery and supplies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(141 )</w:t>
            </w: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-36.91 %</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(182 )</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-27.29 %</w:t>
            </w:r>
          </w:p>
        </w:tc>
      </w:tr>
      <w:tr>
        <w:trPr>
          <w:trHeight w:val="208"/>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1,795</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26.86 %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3,551</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2,929</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21.24 %</w:t>
            </w:r>
          </w:p>
        </w:tc>
      </w:tr>
      <w:tr>
        <w:trPr>
          <w:trHeight w:val="20"/>
        </w:trPr>
        <w:tc>
          <w:tcPr>
            <w:tcW w:w="2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2860" w:type="dxa"/>
            <w:vAlign w:val="bottom"/>
          </w:tcPr>
          <w:p>
            <w:pPr>
              <w:ind w:left="520"/>
              <w:spacing w:after="0"/>
              <w:rPr>
                <w:sz w:val="20"/>
                <w:szCs w:val="20"/>
                <w:color w:val="auto"/>
              </w:rPr>
            </w:pPr>
            <w:r>
              <w:rPr>
                <w:rFonts w:ascii="Arial" w:cs="Arial" w:eastAsia="Arial" w:hAnsi="Arial"/>
                <w:sz w:val="14"/>
                <w:szCs w:val="14"/>
                <w:color w:val="auto"/>
              </w:rPr>
              <w:t>Total noninterest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46,545</w:t>
            </w:r>
          </w:p>
        </w:tc>
        <w:tc>
          <w:tcPr>
            <w:tcW w:w="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46,398</w:t>
            </w:r>
          </w:p>
        </w:tc>
        <w:tc>
          <w:tcPr>
            <w:tcW w:w="3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0.32 %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93,708</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95,039</w:t>
            </w:r>
          </w:p>
        </w:tc>
        <w:tc>
          <w:tcPr>
            <w:tcW w:w="3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(1,331 )</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-1.40 %</w:t>
            </w:r>
          </w:p>
        </w:tc>
      </w:tr>
      <w:tr>
        <w:trPr>
          <w:trHeight w:val="20"/>
        </w:trPr>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2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28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Noninterest expense to average</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94"/>
        </w:trPr>
        <w:tc>
          <w:tcPr>
            <w:tcW w:w="2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1.23 %</w:t>
            </w: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1.48 %</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1.27 %</w:t>
            </w: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1.59 %</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190"/>
        </w:trPr>
        <w:tc>
          <w:tcPr>
            <w:tcW w:w="2860" w:type="dxa"/>
            <w:vAlign w:val="bottom"/>
          </w:tcPr>
          <w:p>
            <w:pPr>
              <w:ind w:left="280"/>
              <w:spacing w:after="0"/>
              <w:rPr>
                <w:sz w:val="20"/>
                <w:szCs w:val="20"/>
                <w:color w:val="auto"/>
              </w:rPr>
            </w:pPr>
            <w:r>
              <w:rPr>
                <w:rFonts w:ascii="Arial" w:cs="Arial" w:eastAsia="Arial" w:hAnsi="Arial"/>
                <w:sz w:val="14"/>
                <w:szCs w:val="14"/>
                <w:color w:val="auto"/>
              </w:rPr>
              <w:t>Efficiency ratio (1)</w:t>
            </w:r>
          </w:p>
        </w:tc>
        <w:tc>
          <w:tcPr>
            <w:tcW w:w="1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40.05 %</w:t>
            </w:r>
          </w:p>
        </w:tc>
        <w:tc>
          <w:tcPr>
            <w:tcW w:w="1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39.75 %</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40.15 %</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41.20 %</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-648970</wp:posOffset>
            </wp:positionV>
            <wp:extent cx="240030"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-648970</wp:posOffset>
            </wp:positionV>
            <wp:extent cx="240030"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-648970</wp:posOffset>
            </wp:positionV>
            <wp:extent cx="18034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-648970</wp:posOffset>
            </wp:positionV>
            <wp:extent cx="24892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-648970</wp:posOffset>
            </wp:positionV>
            <wp:extent cx="222885"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-648970</wp:posOffset>
            </wp:positionV>
            <wp:extent cx="222885"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-648970</wp:posOffset>
            </wp:positionV>
            <wp:extent cx="162560"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-648970</wp:posOffset>
            </wp:positionV>
            <wp:extent cx="137160"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16" w:lineRule="exact"/>
        <w:rPr>
          <w:sz w:val="20"/>
          <w:szCs w:val="20"/>
          <w:color w:val="auto"/>
        </w:rPr>
      </w:pPr>
    </w:p>
    <w:p>
      <w:pPr>
        <w:ind w:left="1460" w:hanging="329"/>
        <w:spacing w:after="0"/>
        <w:tabs>
          <w:tab w:leader="none" w:pos="1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Noninterest expense divided by net interest income before provision for credit losses plus noninterest income.</w:t>
      </w:r>
    </w:p>
    <w:p>
      <w:pPr>
        <w:spacing w:after="0" w:line="221" w:lineRule="exact"/>
        <w:rPr>
          <w:sz w:val="20"/>
          <w:szCs w:val="20"/>
          <w:color w:val="auto"/>
        </w:rPr>
      </w:pPr>
    </w:p>
    <w:p>
      <w:pPr>
        <w:ind w:right="80" w:firstLine="469"/>
        <w:spacing w:after="0" w:line="275" w:lineRule="auto"/>
        <w:rPr>
          <w:sz w:val="20"/>
          <w:szCs w:val="20"/>
          <w:color w:val="auto"/>
        </w:rPr>
      </w:pPr>
      <w:r>
        <w:rPr>
          <w:rFonts w:ascii="Arial" w:cs="Arial" w:eastAsia="Arial" w:hAnsi="Arial"/>
          <w:sz w:val="18"/>
          <w:szCs w:val="18"/>
          <w:color w:val="auto"/>
        </w:rPr>
        <w:t>Our ability to control noninterest expenses in relation to asset growth can be measured in terms of total noninterest expenses as a percentage of average assets. Noninterest expense as a percentage of average assets was 1.23% for the second quarter of 2021, compared to 1.48% for the second quarter of 2020. The decline in this ratio for 2021 reflects the $2.58 billion growth in average assets that resulted primarily from $2.28 billion in average deposit growth.</w:t>
      </w:r>
    </w:p>
    <w:p>
      <w:pPr>
        <w:spacing w:after="0" w:line="199" w:lineRule="exact"/>
        <w:rPr>
          <w:sz w:val="20"/>
          <w:szCs w:val="20"/>
          <w:color w:val="auto"/>
        </w:rPr>
      </w:pPr>
    </w:p>
    <w:p>
      <w:pPr>
        <w:ind w:right="100" w:firstLine="469"/>
        <w:spacing w:after="0" w:line="279" w:lineRule="auto"/>
        <w:rPr>
          <w:sz w:val="20"/>
          <w:szCs w:val="20"/>
          <w:color w:val="auto"/>
        </w:rPr>
      </w:pPr>
      <w:r>
        <w:rPr>
          <w:rFonts w:ascii="Arial" w:cs="Arial" w:eastAsia="Arial" w:hAnsi="Arial"/>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40.05% for the second quarter of 2021, compared to 39.75% for the second quarter of 2020.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6" w:name="page47"/>
    <w:bookmarkEnd w:id="46"/>
    <w:p>
      <w:pPr>
        <w:ind w:left="480"/>
        <w:spacing w:after="0"/>
        <w:rPr>
          <w:sz w:val="20"/>
          <w:szCs w:val="20"/>
          <w:color w:val="auto"/>
        </w:rPr>
      </w:pPr>
      <w:r>
        <w:rPr>
          <w:rFonts w:ascii="Arial" w:cs="Arial" w:eastAsia="Arial" w:hAnsi="Arial"/>
          <w:sz w:val="18"/>
          <w:szCs w:val="18"/>
          <w:i w:val="1"/>
          <w:iCs w:val="1"/>
          <w:color w:val="auto"/>
        </w:rPr>
        <w:t>Second Quarter of 2021 Compared to the Second Quarter of 2020</w:t>
      </w:r>
    </w:p>
    <w:p>
      <w:pPr>
        <w:spacing w:after="0" w:line="252" w:lineRule="exact"/>
        <w:rPr>
          <w:sz w:val="20"/>
          <w:szCs w:val="20"/>
          <w:color w:val="auto"/>
        </w:rPr>
      </w:pPr>
    </w:p>
    <w:p>
      <w:pPr>
        <w:ind w:right="40" w:firstLine="464"/>
        <w:spacing w:after="0" w:line="288" w:lineRule="auto"/>
        <w:rPr>
          <w:sz w:val="20"/>
          <w:szCs w:val="20"/>
          <w:color w:val="auto"/>
        </w:rPr>
      </w:pPr>
      <w:r>
        <w:rPr>
          <w:rFonts w:ascii="Arial" w:cs="Arial" w:eastAsia="Arial" w:hAnsi="Arial"/>
          <w:sz w:val="17"/>
          <w:szCs w:val="17"/>
          <w:color w:val="auto"/>
        </w:rPr>
        <w:t>Noninterest expense of $46.5 million for the second quarter of 2021 was $147,000, or 0.32%, higher than the second quarter of 2020. An increase of $972,000 in regulatory assessment expense in the second quarter of 2021, compared to the prior year quarter, resulted from the final application of assessment credits provided by the FDIC at the end of the second quarter of 2020. Additionally, the $544,000 increase in marketing and promotion expense included approximately $300,000 in higher levels of donations, due to the timing of contributions made during the second quarter of 2021 to community groups throughout our geographic footprint. These increases were partially offset by a $1.0 million recapture of provision for unfunded loan commitments in the second quarter of 2021. The recapture was the result of our improving economic forecast and the resulting impact from the macroeconomic variables on lower expected losses from unfunded commitments.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Six Months of 2021 Compared to Six Months of 2020</w:t>
      </w:r>
    </w:p>
    <w:p>
      <w:pPr>
        <w:spacing w:after="0" w:line="252" w:lineRule="exact"/>
        <w:rPr>
          <w:sz w:val="20"/>
          <w:szCs w:val="20"/>
          <w:color w:val="auto"/>
        </w:rPr>
      </w:pPr>
    </w:p>
    <w:p>
      <w:pPr>
        <w:ind w:firstLine="464"/>
        <w:spacing w:after="0" w:line="287" w:lineRule="auto"/>
        <w:rPr>
          <w:sz w:val="20"/>
          <w:szCs w:val="20"/>
          <w:color w:val="auto"/>
        </w:rPr>
      </w:pPr>
      <w:r>
        <w:rPr>
          <w:rFonts w:ascii="Arial" w:cs="Arial" w:eastAsia="Arial" w:hAnsi="Arial"/>
          <w:sz w:val="17"/>
          <w:szCs w:val="17"/>
          <w:color w:val="auto"/>
        </w:rPr>
        <w:t>Noninterest expense of $93.7 million for the first six months of 2021 was $1.3 million lower than the prior year period. Salaries and employee benefits declined by $1.0 million from the second quarter of 2020, due to lower employee benefit expense and the impact of a $449,000 increase in deferred loan origination costs, which are a contra expense, due primarily to the origination of more than 1,900 PPP loans in the first six months of 2021. The year-over-year decrease also included the $1.0 million recapture of provision for unfunded loan commitments in the second quarter of 2021 and a $556,000 decrease in amortization of CDI year-over-year. An increase of $1.9 million in regulatory assessment expense was the result of the final application of assessment credits provided by the FDIC at the end of the second quarter of 2020. As a percentage of average assets, noninterest expense was 1.27% for the six months ended June 30, 2021, compared to 1.59% for the same period of 2020. For the six months ended June 30, 2021, the efficiency ratio was 40.15%, compared to 41.20% for the same period of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right="100" w:firstLine="469"/>
        <w:spacing w:after="0" w:line="279" w:lineRule="auto"/>
        <w:rPr>
          <w:sz w:val="20"/>
          <w:szCs w:val="20"/>
          <w:color w:val="auto"/>
        </w:rPr>
      </w:pPr>
      <w:r>
        <w:rPr>
          <w:rFonts w:ascii="Arial" w:cs="Arial" w:eastAsia="Arial" w:hAnsi="Arial"/>
          <w:sz w:val="18"/>
          <w:szCs w:val="18"/>
          <w:color w:val="auto"/>
        </w:rPr>
        <w:t>The Company’s effective tax rate for the three and six months ended June 30, 2021 was 28.60%, compared to 29.23% and 29.00% for the three and six months ended June 30, 2020, respectively. Our estimated annual effective tax rate varies depending upon the level of tax-advantaged income as well as available tax credits.</w:t>
      </w:r>
    </w:p>
    <w:p>
      <w:pPr>
        <w:spacing w:after="0" w:line="196" w:lineRule="exact"/>
        <w:rPr>
          <w:sz w:val="20"/>
          <w:szCs w:val="20"/>
          <w:color w:val="auto"/>
        </w:rPr>
      </w:pPr>
    </w:p>
    <w:p>
      <w:pPr>
        <w:ind w:right="240" w:firstLine="469"/>
        <w:spacing w:after="0" w:line="324" w:lineRule="auto"/>
        <w:rPr>
          <w:sz w:val="20"/>
          <w:szCs w:val="20"/>
          <w:color w:val="auto"/>
        </w:rPr>
      </w:pPr>
      <w:r>
        <w:rPr>
          <w:rFonts w:ascii="Arial" w:cs="Arial" w:eastAsia="Arial" w:hAnsi="Arial"/>
          <w:sz w:val="17"/>
          <w:szCs w:val="17"/>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ANALYSIS OF FINANCIAL CONDITION</w:t>
      </w:r>
    </w:p>
    <w:p>
      <w:pPr>
        <w:spacing w:after="0" w:line="256" w:lineRule="exact"/>
        <w:rPr>
          <w:sz w:val="20"/>
          <w:szCs w:val="20"/>
          <w:color w:val="auto"/>
        </w:rPr>
      </w:pPr>
    </w:p>
    <w:p>
      <w:pPr>
        <w:ind w:right="60" w:firstLine="469"/>
        <w:spacing w:after="0" w:line="270" w:lineRule="auto"/>
        <w:rPr>
          <w:sz w:val="20"/>
          <w:szCs w:val="20"/>
          <w:color w:val="auto"/>
        </w:rPr>
      </w:pPr>
      <w:r>
        <w:rPr>
          <w:rFonts w:ascii="Arial" w:cs="Arial" w:eastAsia="Arial" w:hAnsi="Arial"/>
          <w:sz w:val="18"/>
          <w:szCs w:val="18"/>
          <w:color w:val="auto"/>
        </w:rPr>
        <w:t>Total assets of $15.54 billion at June 30, 2021 increased $1.12 billion, or 7.77%, from total assets of $14.42 billion at December 31, 2020. Interest-earning assets totaled $14.26 billion at June 30, 2021 increased $1.04 billion, or 7.86%, when compared with $13.22 billion at December 31, 2020. The increase in interest-earning assets was primarily due to a $991.4 million increase in investment securities and a $342.5 million increase in interest-earning balances due from the Federal Reserve, partially offset by a $277.5 million decrease in total loans. As of June 30, 2021, we originated approximately 1,900 SBA PPP loans in round two, with a loan balance, at amortized cost, of $395.3 million outstanding at June 30, 2021. Of the 4,100 PPP loans we originated in 2020, $262.5 million remained outstanding at June 30, 2021. Excluding PPP loans, total loans declined by $52.3 million, or 0.70%, from December 31, 2020.</w:t>
      </w:r>
    </w:p>
    <w:p>
      <w:pPr>
        <w:spacing w:after="0" w:line="206" w:lineRule="exact"/>
        <w:rPr>
          <w:sz w:val="20"/>
          <w:szCs w:val="20"/>
          <w:color w:val="auto"/>
        </w:rPr>
      </w:pPr>
    </w:p>
    <w:p>
      <w:pPr>
        <w:ind w:right="40" w:firstLine="469"/>
        <w:spacing w:after="0" w:line="272" w:lineRule="auto"/>
        <w:rPr>
          <w:sz w:val="20"/>
          <w:szCs w:val="20"/>
          <w:color w:val="auto"/>
        </w:rPr>
      </w:pPr>
      <w:r>
        <w:rPr>
          <w:rFonts w:ascii="Arial" w:cs="Arial" w:eastAsia="Arial" w:hAnsi="Arial"/>
          <w:sz w:val="18"/>
          <w:szCs w:val="18"/>
          <w:color w:val="auto"/>
        </w:rPr>
        <w:t>Total liabilities were $13.48 billion at June 30, 2021, an increase of $1.07 billion, or 8.64%, from total liabilities of $12.41 billion at December 31, 2020. Total deposits grew by $932.6 million, or 7.95%. Total equity increased $47.1 million, or 2.34%, to $2.06 billion at June 30, 2021, compared to total equity of $2.01 billion at December 31, 2020. The $47.1 million increase in equity was primarily due to net earnings of $115.1 million for the first six months of 2021, partially offset by a $22.1 million decrease in other comprehensive income from the tax-effected impact of the decrease in market value of available-for-sale securities and $49.0 million in cash dividends.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ind w:right="20" w:firstLine="469"/>
        <w:spacing w:after="0" w:line="285" w:lineRule="auto"/>
        <w:rPr>
          <w:sz w:val="20"/>
          <w:szCs w:val="20"/>
          <w:color w:val="auto"/>
        </w:rPr>
      </w:pPr>
      <w:r>
        <w:rPr>
          <w:rFonts w:ascii="Arial" w:cs="Arial" w:eastAsia="Arial" w:hAnsi="Arial"/>
          <w:sz w:val="17"/>
          <w:szCs w:val="17"/>
          <w:color w:val="auto"/>
        </w:rPr>
        <w:t>The Company maintains a portfolio of investment securities to provide interest income and to serve as a source of liquidity for its ongoing operations. At June 30, 2021, total investment securities were $3.97 billion. This represented an increase of $991.4 million, or 33.30%, from total investment securities of $2.98 billion at December 31, 2020. The increase in investment securities was primarily due to new securities purchased exceeding cash outflow from the portfolio in the second quarter of 2021. At June 30, 2021, investment securities HTM totaled $1.04 billion. At June 30, 2021, our AFS investment securities totaled $2.93 billion, inclusive of a pre-tax net unrealized gain of $23.3 million. The after-tax unrealized gain reported in AOCI on AFS investment securities was $16.4 million. The changes in the net unrealized holding gain resulted primarily from fluctuations in market interest rates. For the six months ended June 30, 2021 and 2020, repayments/maturities of investment securities totaled $507.9 million and $318.5 million, respectively. The Company purchased additional investment securities totaling $1.55 billion and $163.6 million for the six months ended June 30, 2021 and 2020, respectively. The current quarter purchases included $317.1 million of AFS securities with an average investment yield of approximately 1.69%, compared to $1.23 billion of securities purchased in the first quarter of 2021, with an average expected yield of approximately 1.57%. First quarter purchases included $682.9 million in AFS securities that were comprised of MBS with average lives of less than five years that are expected to yield approximately 1.37% and $545.7 million in HTM securities that were comprised of fixed rate agency and municipal bonds, with longer maturities that on average exceed 10 years that will generate a yield of approximately 1.81% on a non-tax equivalent basis. There were no investment securities sold during the first six months of 2021 and 2020.</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tables below set forth our investment securities AFS and HTM portfolio by type for the dates presented.</w:t>
      </w:r>
    </w:p>
    <w:p>
      <w:pPr>
        <w:spacing w:after="0" w:line="262"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26035</wp:posOffset>
            </wp:positionV>
            <wp:extent cx="450024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Holding Loss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20"/>
                <w:szCs w:val="20"/>
                <w:color w:val="auto"/>
              </w:rPr>
            </w:pPr>
          </w:p>
        </w:tc>
      </w:tr>
      <w:tr>
        <w:trPr>
          <w:trHeight w:val="250"/>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5"/>
          </w:tcPr>
          <w:p>
            <w:pPr>
              <w:jc w:val="right"/>
              <w:ind w:right="300"/>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2,218,714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(10,886 )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2,242,503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76.48 %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660,322</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(5,348 )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658,549</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22.46 %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29,959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1.02 %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2,908,746</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39,509</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(16,234 )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2,932,021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Government agency/GSE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592,611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(4,115 )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598,729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57.15 %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124,894</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(165 )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130,538</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12.05 %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106,699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108,997</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10.29 %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212,720</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(915 )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217,259</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20.51 %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1,036,924</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23,794</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(5,195 )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1,055,523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39"/>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gridSpan w:val="3"/>
          </w:tcPr>
          <w:p>
            <w:pPr>
              <w:jc w:val="right"/>
              <w:ind w:right="89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4"/>
        </w:trPr>
        <w:tc>
          <w:tcPr>
            <w:tcW w:w="3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-1727835</wp:posOffset>
            </wp:positionV>
            <wp:extent cx="214630"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-1727835</wp:posOffset>
            </wp:positionV>
            <wp:extent cx="214630"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-1727835</wp:posOffset>
            </wp:positionV>
            <wp:extent cx="214630" cy="57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-1727835</wp:posOffset>
            </wp:positionV>
            <wp:extent cx="196850"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-1727835</wp:posOffset>
            </wp:positionV>
            <wp:extent cx="137160"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-716280</wp:posOffset>
            </wp:positionV>
            <wp:extent cx="214630"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-716280</wp:posOffset>
            </wp:positionV>
            <wp:extent cx="214630"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-716280</wp:posOffset>
            </wp:positionV>
            <wp:extent cx="214630"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-716280</wp:posOffset>
            </wp:positionV>
            <wp:extent cx="196850" cy="57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-716280</wp:posOffset>
            </wp:positionV>
            <wp:extent cx="137160"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1"/>
              </w:rPr>
              <w:t>December 31, 2020</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Holding Loss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20"/>
                <w:szCs w:val="20"/>
                <w:color w:val="auto"/>
              </w:rPr>
            </w:pPr>
          </w:p>
        </w:tc>
      </w:tr>
      <w:tr>
        <w:trPr>
          <w:trHeight w:val="250"/>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5"/>
          </w:tcPr>
          <w:p>
            <w:pPr>
              <w:jc w:val="right"/>
              <w:ind w:right="300"/>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1,857,030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48,006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1,904,935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79.41 %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457,548</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(249 )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462,814</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19.29 %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30,285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1.26 %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2,344,174</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55,099</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2,398,923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Government agency/GSE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98,663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5,877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104,540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17.05 %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146,382</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153,994</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25.30 %</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145,309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150,511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25.11 %</w:t>
            </w: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188,272</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6,980</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(74 )</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195,178</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32.54 %</w:t>
            </w:r>
          </w:p>
        </w:tc>
      </w:tr>
      <w:tr>
        <w:trPr>
          <w:trHeight w:val="20"/>
        </w:trPr>
        <w:tc>
          <w:tcPr>
            <w:tcW w:w="3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578,626</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25,703</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604,223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-1205230</wp:posOffset>
            </wp:positionV>
            <wp:extent cx="214630" cy="57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-1205230</wp:posOffset>
            </wp:positionV>
            <wp:extent cx="214630" cy="57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-1205230</wp:posOffset>
            </wp:positionV>
            <wp:extent cx="214630" cy="57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-1205230</wp:posOffset>
            </wp:positionV>
            <wp:extent cx="196850" cy="57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-1205230</wp:posOffset>
            </wp:positionV>
            <wp:extent cx="137160" cy="57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-193675</wp:posOffset>
            </wp:positionV>
            <wp:extent cx="214630" cy="57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-193675</wp:posOffset>
            </wp:positionV>
            <wp:extent cx="214630" cy="57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-193675</wp:posOffset>
            </wp:positionV>
            <wp:extent cx="214630" cy="57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wp:posOffset>
            </wp:positionV>
            <wp:extent cx="196850"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-193675</wp:posOffset>
            </wp:positionV>
            <wp:extent cx="137160"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9" w:lineRule="exact"/>
        <w:rPr>
          <w:sz w:val="20"/>
          <w:szCs w:val="20"/>
          <w:color w:val="auto"/>
        </w:rPr>
      </w:pPr>
    </w:p>
    <w:p>
      <w:pPr>
        <w:ind w:firstLine="469"/>
        <w:spacing w:after="0" w:line="279" w:lineRule="auto"/>
        <w:rPr>
          <w:sz w:val="20"/>
          <w:szCs w:val="20"/>
          <w:color w:val="auto"/>
        </w:rPr>
      </w:pPr>
      <w:r>
        <w:rPr>
          <w:rFonts w:ascii="Arial" w:cs="Arial" w:eastAsia="Arial" w:hAnsi="Arial"/>
          <w:sz w:val="18"/>
          <w:szCs w:val="18"/>
          <w:color w:val="auto"/>
        </w:rPr>
        <w:t>As of June 30, 2021, approximately $57.6 million in U.S. government agency bonds are callable. The Agency CMO/REMIC securities are backed by agency-pooled collateral. Municipal bonds, which represented approximately 6% of the total investment portfolio, are predominately AA or higher rated securities.</w:t>
      </w:r>
    </w:p>
    <w:p>
      <w:pPr>
        <w:spacing w:after="0" w:line="196" w:lineRule="exact"/>
        <w:rPr>
          <w:sz w:val="20"/>
          <w:szCs w:val="20"/>
          <w:color w:val="auto"/>
        </w:rPr>
      </w:pPr>
    </w:p>
    <w:p>
      <w:pPr>
        <w:ind w:right="40" w:firstLine="464"/>
        <w:spacing w:after="0" w:line="293"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June 30,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auto"/>
                <w:w w:val="90"/>
              </w:rPr>
              <w:t>June 30, 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9"/>
                <w:szCs w:val="19"/>
                <w:color w:val="auto"/>
              </w:rPr>
            </w:pPr>
          </w:p>
        </w:tc>
        <w:tc>
          <w:tcPr>
            <w:tcW w:w="20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12 Months or Longer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r>
      <w:tr>
        <w:trPr>
          <w:trHeight w:val="220"/>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tcPr>
          <w:p>
            <w:pPr>
              <w:jc w:val="center"/>
              <w:ind w:right="19"/>
              <w:spacing w:after="0"/>
              <w:rPr>
                <w:sz w:val="20"/>
                <w:szCs w:val="20"/>
                <w:color w:val="auto"/>
              </w:rPr>
            </w:pPr>
            <w:r>
              <w:rPr>
                <w:rFonts w:ascii="Arial" w:cs="Arial" w:eastAsia="Arial" w:hAnsi="Arial"/>
                <w:sz w:val="16"/>
                <w:szCs w:val="16"/>
                <w:i w:val="1"/>
                <w:iCs w:val="1"/>
                <w:color w:val="auto"/>
                <w:w w:val="93"/>
              </w:rPr>
              <w:t>(Dollars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6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1,134,903</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(10,886 )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1,134,903</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(10,886 )</w:t>
            </w:r>
          </w:p>
        </w:tc>
      </w:tr>
      <w:tr>
        <w:trPr>
          <w:trHeight w:val="239"/>
        </w:trPr>
        <w:tc>
          <w:tcPr>
            <w:tcW w:w="35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486,494</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(5,348 )</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486,494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(5,348 )</w:t>
            </w:r>
          </w:p>
        </w:tc>
      </w:tr>
      <w:tr>
        <w:trPr>
          <w:trHeight w:val="226"/>
        </w:trPr>
        <w:tc>
          <w:tcPr>
            <w:tcW w:w="356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46"/>
        </w:trPr>
        <w:tc>
          <w:tcPr>
            <w:tcW w:w="35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1,621,397</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(16,234 )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1,621,397</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(16,234 )</w:t>
            </w: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33"/>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auto"/>
                <w:w w:val="90"/>
              </w:rPr>
              <w:t>December 31, 2020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9"/>
                <w:szCs w:val="19"/>
                <w:color w:val="auto"/>
              </w:rPr>
            </w:pPr>
          </w:p>
        </w:tc>
        <w:tc>
          <w:tcPr>
            <w:tcW w:w="20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12 Months or Longer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Holding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Holding</w:t>
            </w:r>
          </w:p>
        </w:tc>
      </w:tr>
      <w:tr>
        <w:trPr>
          <w:trHeight w:val="223"/>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r>
      <w:tr>
        <w:trPr>
          <w:trHeight w:val="220"/>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tcPr>
          <w:p>
            <w:pPr>
              <w:jc w:val="center"/>
              <w:ind w:right="19"/>
              <w:spacing w:after="0"/>
              <w:rPr>
                <w:sz w:val="20"/>
                <w:szCs w:val="20"/>
                <w:color w:val="auto"/>
              </w:rPr>
            </w:pPr>
            <w:r>
              <w:rPr>
                <w:rFonts w:ascii="Arial" w:cs="Arial" w:eastAsia="Arial" w:hAnsi="Arial"/>
                <w:sz w:val="16"/>
                <w:szCs w:val="16"/>
                <w:i w:val="1"/>
                <w:iCs w:val="1"/>
                <w:color w:val="auto"/>
                <w:w w:val="93"/>
              </w:rPr>
              <w:t>(Dollars 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6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72,219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(101 )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72,219</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(101 )</w:t>
            </w:r>
          </w:p>
        </w:tc>
      </w:tr>
      <w:tr>
        <w:trPr>
          <w:trHeight w:val="239"/>
        </w:trPr>
        <w:tc>
          <w:tcPr>
            <w:tcW w:w="35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96,974</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(249 )</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96,974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(249 )</w:t>
            </w:r>
          </w:p>
        </w:tc>
      </w:tr>
      <w:tr>
        <w:trPr>
          <w:trHeight w:val="226"/>
        </w:trPr>
        <w:tc>
          <w:tcPr>
            <w:tcW w:w="356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46"/>
        </w:trPr>
        <w:tc>
          <w:tcPr>
            <w:tcW w:w="35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169,193</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169,193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(350 )</w:t>
            </w: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-1927860</wp:posOffset>
            </wp:positionV>
            <wp:extent cx="20574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-1910715</wp:posOffset>
            </wp:positionV>
            <wp:extent cx="20574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-1927860</wp:posOffset>
            </wp:positionV>
            <wp:extent cx="19685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-1910715</wp:posOffset>
            </wp:positionV>
            <wp:extent cx="19685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-1927860</wp:posOffset>
            </wp:positionV>
            <wp:extent cx="18859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-1910715</wp:posOffset>
            </wp:positionV>
            <wp:extent cx="18859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-1927860</wp:posOffset>
            </wp:positionV>
            <wp:extent cx="18859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-1910715</wp:posOffset>
            </wp:positionV>
            <wp:extent cx="18859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-1927860</wp:posOffset>
            </wp:positionV>
            <wp:extent cx="18859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-1910715</wp:posOffset>
            </wp:positionV>
            <wp:extent cx="18859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20574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20574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19685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19685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18859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18859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18859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18859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18859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18859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120" w:firstLine="469"/>
        <w:spacing w:after="0" w:line="359" w:lineRule="auto"/>
        <w:rPr>
          <w:sz w:val="20"/>
          <w:szCs w:val="20"/>
          <w:color w:val="auto"/>
        </w:rPr>
      </w:pPr>
      <w:r>
        <w:rPr>
          <w:rFonts w:ascii="Arial" w:cs="Arial" w:eastAsia="Arial" w:hAnsi="Arial"/>
          <w:sz w:val="16"/>
          <w:szCs w:val="16"/>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June 30, 2021 and December 31, 2020.</w:t>
      </w:r>
    </w:p>
    <w:p>
      <w:pPr>
        <w:spacing w:after="0" w:line="138" w:lineRule="exact"/>
        <w:rPr>
          <w:sz w:val="20"/>
          <w:szCs w:val="20"/>
          <w:color w:val="auto"/>
        </w:rPr>
      </w:pPr>
    </w:p>
    <w:p>
      <w:pPr>
        <w:ind w:right="700" w:firstLine="374"/>
        <w:spacing w:after="0" w:line="266" w:lineRule="auto"/>
        <w:rPr>
          <w:sz w:val="20"/>
          <w:szCs w:val="20"/>
          <w:color w:val="auto"/>
        </w:rPr>
      </w:pPr>
      <w:r>
        <w:rPr>
          <w:rFonts w:ascii="Arial" w:cs="Arial" w:eastAsia="Arial" w:hAnsi="Arial"/>
          <w:sz w:val="18"/>
          <w:szCs w:val="18"/>
          <w:color w:val="auto"/>
        </w:rPr>
        <w:t xml:space="preserve">Refer to Note 4 –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of the notes to the unaudited condensed consolidated financial statements of this report for additional information on our investment securities portfolio.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Total loans and leases, net of deferred fees and discounts, of $8.07 billion at June 30, 2021 decreased by $277.5 million, or 3.32%,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$277.5 million decrease in total loans included decreases of $225.2 million in PPP loans, $103.4 million in dairy &amp; livestock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agribusiness loans due to seasonal pay downs, $62.9 million in commercial and industrial loans, $33.4 million in SFR mortgage loans, $12.1 million in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SBA loans, and $9.7 million in other loans, partially offset by an increase of $169.2 million in commercial real estate loans. After adjusting for seasonality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PPP loans, our loans grew by $51.0 million or at an annualized rate of approximately 1.4% from the end of the fourth quarter of 2020.</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our loan portfolio by type as of the dates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Distribution of Loan Portfolio by Type</w:t>
            </w:r>
          </w:p>
        </w:tc>
        <w:tc>
          <w:tcPr>
            <w:tcW w:w="1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9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7"/>
              </w:rPr>
              <w:t>June 30, 2021</w:t>
            </w: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 2020</w:t>
            </w:r>
          </w:p>
        </w:tc>
        <w:tc>
          <w:tcPr>
            <w:tcW w:w="100" w:type="dxa"/>
            <w:vAlign w:val="bottom"/>
          </w:tcPr>
          <w:p>
            <w:pPr>
              <w:spacing w:after="0"/>
              <w:rPr>
                <w:sz w:val="21"/>
                <w:szCs w:val="21"/>
                <w:color w:val="auto"/>
              </w:rPr>
            </w:pPr>
          </w:p>
        </w:tc>
      </w:tr>
      <w:tr>
        <w:trPr>
          <w:trHeight w:val="237"/>
        </w:trPr>
        <w:tc>
          <w:tcPr>
            <w:tcW w:w="3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5"/>
          </w:tcPr>
          <w:p>
            <w:pPr>
              <w:jc w:val="right"/>
              <w:ind w:right="1480"/>
              <w:spacing w:after="0"/>
              <w:rPr>
                <w:sz w:val="20"/>
                <w:szCs w:val="20"/>
                <w:color w:val="auto"/>
              </w:rPr>
            </w:pPr>
            <w:r>
              <w:rPr>
                <w:rFonts w:ascii="Arial" w:cs="Arial" w:eastAsia="Arial" w:hAnsi="Arial"/>
                <w:sz w:val="16"/>
                <w:szCs w:val="16"/>
                <w:i w:val="1"/>
                <w:iCs w:val="1"/>
                <w:color w:val="auto"/>
              </w:rPr>
              <w:t>(Dollars in thousands)</w:t>
            </w:r>
          </w:p>
        </w:tc>
      </w:tr>
      <w:tr>
        <w:trPr>
          <w:trHeight w:val="276"/>
        </w:trPr>
        <w:tc>
          <w:tcPr>
            <w:tcW w:w="3980" w:type="dxa"/>
            <w:vAlign w:val="bottom"/>
          </w:tcPr>
          <w:p>
            <w:pPr>
              <w:spacing w:after="0"/>
              <w:rPr>
                <w:sz w:val="24"/>
                <w:szCs w:val="24"/>
                <w:color w:val="auto"/>
              </w:rPr>
            </w:pPr>
          </w:p>
        </w:tc>
        <w:tc>
          <w:tcPr>
            <w:tcW w:w="324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32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5,670,696</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5,501,509</w:t>
            </w:r>
          </w:p>
        </w:tc>
        <w:tc>
          <w:tcPr>
            <w:tcW w:w="100" w:type="dxa"/>
            <w:vAlign w:val="bottom"/>
            <w:shd w:val="clear" w:color="auto" w:fill="CFF0FC"/>
          </w:tcPr>
          <w:p>
            <w:pPr>
              <w:spacing w:after="0"/>
              <w:rPr>
                <w:sz w:val="22"/>
                <w:szCs w:val="22"/>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88,280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85,145</w:t>
            </w:r>
          </w:p>
        </w:tc>
        <w:tc>
          <w:tcPr>
            <w:tcW w:w="100" w:type="dxa"/>
            <w:vAlign w:val="bottom"/>
          </w:tcPr>
          <w:p>
            <w:pPr>
              <w:spacing w:after="0"/>
              <w:rPr>
                <w:sz w:val="21"/>
                <w:szCs w:val="2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29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291,778</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303,896</w:t>
            </w:r>
          </w:p>
        </w:tc>
        <w:tc>
          <w:tcPr>
            <w:tcW w:w="100" w:type="dxa"/>
            <w:vAlign w:val="bottom"/>
            <w:shd w:val="clear" w:color="auto" w:fill="CFF0FC"/>
          </w:tcPr>
          <w:p>
            <w:pPr>
              <w:spacing w:after="0"/>
              <w:rPr>
                <w:sz w:val="22"/>
                <w:szCs w:val="22"/>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SBA - Paycheck Protection Program (PPP)</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657,815</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882,986</w:t>
            </w:r>
          </w:p>
        </w:tc>
        <w:tc>
          <w:tcPr>
            <w:tcW w:w="100" w:type="dxa"/>
            <w:vAlign w:val="bottom"/>
          </w:tcPr>
          <w:p>
            <w:pPr>
              <w:spacing w:after="0"/>
              <w:rPr>
                <w:sz w:val="21"/>
                <w:szCs w:val="2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29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749,117</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812,062</w:t>
            </w:r>
          </w:p>
        </w:tc>
        <w:tc>
          <w:tcPr>
            <w:tcW w:w="100" w:type="dxa"/>
            <w:vAlign w:val="bottom"/>
            <w:shd w:val="clear" w:color="auto" w:fill="CFF0FC"/>
          </w:tcPr>
          <w:p>
            <w:pPr>
              <w:spacing w:after="0"/>
              <w:rPr>
                <w:sz w:val="22"/>
                <w:szCs w:val="22"/>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257,781</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361,146</w:t>
            </w:r>
          </w:p>
        </w:tc>
        <w:tc>
          <w:tcPr>
            <w:tcW w:w="100" w:type="dxa"/>
            <w:vAlign w:val="bottom"/>
          </w:tcPr>
          <w:p>
            <w:pPr>
              <w:spacing w:after="0"/>
              <w:rPr>
                <w:sz w:val="21"/>
                <w:szCs w:val="2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29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44,657</w:t>
            </w: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shd w:val="clear" w:color="auto" w:fill="CFF0FC"/>
          </w:tcPr>
          <w:p>
            <w:pPr>
              <w:spacing w:after="0"/>
              <w:rPr>
                <w:sz w:val="22"/>
                <w:szCs w:val="22"/>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237,124</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270,511</w:t>
            </w:r>
          </w:p>
        </w:tc>
        <w:tc>
          <w:tcPr>
            <w:tcW w:w="100" w:type="dxa"/>
            <w:vAlign w:val="bottom"/>
          </w:tcPr>
          <w:p>
            <w:pPr>
              <w:spacing w:after="0"/>
              <w:rPr>
                <w:sz w:val="21"/>
                <w:szCs w:val="21"/>
                <w:color w:val="auto"/>
              </w:rPr>
            </w:pPr>
          </w:p>
        </w:tc>
      </w:tr>
      <w:tr>
        <w:trPr>
          <w:trHeight w:val="263"/>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29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74,062</w:t>
            </w:r>
          </w:p>
        </w:tc>
        <w:tc>
          <w:tcPr>
            <w:tcW w:w="4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3980" w:type="dxa"/>
            <w:vAlign w:val="bottom"/>
          </w:tcPr>
          <w:p>
            <w:pPr>
              <w:ind w:left="400"/>
              <w:spacing w:after="0"/>
              <w:rPr>
                <w:sz w:val="20"/>
                <w:szCs w:val="20"/>
                <w:color w:val="auto"/>
              </w:rPr>
            </w:pPr>
            <w:r>
              <w:rPr>
                <w:rFonts w:ascii="Arial" w:cs="Arial" w:eastAsia="Arial" w:hAnsi="Arial"/>
                <w:sz w:val="18"/>
                <w:szCs w:val="18"/>
                <w:color w:val="auto"/>
              </w:rPr>
              <w:t>Total loans, at amortized cost</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8,071,310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21"/>
                <w:szCs w:val="2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Allowance for credit losses</w:t>
            </w:r>
          </w:p>
        </w:tc>
        <w:tc>
          <w:tcPr>
            <w:tcW w:w="29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(69,342 )</w:t>
            </w:r>
          </w:p>
        </w:tc>
        <w:tc>
          <w:tcPr>
            <w:tcW w:w="16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(93,692 )</w:t>
            </w:r>
          </w:p>
        </w:tc>
      </w:tr>
      <w:tr>
        <w:trPr>
          <w:trHeight w:val="250"/>
        </w:trPr>
        <w:tc>
          <w:tcPr>
            <w:tcW w:w="39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w w:val="93"/>
              </w:rPr>
              <w:t>Total loans and lease finance receivables, net</w:t>
            </w:r>
          </w:p>
        </w:tc>
        <w:tc>
          <w:tcPr>
            <w:tcW w:w="292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8,001,968</w:t>
            </w:r>
          </w:p>
        </w:tc>
        <w:tc>
          <w:tcPr>
            <w:tcW w:w="4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21"/>
                <w:szCs w:val="21"/>
                <w:color w:val="auto"/>
              </w:rPr>
            </w:pPr>
          </w:p>
        </w:tc>
      </w:tr>
      <w:tr>
        <w:trPr>
          <w:trHeight w:val="20"/>
        </w:trPr>
        <w:tc>
          <w:tcPr>
            <w:tcW w:w="3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-527685</wp:posOffset>
            </wp:positionV>
            <wp:extent cx="265430"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-193675</wp:posOffset>
            </wp:positionV>
            <wp:extent cx="265430"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120" w:firstLine="469"/>
        <w:spacing w:after="0" w:line="271" w:lineRule="auto"/>
        <w:rPr>
          <w:sz w:val="20"/>
          <w:szCs w:val="20"/>
          <w:color w:val="auto"/>
        </w:rPr>
      </w:pPr>
      <w:r>
        <w:rPr>
          <w:rFonts w:ascii="Arial" w:cs="Arial" w:eastAsia="Arial" w:hAnsi="Arial"/>
          <w:sz w:val="18"/>
          <w:szCs w:val="18"/>
          <w:color w:val="auto"/>
        </w:rPr>
        <w:t>As of June 30, 2021, $348.0 million, or 6.14% of the total commercial real estate loans included loans secured by farmland, compared to $314.4 million, or 5.72%, at December 31, 2020. The loans secured by farmland included $126.2 million for loans secured by dairy &amp; livestock land and $221.8 million for loans secured by agricultural land at June 30, 2021, compared to $132.9 million for loans secured by dairy &amp; livestock land and $181.5 million for loans secured by agricultural land at December 31, 2020. As of June 30, 2021, dairy &amp; livestock and agribusiness loans of $257.8 million were comprised of $220.4 million for dairy &amp; livestock loans and $37.4 million for agribusiness loans, compared to $320.1 million for dairy &amp; livestock loans and $41.0 million for agribusiness loans at December 31, 2020.</w:t>
      </w:r>
    </w:p>
    <w:p>
      <w:pPr>
        <w:spacing w:after="0" w:line="204" w:lineRule="exact"/>
        <w:rPr>
          <w:sz w:val="20"/>
          <w:szCs w:val="20"/>
          <w:color w:val="auto"/>
        </w:rPr>
      </w:pPr>
    </w:p>
    <w:p>
      <w:pPr>
        <w:ind w:firstLine="469"/>
        <w:spacing w:after="0" w:line="314"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73" w:lineRule="exact"/>
        <w:rPr>
          <w:sz w:val="20"/>
          <w:szCs w:val="20"/>
          <w:color w:val="auto"/>
        </w:rPr>
      </w:pPr>
    </w:p>
    <w:p>
      <w:pPr>
        <w:ind w:right="40" w:firstLine="469"/>
        <w:spacing w:after="0" w:line="308" w:lineRule="auto"/>
        <w:rPr>
          <w:sz w:val="20"/>
          <w:szCs w:val="20"/>
          <w:color w:val="auto"/>
        </w:rPr>
      </w:pPr>
      <w:r>
        <w:rPr>
          <w:rFonts w:ascii="Arial" w:cs="Arial" w:eastAsia="Arial" w:hAnsi="Arial"/>
          <w:sz w:val="16"/>
          <w:szCs w:val="16"/>
          <w:color w:val="auto"/>
        </w:rPr>
        <w:t>As of June 30, 2021, the Company had $194.9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June 30, 2021, the Company had $96.9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0" w:name="page51"/>
    <w:bookmarkEnd w:id="50"/>
    <w:p>
      <w:pPr>
        <w:ind w:right="140" w:firstLine="469"/>
        <w:spacing w:after="0" w:line="279" w:lineRule="auto"/>
        <w:rPr>
          <w:sz w:val="20"/>
          <w:szCs w:val="20"/>
          <w:color w:val="auto"/>
        </w:rPr>
      </w:pPr>
      <w:r>
        <w:rPr>
          <w:rFonts w:ascii="Arial" w:cs="Arial" w:eastAsia="Arial" w:hAnsi="Arial"/>
          <w:sz w:val="18"/>
          <w:szCs w:val="18"/>
          <w:color w:val="auto"/>
        </w:rPr>
        <w:t>As an active participant in the SBA’s Paycheck Protection Program, we originated approximately 4,100 PPP loans totaling $1.10 billion in round one, with a remaining outstanding balance of $262.5 million as of June 30, 2021. As of June 30, 2021, we have originated approximately 1,900 PPP loans in round two with a remaining outstanding balance of $395.3 million.</w:t>
      </w:r>
    </w:p>
    <w:p>
      <w:pPr>
        <w:spacing w:after="0" w:line="196" w:lineRule="exact"/>
        <w:rPr>
          <w:sz w:val="20"/>
          <w:szCs w:val="20"/>
          <w:color w:val="auto"/>
        </w:rPr>
      </w:pPr>
    </w:p>
    <w:p>
      <w:pPr>
        <w:ind w:right="700" w:firstLine="464"/>
        <w:spacing w:after="0" w:line="293" w:lineRule="auto"/>
        <w:rPr>
          <w:sz w:val="20"/>
          <w:szCs w:val="20"/>
          <w:color w:val="auto"/>
        </w:rPr>
      </w:pPr>
      <w:r>
        <w:rPr>
          <w:rFonts w:ascii="Arial" w:cs="Arial" w:eastAsia="Arial" w:hAnsi="Arial"/>
          <w:sz w:val="18"/>
          <w:szCs w:val="18"/>
          <w:color w:val="auto"/>
        </w:rPr>
        <w:t>Our loan portfolio is geographically disbursed throughout our marketplace. The following is the breakdown of our total held-for-investment commercial real estate loans, by region as of June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June 30, 2021</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02"/>
        </w:trPr>
        <w:tc>
          <w:tcPr>
            <w:tcW w:w="5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Commercial Real</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3"/>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w w:val="97"/>
              </w:rPr>
              <w:t>Total Loans</w:t>
            </w:r>
          </w:p>
        </w:tc>
        <w:tc>
          <w:tcPr>
            <w:tcW w:w="9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0"/>
              </w:rPr>
              <w:t>Estate Loans</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0"/>
        </w:trPr>
        <w:tc>
          <w:tcPr>
            <w:tcW w:w="5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i w:val="1"/>
                <w:iCs w:val="1"/>
                <w:color w:val="auto"/>
              </w:rPr>
              <w:t>(Dollars in thousands)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 Angeles County</w:t>
            </w: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3,434,370</w:t>
            </w: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42.5 %</w:t>
            </w: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2,232,781</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39.4 %</w:t>
            </w:r>
          </w:p>
        </w:tc>
      </w:tr>
      <w:tr>
        <w:trPr>
          <w:trHeight w:val="220"/>
        </w:trPr>
        <w:tc>
          <w:tcPr>
            <w:tcW w:w="5020" w:type="dxa"/>
            <w:vAlign w:val="bottom"/>
          </w:tcPr>
          <w:p>
            <w:pPr>
              <w:ind w:left="20"/>
              <w:spacing w:after="0"/>
              <w:rPr>
                <w:sz w:val="20"/>
                <w:szCs w:val="20"/>
                <w:color w:val="auto"/>
              </w:rPr>
            </w:pPr>
            <w:r>
              <w:rPr>
                <w:rFonts w:ascii="Arial" w:cs="Arial" w:eastAsia="Arial" w:hAnsi="Arial"/>
                <w:sz w:val="16"/>
                <w:szCs w:val="16"/>
                <w:color w:val="auto"/>
              </w:rPr>
              <w:t>Central Valley</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1,370,773</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17.0 %</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1,070,718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18.9 %</w:t>
            </w:r>
          </w:p>
        </w:tc>
      </w:tr>
      <w:tr>
        <w:trPr>
          <w:trHeight w:val="23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Inland Empire</w:t>
            </w: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1,078,326</w:t>
            </w: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13.4 %</w:t>
            </w:r>
          </w:p>
        </w:tc>
        <w:tc>
          <w:tcPr>
            <w:tcW w:w="6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846,552</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14.9 %</w:t>
            </w:r>
          </w:p>
        </w:tc>
      </w:tr>
      <w:tr>
        <w:trPr>
          <w:trHeight w:val="220"/>
        </w:trPr>
        <w:tc>
          <w:tcPr>
            <w:tcW w:w="5020" w:type="dxa"/>
            <w:vAlign w:val="bottom"/>
          </w:tcPr>
          <w:p>
            <w:pPr>
              <w:ind w:left="20"/>
              <w:spacing w:after="0"/>
              <w:rPr>
                <w:sz w:val="20"/>
                <w:szCs w:val="20"/>
                <w:color w:val="auto"/>
              </w:rPr>
            </w:pPr>
            <w:r>
              <w:rPr>
                <w:rFonts w:ascii="Arial" w:cs="Arial" w:eastAsia="Arial" w:hAnsi="Arial"/>
                <w:sz w:val="16"/>
                <w:szCs w:val="16"/>
                <w:color w:val="auto"/>
              </w:rPr>
              <w:t>Orange County</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1,075,013</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13.3 %</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677,831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11.9 %</w:t>
            </w:r>
          </w:p>
        </w:tc>
      </w:tr>
      <w:tr>
        <w:trPr>
          <w:trHeight w:val="23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Central Coast</w:t>
            </w: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457,136</w:t>
            </w: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5.7 %</w:t>
            </w:r>
          </w:p>
        </w:tc>
        <w:tc>
          <w:tcPr>
            <w:tcW w:w="6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362,816</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6.4 %</w:t>
            </w:r>
          </w:p>
        </w:tc>
      </w:tr>
      <w:tr>
        <w:trPr>
          <w:trHeight w:val="220"/>
        </w:trPr>
        <w:tc>
          <w:tcPr>
            <w:tcW w:w="5020" w:type="dxa"/>
            <w:vAlign w:val="bottom"/>
          </w:tcPr>
          <w:p>
            <w:pPr>
              <w:ind w:left="20"/>
              <w:spacing w:after="0"/>
              <w:rPr>
                <w:sz w:val="20"/>
                <w:szCs w:val="20"/>
                <w:color w:val="auto"/>
              </w:rPr>
            </w:pPr>
            <w:r>
              <w:rPr>
                <w:rFonts w:ascii="Arial" w:cs="Arial" w:eastAsia="Arial" w:hAnsi="Arial"/>
                <w:sz w:val="16"/>
                <w:szCs w:val="16"/>
                <w:color w:val="auto"/>
              </w:rPr>
              <w:t>San Diego</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240,299</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3.0 %</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201,862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3.6 %</w:t>
            </w:r>
          </w:p>
        </w:tc>
      </w:tr>
      <w:tr>
        <w:trPr>
          <w:trHeight w:val="23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California</w:t>
            </w: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137,559</w:t>
            </w: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1.7 %</w:t>
            </w:r>
          </w:p>
        </w:tc>
        <w:tc>
          <w:tcPr>
            <w:tcW w:w="6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86,229</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1.5 %</w:t>
            </w:r>
          </w:p>
        </w:tc>
      </w:tr>
      <w:tr>
        <w:trPr>
          <w:trHeight w:val="220"/>
        </w:trPr>
        <w:tc>
          <w:tcPr>
            <w:tcW w:w="5020" w:type="dxa"/>
            <w:vAlign w:val="bottom"/>
          </w:tcPr>
          <w:p>
            <w:pPr>
              <w:ind w:left="20"/>
              <w:spacing w:after="0"/>
              <w:rPr>
                <w:sz w:val="20"/>
                <w:szCs w:val="20"/>
                <w:color w:val="auto"/>
              </w:rPr>
            </w:pPr>
            <w:r>
              <w:rPr>
                <w:rFonts w:ascii="Arial" w:cs="Arial" w:eastAsia="Arial" w:hAnsi="Arial"/>
                <w:sz w:val="16"/>
                <w:szCs w:val="16"/>
                <w:color w:val="auto"/>
              </w:rPr>
              <w:t>Out of State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277,834</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3.4 %</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191,907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3.4 %</w:t>
            </w:r>
          </w:p>
        </w:tc>
      </w:tr>
      <w:tr>
        <w:trPr>
          <w:trHeight w:val="23"/>
        </w:trPr>
        <w:tc>
          <w:tcPr>
            <w:tcW w:w="50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50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8,071,310</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100.0 %</w:t>
            </w: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5,670,696</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100.0 %</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-25400</wp:posOffset>
            </wp:positionV>
            <wp:extent cx="23177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23177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28257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28257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21399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21399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breaks down our commercial real estate portfolio.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156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Percent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Owner-</w:t>
            </w:r>
          </w:p>
        </w:tc>
        <w:tc>
          <w:tcPr>
            <w:tcW w:w="16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Average</w:t>
            </w:r>
          </w:p>
        </w:tc>
        <w:tc>
          <w:tcPr>
            <w:tcW w:w="100" w:type="dxa"/>
            <w:vAlign w:val="bottom"/>
          </w:tcPr>
          <w:p>
            <w:pPr>
              <w:spacing w:after="0"/>
              <w:rPr>
                <w:sz w:val="17"/>
                <w:szCs w:val="17"/>
                <w:color w:val="auto"/>
              </w:rPr>
            </w:pPr>
          </w:p>
        </w:tc>
      </w:tr>
      <w:tr>
        <w:trPr>
          <w:trHeight w:val="223"/>
        </w:trPr>
        <w:tc>
          <w:tcPr>
            <w:tcW w:w="5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Loan Balance</w:t>
            </w:r>
          </w:p>
        </w:tc>
        <w:tc>
          <w:tcPr>
            <w:tcW w:w="360" w:type="dxa"/>
            <w:vAlign w:val="bottom"/>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Percent</w:t>
            </w:r>
          </w:p>
        </w:tc>
        <w:tc>
          <w:tcPr>
            <w:tcW w:w="44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Occupied (1)</w:t>
            </w:r>
          </w:p>
        </w:tc>
        <w:tc>
          <w:tcPr>
            <w:tcW w:w="440" w:type="dxa"/>
            <w:vAlign w:val="bottom"/>
          </w:tcPr>
          <w:p>
            <w:pPr>
              <w:spacing w:after="0"/>
              <w:rPr>
                <w:sz w:val="19"/>
                <w:szCs w:val="19"/>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Loan Balance</w:t>
            </w:r>
          </w:p>
        </w:tc>
        <w:tc>
          <w:tcPr>
            <w:tcW w:w="100" w:type="dxa"/>
            <w:vAlign w:val="bottom"/>
          </w:tcPr>
          <w:p>
            <w:pPr>
              <w:spacing w:after="0"/>
              <w:rPr>
                <w:sz w:val="19"/>
                <w:szCs w:val="19"/>
                <w:color w:val="auto"/>
              </w:rPr>
            </w:pPr>
          </w:p>
        </w:tc>
      </w:tr>
      <w:tr>
        <w:trPr>
          <w:trHeight w:val="220"/>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4"/>
          </w:tcPr>
          <w:p>
            <w:pPr>
              <w:jc w:val="right"/>
              <w:ind w:right="130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020" w:type="dxa"/>
            <w:vAlign w:val="bottom"/>
          </w:tcPr>
          <w:p>
            <w:pPr>
              <w:ind w:left="140"/>
              <w:spacing w:after="0"/>
              <w:rPr>
                <w:sz w:val="20"/>
                <w:szCs w:val="20"/>
                <w:color w:val="auto"/>
              </w:rPr>
            </w:pPr>
            <w:r>
              <w:rPr>
                <w:rFonts w:ascii="Arial" w:cs="Arial" w:eastAsia="Arial" w:hAnsi="Arial"/>
                <w:sz w:val="16"/>
                <w:szCs w:val="16"/>
                <w:color w:val="auto"/>
              </w:rPr>
              <w:t>Industrial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1,927,463</w:t>
            </w:r>
          </w:p>
        </w:tc>
        <w:tc>
          <w:tcPr>
            <w:tcW w:w="1720" w:type="dxa"/>
            <w:vAlign w:val="bottom"/>
            <w:gridSpan w:val="3"/>
          </w:tcPr>
          <w:p>
            <w:pPr>
              <w:jc w:val="right"/>
              <w:ind w:right="300"/>
              <w:spacing w:after="0"/>
              <w:rPr>
                <w:sz w:val="20"/>
                <w:szCs w:val="20"/>
                <w:color w:val="auto"/>
              </w:rPr>
            </w:pPr>
            <w:r>
              <w:rPr>
                <w:rFonts w:ascii="Arial" w:cs="Arial" w:eastAsia="Arial" w:hAnsi="Arial"/>
                <w:sz w:val="16"/>
                <w:szCs w:val="16"/>
                <w:color w:val="auto"/>
              </w:rPr>
              <w:t>34.0 %</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51.6 %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19"/>
                <w:szCs w:val="19"/>
                <w:color w:val="auto"/>
              </w:rPr>
            </w:pPr>
          </w:p>
        </w:tc>
      </w:tr>
      <w:tr>
        <w:trPr>
          <w:trHeight w:val="239"/>
        </w:trPr>
        <w:tc>
          <w:tcPr>
            <w:tcW w:w="50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Office</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1,033,474</w:t>
            </w:r>
          </w:p>
        </w:tc>
        <w:tc>
          <w:tcPr>
            <w:tcW w:w="17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18.2 %</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23.3 %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w:t>
            </w:r>
          </w:p>
        </w:tc>
        <w:tc>
          <w:tcPr>
            <w:tcW w:w="100" w:type="dxa"/>
            <w:vAlign w:val="bottom"/>
            <w:shd w:val="clear" w:color="auto" w:fill="CFF0FC"/>
          </w:tcPr>
          <w:p>
            <w:pPr>
              <w:spacing w:after="0"/>
              <w:rPr>
                <w:sz w:val="20"/>
                <w:szCs w:val="20"/>
                <w:color w:val="auto"/>
              </w:rPr>
            </w:pPr>
          </w:p>
        </w:tc>
      </w:tr>
      <w:tr>
        <w:trPr>
          <w:trHeight w:val="220"/>
        </w:trPr>
        <w:tc>
          <w:tcPr>
            <w:tcW w:w="5020" w:type="dxa"/>
            <w:vAlign w:val="bottom"/>
          </w:tcPr>
          <w:p>
            <w:pPr>
              <w:ind w:left="140"/>
              <w:spacing w:after="0"/>
              <w:rPr>
                <w:sz w:val="20"/>
                <w:szCs w:val="20"/>
                <w:color w:val="auto"/>
              </w:rPr>
            </w:pPr>
            <w:r>
              <w:rPr>
                <w:rFonts w:ascii="Arial" w:cs="Arial" w:eastAsia="Arial" w:hAnsi="Arial"/>
                <w:sz w:val="16"/>
                <w:szCs w:val="16"/>
                <w:color w:val="auto"/>
              </w:rPr>
              <w:t>Retail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803,006</w:t>
            </w:r>
          </w:p>
        </w:tc>
        <w:tc>
          <w:tcPr>
            <w:tcW w:w="1720" w:type="dxa"/>
            <w:vAlign w:val="bottom"/>
            <w:gridSpan w:val="3"/>
          </w:tcPr>
          <w:p>
            <w:pPr>
              <w:jc w:val="right"/>
              <w:ind w:right="300"/>
              <w:spacing w:after="0"/>
              <w:rPr>
                <w:sz w:val="20"/>
                <w:szCs w:val="20"/>
                <w:color w:val="auto"/>
              </w:rPr>
            </w:pPr>
            <w:r>
              <w:rPr>
                <w:rFonts w:ascii="Arial" w:cs="Arial" w:eastAsia="Arial" w:hAnsi="Arial"/>
                <w:sz w:val="16"/>
                <w:szCs w:val="16"/>
                <w:color w:val="auto"/>
              </w:rPr>
              <w:t>14.2 %</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11.1 %</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19"/>
                <w:szCs w:val="19"/>
                <w:color w:val="auto"/>
              </w:rPr>
            </w:pPr>
          </w:p>
        </w:tc>
      </w:tr>
      <w:tr>
        <w:trPr>
          <w:trHeight w:val="239"/>
        </w:trPr>
        <w:tc>
          <w:tcPr>
            <w:tcW w:w="50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Multi-family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623,611</w:t>
            </w:r>
          </w:p>
        </w:tc>
        <w:tc>
          <w:tcPr>
            <w:tcW w:w="17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11.0 %</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2.0 %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FF0FC"/>
          </w:tcPr>
          <w:p>
            <w:pPr>
              <w:spacing w:after="0"/>
              <w:rPr>
                <w:sz w:val="20"/>
                <w:szCs w:val="20"/>
                <w:color w:val="auto"/>
              </w:rPr>
            </w:pPr>
          </w:p>
        </w:tc>
      </w:tr>
      <w:tr>
        <w:trPr>
          <w:trHeight w:val="220"/>
        </w:trPr>
        <w:tc>
          <w:tcPr>
            <w:tcW w:w="5020" w:type="dxa"/>
            <w:vAlign w:val="bottom"/>
          </w:tcPr>
          <w:p>
            <w:pPr>
              <w:ind w:left="140"/>
              <w:spacing w:after="0"/>
              <w:rPr>
                <w:sz w:val="20"/>
                <w:szCs w:val="20"/>
                <w:color w:val="auto"/>
              </w:rPr>
            </w:pPr>
            <w:r>
              <w:rPr>
                <w:rFonts w:ascii="Arial" w:cs="Arial" w:eastAsia="Arial" w:hAnsi="Arial"/>
                <w:sz w:val="16"/>
                <w:szCs w:val="16"/>
                <w:color w:val="auto"/>
              </w:rPr>
              <w:t>Secured by farmland (2)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348,035</w:t>
            </w:r>
          </w:p>
        </w:tc>
        <w:tc>
          <w:tcPr>
            <w:tcW w:w="1720" w:type="dxa"/>
            <w:vAlign w:val="bottom"/>
            <w:gridSpan w:val="3"/>
          </w:tcPr>
          <w:p>
            <w:pPr>
              <w:jc w:val="right"/>
              <w:ind w:right="300"/>
              <w:spacing w:after="0"/>
              <w:rPr>
                <w:sz w:val="20"/>
                <w:szCs w:val="20"/>
                <w:color w:val="auto"/>
              </w:rPr>
            </w:pPr>
            <w:r>
              <w:rPr>
                <w:rFonts w:ascii="Arial" w:cs="Arial" w:eastAsia="Arial" w:hAnsi="Arial"/>
                <w:sz w:val="16"/>
                <w:szCs w:val="16"/>
                <w:color w:val="auto"/>
              </w:rPr>
              <w:t>6.1 %</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96.7 %</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2,162</w:t>
            </w:r>
          </w:p>
        </w:tc>
        <w:tc>
          <w:tcPr>
            <w:tcW w:w="100" w:type="dxa"/>
            <w:vAlign w:val="bottom"/>
          </w:tcPr>
          <w:p>
            <w:pPr>
              <w:spacing w:after="0"/>
              <w:rPr>
                <w:sz w:val="19"/>
                <w:szCs w:val="19"/>
                <w:color w:val="auto"/>
              </w:rPr>
            </w:pPr>
          </w:p>
        </w:tc>
      </w:tr>
      <w:tr>
        <w:trPr>
          <w:trHeight w:val="239"/>
        </w:trPr>
        <w:tc>
          <w:tcPr>
            <w:tcW w:w="50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Medical</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298,791</w:t>
            </w:r>
          </w:p>
        </w:tc>
        <w:tc>
          <w:tcPr>
            <w:tcW w:w="17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5.3 %</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40.3 %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1,727</w:t>
            </w:r>
          </w:p>
        </w:tc>
        <w:tc>
          <w:tcPr>
            <w:tcW w:w="100" w:type="dxa"/>
            <w:vAlign w:val="bottom"/>
            <w:shd w:val="clear" w:color="auto" w:fill="CFF0FC"/>
          </w:tcPr>
          <w:p>
            <w:pPr>
              <w:spacing w:after="0"/>
              <w:rPr>
                <w:sz w:val="20"/>
                <w:szCs w:val="20"/>
                <w:color w:val="auto"/>
              </w:rPr>
            </w:pPr>
          </w:p>
        </w:tc>
      </w:tr>
      <w:tr>
        <w:trPr>
          <w:trHeight w:val="227"/>
        </w:trPr>
        <w:tc>
          <w:tcPr>
            <w:tcW w:w="5020" w:type="dxa"/>
            <w:vAlign w:val="bottom"/>
          </w:tcPr>
          <w:p>
            <w:pPr>
              <w:ind w:left="140"/>
              <w:spacing w:after="0"/>
              <w:rPr>
                <w:sz w:val="20"/>
                <w:szCs w:val="20"/>
                <w:color w:val="auto"/>
              </w:rPr>
            </w:pPr>
            <w:r>
              <w:rPr>
                <w:rFonts w:ascii="Arial" w:cs="Arial" w:eastAsia="Arial" w:hAnsi="Arial"/>
                <w:sz w:val="16"/>
                <w:szCs w:val="16"/>
                <w:color w:val="auto"/>
              </w:rPr>
              <w:t>Other (3)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636,316</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11.2 %</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54.3 %</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50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Total commercial real estate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5,670,696</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100.0 %</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37.7 %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w:t>
            </w:r>
          </w:p>
        </w:tc>
        <w:tc>
          <w:tcPr>
            <w:tcW w:w="100" w:type="dxa"/>
            <w:vAlign w:val="bottom"/>
            <w:shd w:val="clear" w:color="auto" w:fill="CFF0FC"/>
          </w:tcPr>
          <w:p>
            <w:pPr>
              <w:spacing w:after="0"/>
              <w:rPr>
                <w:sz w:val="21"/>
                <w:szCs w:val="2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23177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23177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28257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28257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4" w:lineRule="exact"/>
        <w:rPr>
          <w:sz w:val="20"/>
          <w:szCs w:val="20"/>
          <w:color w:val="auto"/>
        </w:rPr>
      </w:pPr>
    </w:p>
    <w:p>
      <w:pPr>
        <w:ind w:left="1240" w:hanging="393"/>
        <w:spacing w:after="0"/>
        <w:tabs>
          <w:tab w:leader="none" w:pos="1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percentage of reported owner-occupied at origination in each real estate loan category.</w:t>
      </w:r>
    </w:p>
    <w:p>
      <w:pPr>
        <w:spacing w:after="0" w:line="21" w:lineRule="exact"/>
        <w:rPr>
          <w:rFonts w:ascii="Arial" w:cs="Arial" w:eastAsia="Arial" w:hAnsi="Arial"/>
          <w:sz w:val="14"/>
          <w:szCs w:val="14"/>
          <w:color w:val="auto"/>
        </w:rPr>
      </w:pPr>
    </w:p>
    <w:p>
      <w:pPr>
        <w:ind w:left="1260" w:right="320" w:hanging="409"/>
        <w:spacing w:after="0" w:line="261" w:lineRule="auto"/>
        <w:tabs>
          <w:tab w:leader="none" w:pos="1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loans secured by farmland included $126.2 million for loans secured by dairy &amp; livestock land and $221.8 million for loans secured by agricultural land at June 30, 2021.</w:t>
      </w:r>
    </w:p>
    <w:p>
      <w:pPr>
        <w:ind w:left="1260" w:hanging="409"/>
        <w:spacing w:after="0"/>
        <w:tabs>
          <w:tab w:leader="none" w:pos="1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loans consist of a variety of loan types, none of which exceeds 2.0% of total commercial real estate loans at June 30, 2021.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information on nonperforming assets as of the dates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June 30, 2021</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December 31, 2020</w:t>
            </w:r>
          </w:p>
        </w:tc>
        <w:tc>
          <w:tcPr>
            <w:tcW w:w="220" w:type="dxa"/>
            <w:vAlign w:val="bottom"/>
          </w:tcPr>
          <w:p>
            <w:pPr>
              <w:spacing w:after="0"/>
              <w:rPr>
                <w:sz w:val="19"/>
                <w:szCs w:val="19"/>
                <w:color w:val="auto"/>
              </w:rPr>
            </w:pPr>
          </w:p>
        </w:tc>
      </w:tr>
      <w:tr>
        <w:trPr>
          <w:trHeight w:val="220"/>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40" w:type="dxa"/>
            <w:vAlign w:val="bottom"/>
            <w:gridSpan w:val="5"/>
          </w:tcPr>
          <w:p>
            <w:pPr>
              <w:jc w:val="right"/>
              <w:ind w:right="1420"/>
              <w:spacing w:after="0"/>
              <w:rPr>
                <w:sz w:val="20"/>
                <w:szCs w:val="20"/>
                <w:color w:val="auto"/>
              </w:rPr>
            </w:pPr>
            <w:r>
              <w:rPr>
                <w:rFonts w:ascii="Arial" w:cs="Arial" w:eastAsia="Arial" w:hAnsi="Arial"/>
                <w:sz w:val="16"/>
                <w:szCs w:val="16"/>
                <w:i w:val="1"/>
                <w:iCs w:val="1"/>
                <w:color w:val="auto"/>
              </w:rPr>
              <w:t>(Dollars in thousands)</w:t>
            </w:r>
          </w:p>
        </w:tc>
      </w:tr>
      <w:tr>
        <w:trPr>
          <w:trHeight w:val="23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Nonaccrual loans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8,471</w:t>
            </w: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14,347</w:t>
            </w:r>
          </w:p>
        </w:tc>
        <w:tc>
          <w:tcPr>
            <w:tcW w:w="220" w:type="dxa"/>
            <w:vAlign w:val="bottom"/>
            <w:shd w:val="clear" w:color="auto" w:fill="CFF0FC"/>
          </w:tcPr>
          <w:p>
            <w:pPr>
              <w:spacing w:after="0"/>
              <w:rPr>
                <w:sz w:val="20"/>
                <w:szCs w:val="20"/>
                <w:color w:val="auto"/>
              </w:rPr>
            </w:pP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rPr>
              <w:t>Loans past due 90 days or more and still accruing interest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r>
      <w:tr>
        <w:trPr>
          <w:trHeight w:val="236"/>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Nonperforming troubled debt restructured loans (TDRs)</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Total nonperforming loans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8,471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14,347</w:t>
            </w:r>
          </w:p>
        </w:tc>
        <w:tc>
          <w:tcPr>
            <w:tcW w:w="220" w:type="dxa"/>
            <w:vAlign w:val="bottom"/>
          </w:tcPr>
          <w:p>
            <w:pPr>
              <w:spacing w:after="0"/>
              <w:rPr>
                <w:sz w:val="18"/>
                <w:szCs w:val="18"/>
                <w:color w:val="auto"/>
              </w:rPr>
            </w:pPr>
          </w:p>
        </w:tc>
      </w:tr>
      <w:tr>
        <w:trPr>
          <w:trHeight w:val="236"/>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OREO, net</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3,392</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26"/>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Total nonperforming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8,471</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17,739</w:t>
            </w:r>
          </w:p>
        </w:tc>
        <w:tc>
          <w:tcPr>
            <w:tcW w:w="22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Performing TDRs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8,215</w:t>
            </w:r>
          </w:p>
        </w:tc>
        <w:tc>
          <w:tcPr>
            <w:tcW w:w="4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420"/>
        </w:trPr>
        <w:tc>
          <w:tcPr>
            <w:tcW w:w="7160" w:type="dxa"/>
            <w:vAlign w:val="bottom"/>
          </w:tcPr>
          <w:p>
            <w:pPr>
              <w:ind w:left="20"/>
              <w:spacing w:after="0"/>
              <w:rPr>
                <w:sz w:val="20"/>
                <w:szCs w:val="20"/>
                <w:color w:val="auto"/>
              </w:rPr>
            </w:pPr>
            <w:r>
              <w:rPr>
                <w:rFonts w:ascii="Arial" w:cs="Arial" w:eastAsia="Arial" w:hAnsi="Arial"/>
                <w:sz w:val="16"/>
                <w:szCs w:val="16"/>
                <w:color w:val="auto"/>
              </w:rPr>
              <w:t>Total nonperforming loans and performing TDRs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16,686</w:t>
            </w:r>
          </w:p>
        </w:tc>
        <w:tc>
          <w:tcPr>
            <w:tcW w:w="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16,506</w:t>
            </w:r>
          </w:p>
        </w:tc>
        <w:tc>
          <w:tcPr>
            <w:tcW w:w="220" w:type="dxa"/>
            <w:vAlign w:val="bottom"/>
          </w:tcPr>
          <w:p>
            <w:pPr>
              <w:spacing w:after="0"/>
              <w:rPr>
                <w:sz w:val="24"/>
                <w:szCs w:val="24"/>
                <w:color w:val="auto"/>
              </w:rPr>
            </w:pPr>
          </w:p>
        </w:tc>
      </w:tr>
      <w:tr>
        <w:trPr>
          <w:trHeight w:val="249"/>
        </w:trPr>
        <w:tc>
          <w:tcPr>
            <w:tcW w:w="7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6"/>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Percentage of nonperforming loans and performing TDRs to total loans,</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26"/>
        </w:trPr>
        <w:tc>
          <w:tcPr>
            <w:tcW w:w="7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at amortized cost</w:t>
            </w:r>
          </w:p>
        </w:tc>
        <w:tc>
          <w:tcPr>
            <w:tcW w:w="2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0.21 %</w:t>
            </w: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0.20 %</w:t>
            </w:r>
          </w:p>
        </w:tc>
      </w:tr>
      <w:tr>
        <w:trPr>
          <w:trHeight w:val="436"/>
        </w:trPr>
        <w:tc>
          <w:tcPr>
            <w:tcW w:w="7160" w:type="dxa"/>
            <w:vAlign w:val="bottom"/>
          </w:tcPr>
          <w:p>
            <w:pPr>
              <w:ind w:left="20"/>
              <w:spacing w:after="0"/>
              <w:rPr>
                <w:sz w:val="20"/>
                <w:szCs w:val="20"/>
                <w:color w:val="auto"/>
              </w:rPr>
            </w:pPr>
            <w:r>
              <w:rPr>
                <w:rFonts w:ascii="Arial" w:cs="Arial" w:eastAsia="Arial" w:hAnsi="Arial"/>
                <w:sz w:val="16"/>
                <w:szCs w:val="16"/>
                <w:color w:val="auto"/>
              </w:rPr>
              <w:t>Percentage of nonperforming assets to total loans, at amortized cost,</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6"/>
                <w:szCs w:val="16"/>
                <w:color w:val="auto"/>
              </w:rPr>
              <w:t>and OREO</w:t>
            </w:r>
          </w:p>
        </w:tc>
        <w:tc>
          <w:tcPr>
            <w:tcW w:w="24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6"/>
                <w:szCs w:val="16"/>
                <w:color w:val="auto"/>
              </w:rPr>
              <w:t>0.10 %</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0.21 %</w:t>
            </w:r>
          </w:p>
        </w:tc>
      </w:tr>
      <w:tr>
        <w:trPr>
          <w:trHeight w:val="23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Percentage of nonperforming assets to total assets</w:t>
            </w:r>
          </w:p>
        </w:tc>
        <w:tc>
          <w:tcPr>
            <w:tcW w:w="24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0.05 %</w:t>
            </w:r>
          </w:p>
        </w:tc>
        <w:tc>
          <w:tcPr>
            <w:tcW w:w="16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-1925320</wp:posOffset>
            </wp:positionV>
            <wp:extent cx="265430"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-1925320</wp:posOffset>
            </wp:positionV>
            <wp:extent cx="137160" cy="571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-1624965</wp:posOffset>
            </wp:positionV>
            <wp:extent cx="265430"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-1624965</wp:posOffset>
            </wp:positionV>
            <wp:extent cx="137160" cy="57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-1302385</wp:posOffset>
            </wp:positionV>
            <wp:extent cx="26543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-1285240</wp:posOffset>
            </wp:positionV>
            <wp:extent cx="26543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-1302385</wp:posOffset>
            </wp:positionV>
            <wp:extent cx="13716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-1285240</wp:posOffset>
            </wp:positionV>
            <wp:extent cx="1371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252" w:lineRule="exact"/>
        <w:rPr>
          <w:sz w:val="20"/>
          <w:szCs w:val="20"/>
          <w:color w:val="auto"/>
        </w:rPr>
      </w:pPr>
    </w:p>
    <w:p>
      <w:pPr>
        <w:ind w:right="40" w:firstLine="469"/>
        <w:spacing w:after="0" w:line="319" w:lineRule="auto"/>
        <w:rPr>
          <w:sz w:val="20"/>
          <w:szCs w:val="20"/>
          <w:color w:val="auto"/>
        </w:rPr>
      </w:pPr>
      <w:r>
        <w:rPr>
          <w:rFonts w:ascii="Arial" w:cs="Arial" w:eastAsia="Arial" w:hAnsi="Arial"/>
          <w:sz w:val="16"/>
          <w:szCs w:val="16"/>
          <w:color w:val="auto"/>
        </w:rPr>
        <w:t>Total TDRs were $8.2 million at June 30, 2021, compared to $2.2 million at December 31, 2020. At June 30, 2021,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TDRs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0"/>
                <w:szCs w:val="20"/>
                <w:color w:val="auto"/>
              </w:rPr>
            </w:pPr>
          </w:p>
        </w:tc>
      </w:tr>
      <w:tr>
        <w:trPr>
          <w:trHeight w:val="238"/>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left="113"/>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20"/>
                <w:szCs w:val="20"/>
                <w:color w:val="auto"/>
              </w:rPr>
            </w:pPr>
          </w:p>
        </w:tc>
      </w:tr>
      <w:tr>
        <w:trPr>
          <w:trHeight w:val="241"/>
        </w:trPr>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r>
      <w:tr>
        <w:trPr>
          <w:trHeight w:val="247"/>
        </w:trPr>
        <w:tc>
          <w:tcPr>
            <w:tcW w:w="5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5"/>
          </w:tcPr>
          <w:p>
            <w:pPr>
              <w:jc w:val="right"/>
              <w:ind w:right="53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Performing TDRs:</w:t>
            </w:r>
          </w:p>
        </w:tc>
        <w:tc>
          <w:tcPr>
            <w:tcW w:w="26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550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2,706</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63"/>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Construction</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tcPr>
          <w:p>
            <w:pPr>
              <w:ind w:left="140"/>
              <w:spacing w:after="0"/>
              <w:rPr>
                <w:sz w:val="20"/>
                <w:szCs w:val="20"/>
                <w:color w:val="auto"/>
              </w:rPr>
            </w:pPr>
            <w:r>
              <w:rPr>
                <w:rFonts w:ascii="Arial" w:cs="Arial" w:eastAsia="Arial" w:hAnsi="Arial"/>
                <w:sz w:val="18"/>
                <w:szCs w:val="18"/>
                <w:color w:val="auto"/>
              </w:rPr>
              <w:t>SBA</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tcPr>
          <w:p>
            <w:pPr>
              <w:ind w:left="140"/>
              <w:spacing w:after="0"/>
              <w:rPr>
                <w:sz w:val="20"/>
                <w:szCs w:val="20"/>
                <w:color w:val="auto"/>
              </w:rPr>
            </w:pPr>
            <w:r>
              <w:rPr>
                <w:rFonts w:ascii="Arial" w:cs="Arial" w:eastAsia="Arial" w:hAnsi="Arial"/>
                <w:sz w:val="18"/>
                <w:szCs w:val="18"/>
                <w:color w:val="auto"/>
              </w:rPr>
              <w:t>Dairy &amp; livestock and agribusiness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SFR mortgage</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2"/>
                <w:szCs w:val="22"/>
                <w:color w:val="auto"/>
              </w:rPr>
            </w:pPr>
          </w:p>
        </w:tc>
      </w:tr>
      <w:tr>
        <w:trPr>
          <w:trHeight w:val="257"/>
        </w:trPr>
        <w:tc>
          <w:tcPr>
            <w:tcW w:w="5500" w:type="dxa"/>
            <w:vAlign w:val="bottom"/>
          </w:tcPr>
          <w:p>
            <w:pPr>
              <w:ind w:left="140"/>
              <w:spacing w:after="0"/>
              <w:rPr>
                <w:sz w:val="20"/>
                <w:szCs w:val="20"/>
                <w:color w:val="auto"/>
              </w:rPr>
            </w:pPr>
            <w:r>
              <w:rPr>
                <w:rFonts w:ascii="Arial" w:cs="Arial" w:eastAsia="Arial" w:hAnsi="Arial"/>
                <w:sz w:val="18"/>
                <w:szCs w:val="18"/>
                <w:color w:val="auto"/>
              </w:rPr>
              <w:t>Consumer and other</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55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performing TDRs</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10</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r>
        <w:trPr>
          <w:trHeight w:val="500"/>
        </w:trPr>
        <w:tc>
          <w:tcPr>
            <w:tcW w:w="5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Nonperforming TDRs: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63"/>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SBA</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Dairy &amp; livestock and agribusiness</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tcPr>
          <w:p>
            <w:pPr>
              <w:ind w:left="140"/>
              <w:spacing w:after="0"/>
              <w:rPr>
                <w:sz w:val="20"/>
                <w:szCs w:val="20"/>
                <w:color w:val="auto"/>
              </w:rPr>
            </w:pPr>
            <w:r>
              <w:rPr>
                <w:rFonts w:ascii="Arial" w:cs="Arial" w:eastAsia="Arial" w:hAnsi="Arial"/>
                <w:sz w:val="18"/>
                <w:szCs w:val="18"/>
                <w:color w:val="auto"/>
              </w:rPr>
              <w:t>SFR mortgage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5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Consumer and other</w:t>
            </w:r>
          </w:p>
        </w:tc>
        <w:tc>
          <w:tcPr>
            <w:tcW w:w="2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500" w:type="dxa"/>
            <w:vAlign w:val="bottom"/>
          </w:tcPr>
          <w:p>
            <w:pPr>
              <w:ind w:left="400"/>
              <w:spacing w:after="0"/>
              <w:rPr>
                <w:sz w:val="20"/>
                <w:szCs w:val="20"/>
                <w:color w:val="auto"/>
              </w:rPr>
            </w:pPr>
            <w:r>
              <w:rPr>
                <w:rFonts w:ascii="Arial" w:cs="Arial" w:eastAsia="Arial" w:hAnsi="Arial"/>
                <w:sz w:val="18"/>
                <w:szCs w:val="18"/>
                <w:color w:val="auto"/>
              </w:rPr>
              <w:t>Total nonperforming TDRs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55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TDRs</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2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10</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4"/>
                <w:szCs w:val="24"/>
                <w:color w:val="auto"/>
              </w:rPr>
            </w:pPr>
          </w:p>
        </w:tc>
      </w:tr>
      <w:tr>
        <w:trPr>
          <w:trHeight w:val="439"/>
        </w:trPr>
        <w:tc>
          <w:tcPr>
            <w:tcW w:w="55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52</w:t>
            </w: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44"/>
        </w:trPr>
        <w:tc>
          <w:tcPr>
            <w:tcW w:w="5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-2362200</wp:posOffset>
            </wp:positionV>
            <wp:extent cx="154305"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-2362200</wp:posOffset>
            </wp:positionV>
            <wp:extent cx="137160"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-2362200</wp:posOffset>
            </wp:positionV>
            <wp:extent cx="137160"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-2362200</wp:posOffset>
            </wp:positionV>
            <wp:extent cx="68580" cy="57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-887730</wp:posOffset>
            </wp:positionV>
            <wp:extent cx="154305"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-887730</wp:posOffset>
            </wp:positionV>
            <wp:extent cx="137160"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-887730</wp:posOffset>
            </wp:positionV>
            <wp:extent cx="137160"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-887730</wp:posOffset>
            </wp:positionV>
            <wp:extent cx="68580"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-548005</wp:posOffset>
            </wp:positionV>
            <wp:extent cx="15430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-530860</wp:posOffset>
            </wp:positionV>
            <wp:extent cx="15430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-548005</wp:posOffset>
            </wp:positionV>
            <wp:extent cx="13716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-530860</wp:posOffset>
            </wp:positionV>
            <wp:extent cx="13716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-548005</wp:posOffset>
            </wp:positionV>
            <wp:extent cx="13716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-530860</wp:posOffset>
            </wp:positionV>
            <wp:extent cx="13716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2" w:name="page53"/>
    <w:bookmarkEnd w:id="52"/>
    <w:p>
      <w:pPr>
        <w:ind w:right="80" w:firstLine="469"/>
        <w:spacing w:after="0" w:line="359" w:lineRule="auto"/>
        <w:rPr>
          <w:sz w:val="20"/>
          <w:szCs w:val="20"/>
          <w:color w:val="auto"/>
        </w:rPr>
      </w:pPr>
      <w:r>
        <w:rPr>
          <w:rFonts w:ascii="Arial" w:cs="Arial" w:eastAsia="Arial" w:hAnsi="Arial"/>
          <w:sz w:val="16"/>
          <w:szCs w:val="16"/>
          <w:color w:val="auto"/>
        </w:rPr>
        <w:t>At June 30, 2021 and December 31, 2020, there was no ACL allocated to TDRs. Impairment amounts identified are typically charged off against the allowance at the time the loan is considered uncollectible. There were no charge-offs on TDRs for the six months ended June 30, 2021 and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 and Delinquencies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trends in our nonperforming assets and delinquencies as of the dates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4"/>
          </w:tcPr>
          <w:p>
            <w:pPr>
              <w:jc w:val="right"/>
              <w:ind w:right="360"/>
              <w:spacing w:after="0"/>
              <w:rPr>
                <w:sz w:val="20"/>
                <w:szCs w:val="20"/>
                <w:color w:val="auto"/>
              </w:rPr>
            </w:pPr>
            <w:r>
              <w:rPr>
                <w:rFonts w:ascii="Arial" w:cs="Arial" w:eastAsia="Arial" w:hAnsi="Arial"/>
                <w:sz w:val="14"/>
                <w:szCs w:val="14"/>
                <w:i w:val="1"/>
                <w:iCs w:val="1"/>
                <w:color w:val="auto"/>
                <w:w w:val="99"/>
              </w:rPr>
              <w:t>(Dollars in thousands)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FF0FC"/>
          </w:tcPr>
          <w:p>
            <w:pPr>
              <w:spacing w:after="0"/>
              <w:rPr>
                <w:sz w:val="14"/>
                <w:szCs w:val="14"/>
                <w:color w:val="auto"/>
              </w:rPr>
            </w:pPr>
          </w:p>
        </w:tc>
        <w:tc>
          <w:tcPr>
            <w:tcW w:w="3720" w:type="dxa"/>
            <w:vAlign w:val="bottom"/>
            <w:gridSpan w:val="4"/>
            <w:shd w:val="clear" w:color="auto" w:fill="CFF0FC"/>
          </w:tcPr>
          <w:p>
            <w:pPr>
              <w:spacing w:after="0"/>
              <w:rPr>
                <w:sz w:val="20"/>
                <w:szCs w:val="20"/>
                <w:color w:val="auto"/>
              </w:rPr>
            </w:pPr>
            <w:r>
              <w:rPr>
                <w:rFonts w:ascii="Arial" w:cs="Arial" w:eastAsia="Arial" w:hAnsi="Arial"/>
                <w:sz w:val="14"/>
                <w:szCs w:val="14"/>
                <w:b w:val="1"/>
                <w:bCs w:val="1"/>
                <w:color w:val="auto"/>
              </w:rPr>
              <w:t>Nonperforming loans (1):</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Commercial real estate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4,439</w:t>
            </w:r>
          </w:p>
        </w:tc>
        <w:tc>
          <w:tcPr>
            <w:tcW w:w="4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7,395</w:t>
            </w:r>
          </w:p>
        </w:tc>
        <w:tc>
          <w:tcPr>
            <w:tcW w:w="2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7,563</w:t>
            </w: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6,481</w:t>
            </w:r>
          </w:p>
        </w:tc>
        <w:tc>
          <w:tcPr>
            <w:tcW w:w="4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SBA</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1,382</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3,129</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1,822</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1,222</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SFR mortgage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Consumer and other loans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32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8,471</w:t>
            </w:r>
          </w:p>
        </w:tc>
        <w:tc>
          <w:tcPr>
            <w:tcW w:w="4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13,769</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14,347</w:t>
            </w: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11,775</w:t>
            </w:r>
          </w:p>
        </w:tc>
        <w:tc>
          <w:tcPr>
            <w:tcW w:w="4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6,817</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 of Total loans</w:t>
            </w:r>
          </w:p>
        </w:tc>
        <w:tc>
          <w:tcPr>
            <w:tcW w:w="2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0.10 %</w:t>
            </w:r>
          </w:p>
        </w:tc>
        <w:tc>
          <w:tcPr>
            <w:tcW w:w="1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0.17 %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0.17 %</w:t>
            </w:r>
          </w:p>
        </w:tc>
        <w:tc>
          <w:tcPr>
            <w:tcW w:w="1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0.14 %</w:t>
            </w:r>
          </w:p>
        </w:tc>
        <w:tc>
          <w:tcPr>
            <w:tcW w:w="1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0.08 %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3720" w:type="dxa"/>
            <w:vAlign w:val="bottom"/>
            <w:gridSpan w:val="4"/>
            <w:shd w:val="clear" w:color="auto" w:fill="CFF0FC"/>
          </w:tcPr>
          <w:p>
            <w:pPr>
              <w:spacing w:after="0"/>
              <w:rPr>
                <w:sz w:val="20"/>
                <w:szCs w:val="20"/>
                <w:color w:val="auto"/>
              </w:rPr>
            </w:pPr>
            <w:r>
              <w:rPr>
                <w:rFonts w:ascii="Arial" w:cs="Arial" w:eastAsia="Arial" w:hAnsi="Arial"/>
                <w:sz w:val="14"/>
                <w:szCs w:val="14"/>
                <w:b w:val="1"/>
                <w:bCs w:val="1"/>
                <w:color w:val="auto"/>
              </w:rPr>
              <w:t>Past due 30-89 days: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Commercial real estate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178</w:t>
            </w:r>
          </w:p>
        </w:tc>
        <w:tc>
          <w:tcPr>
            <w:tcW w:w="2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SBA</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1,965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3,627</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SFR mortgage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Consumer and other loans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32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415</w:t>
            </w:r>
          </w:p>
        </w:tc>
        <w:tc>
          <w:tcPr>
            <w:tcW w:w="4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1,675</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3,066</w:t>
            </w: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3,760</w:t>
            </w:r>
          </w:p>
        </w:tc>
        <w:tc>
          <w:tcPr>
            <w:tcW w:w="4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2,589</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 of Total loans</w:t>
            </w:r>
          </w:p>
        </w:tc>
        <w:tc>
          <w:tcPr>
            <w:tcW w:w="2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0.01 %</w:t>
            </w:r>
          </w:p>
        </w:tc>
        <w:tc>
          <w:tcPr>
            <w:tcW w:w="1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0.02 %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0.04 %</w:t>
            </w:r>
          </w:p>
        </w:tc>
        <w:tc>
          <w:tcPr>
            <w:tcW w:w="1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0.04 %</w:t>
            </w:r>
          </w:p>
        </w:tc>
        <w:tc>
          <w:tcPr>
            <w:tcW w:w="1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0.03 %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OREO:</w:t>
            </w:r>
          </w:p>
        </w:tc>
        <w:tc>
          <w:tcPr>
            <w:tcW w:w="3240" w:type="dxa"/>
            <w:vAlign w:val="bottom"/>
            <w:tcBorders>
              <w:bottom w:val="single" w:sz="8" w:color="CFF0FC"/>
            </w:tcBorders>
            <w:gridSpan w:val="3"/>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Commercial real estate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1,575</w:t>
            </w:r>
          </w:p>
        </w:tc>
        <w:tc>
          <w:tcPr>
            <w:tcW w:w="2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1,575</w:t>
            </w: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1,575</w:t>
            </w:r>
          </w:p>
        </w:tc>
        <w:tc>
          <w:tcPr>
            <w:tcW w:w="4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2,275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260"/>
              <w:spacing w:after="0"/>
              <w:rPr>
                <w:sz w:val="20"/>
                <w:szCs w:val="20"/>
                <w:color w:val="auto"/>
              </w:rPr>
            </w:pPr>
            <w:r>
              <w:rPr>
                <w:rFonts w:ascii="Arial" w:cs="Arial" w:eastAsia="Arial" w:hAnsi="Arial"/>
                <w:sz w:val="14"/>
                <w:szCs w:val="14"/>
                <w:color w:val="auto"/>
              </w:rPr>
              <w:t>SBA</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797</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4"/>
          </w:tcPr>
          <w:p>
            <w:pPr>
              <w:ind w:left="260"/>
              <w:spacing w:after="0"/>
              <w:rPr>
                <w:sz w:val="20"/>
                <w:szCs w:val="20"/>
                <w:color w:val="auto"/>
              </w:rPr>
            </w:pPr>
            <w:r>
              <w:rPr>
                <w:rFonts w:ascii="Arial" w:cs="Arial" w:eastAsia="Arial" w:hAnsi="Arial"/>
                <w:sz w:val="14"/>
                <w:szCs w:val="14"/>
                <w:color w:val="auto"/>
              </w:rPr>
              <w:t>SFR mortgage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32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1,575</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3,392</w:t>
            </w: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4,189</w:t>
            </w:r>
          </w:p>
        </w:tc>
        <w:tc>
          <w:tcPr>
            <w:tcW w:w="4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4,889</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b w:val="1"/>
                <w:bCs w:val="1"/>
                <w:color w:val="auto"/>
              </w:rPr>
              <w:t>Total nonperforming, past due,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8,886</w:t>
            </w:r>
          </w:p>
        </w:tc>
        <w:tc>
          <w:tcPr>
            <w:tcW w:w="42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17,019</w:t>
            </w:r>
          </w:p>
        </w:tc>
        <w:tc>
          <w:tcPr>
            <w:tcW w:w="220" w:type="dxa"/>
            <w:vAlign w:val="bottom"/>
          </w:tcPr>
          <w:p>
            <w:pPr>
              <w:spacing w:after="0"/>
              <w:rPr>
                <w:sz w:val="15"/>
                <w:szCs w:val="15"/>
                <w:color w:val="auto"/>
              </w:rPr>
            </w:pPr>
          </w:p>
        </w:tc>
        <w:tc>
          <w:tcPr>
            <w:tcW w:w="20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20,805</w:t>
            </w:r>
          </w:p>
        </w:tc>
        <w:tc>
          <w:tcPr>
            <w:tcW w:w="4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19,724</w:t>
            </w:r>
          </w:p>
        </w:tc>
        <w:tc>
          <w:tcPr>
            <w:tcW w:w="400" w:type="dxa"/>
            <w:vAlign w:val="bottom"/>
          </w:tcPr>
          <w:p>
            <w:pPr>
              <w:spacing w:after="0"/>
              <w:rPr>
                <w:sz w:val="15"/>
                <w:szCs w:val="15"/>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14,295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rPr>
              <w:t>and OREO</w:t>
            </w:r>
          </w:p>
        </w:tc>
        <w:tc>
          <w:tcPr>
            <w:tcW w:w="20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240" w:type="dxa"/>
            <w:vAlign w:val="bottom"/>
            <w:gridSpan w:val="3"/>
            <w:shd w:val="clear" w:color="auto" w:fill="CFF0FC"/>
          </w:tcPr>
          <w:p>
            <w:pPr>
              <w:ind w:left="280"/>
              <w:spacing w:after="0"/>
              <w:rPr>
                <w:sz w:val="20"/>
                <w:szCs w:val="20"/>
                <w:color w:val="auto"/>
              </w:rPr>
            </w:pPr>
            <w:r>
              <w:rPr>
                <w:rFonts w:ascii="Arial" w:cs="Arial" w:eastAsia="Arial" w:hAnsi="Arial"/>
                <w:sz w:val="14"/>
                <w:szCs w:val="14"/>
                <w:b w:val="1"/>
                <w:bCs w:val="1"/>
                <w:color w:val="auto"/>
              </w:rPr>
              <w:t>% of Total loans</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0.11 %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0.21 %</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0.25 %</w:t>
            </w: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0.23 %</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0.17 %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-2722245</wp:posOffset>
            </wp:positionV>
            <wp:extent cx="265430" cy="57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-2722245</wp:posOffset>
            </wp:positionV>
            <wp:extent cx="266065" cy="571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-2722245</wp:posOffset>
            </wp:positionV>
            <wp:extent cx="265430" cy="571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-2722245</wp:posOffset>
            </wp:positionV>
            <wp:extent cx="248920" cy="571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-2722245</wp:posOffset>
            </wp:positionV>
            <wp:extent cx="137160" cy="57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-1290955</wp:posOffset>
            </wp:positionV>
            <wp:extent cx="265430" cy="571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-1290955</wp:posOffset>
            </wp:positionV>
            <wp:extent cx="266065" cy="571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-1290955</wp:posOffset>
            </wp:positionV>
            <wp:extent cx="265430" cy="571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-1290955</wp:posOffset>
            </wp:positionV>
            <wp:extent cx="248920" cy="571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-1290955</wp:posOffset>
            </wp:positionV>
            <wp:extent cx="137160" cy="57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-373380</wp:posOffset>
            </wp:positionV>
            <wp:extent cx="265430" cy="571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-373380</wp:posOffset>
            </wp:positionV>
            <wp:extent cx="266065" cy="571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-373380</wp:posOffset>
            </wp:positionV>
            <wp:extent cx="265430" cy="571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-373380</wp:posOffset>
            </wp:positionV>
            <wp:extent cx="248920" cy="57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-373380</wp:posOffset>
            </wp:positionV>
            <wp:extent cx="137160" cy="57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4" w:lineRule="exact"/>
        <w:rPr>
          <w:sz w:val="20"/>
          <w:szCs w:val="20"/>
          <w:color w:val="auto"/>
        </w:rPr>
      </w:pPr>
    </w:p>
    <w:p>
      <w:pPr>
        <w:ind w:left="700" w:hanging="318"/>
        <w:spacing w:after="0"/>
        <w:tabs>
          <w:tab w:leader="none" w:pos="7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June 30, 2020, nonperforming loans included $25,000 of commercial and industrial loans past due 90 days or more and still accruing interest.</w:t>
      </w:r>
    </w:p>
    <w:p>
      <w:pPr>
        <w:spacing w:after="0" w:line="248" w:lineRule="exact"/>
        <w:rPr>
          <w:sz w:val="20"/>
          <w:szCs w:val="20"/>
          <w:color w:val="auto"/>
        </w:rPr>
      </w:pPr>
    </w:p>
    <w:p>
      <w:pPr>
        <w:ind w:right="100" w:firstLine="469"/>
        <w:spacing w:after="0" w:line="314" w:lineRule="auto"/>
        <w:rPr>
          <w:sz w:val="20"/>
          <w:szCs w:val="20"/>
          <w:color w:val="auto"/>
        </w:rPr>
      </w:pPr>
      <w:r>
        <w:rPr>
          <w:rFonts w:ascii="Arial" w:cs="Arial" w:eastAsia="Arial" w:hAnsi="Arial"/>
          <w:sz w:val="16"/>
          <w:szCs w:val="16"/>
          <w:color w:val="auto"/>
        </w:rPr>
        <w:t>Nonperforming loans, defined as nonaccrual loans, nonperforming TDR loans and loans past due 90 days or more and still accruing interest, were $8.5 million at June 30, 2021, or 0.10% of total loans. This compares to nonperforming loans of $14.3 million, or 0.17% of total loans, at December 31, 2020 and $6.8 million, or 0.08% of total loans, at June 30, 2020. The $5.3 million quarter-over-quarter decrease in nonperforming loans was primarily due to decreases of $3.0 million in nonperforming commercial real estate loans, $1.1 million in commercial and industrial loans, $1.0 million in SBA loans, $141,000 in dairy &amp; livestock and agribusiness loans, $18,000 in SFR mortgage loans, and $4,000 in consumer and other loans.</w:t>
      </w:r>
    </w:p>
    <w:p>
      <w:pPr>
        <w:spacing w:after="0" w:line="173" w:lineRule="exact"/>
        <w:rPr>
          <w:sz w:val="20"/>
          <w:szCs w:val="20"/>
          <w:color w:val="auto"/>
        </w:rPr>
      </w:pPr>
    </w:p>
    <w:p>
      <w:pPr>
        <w:ind w:right="180" w:firstLine="469"/>
        <w:spacing w:after="0" w:line="303" w:lineRule="auto"/>
        <w:rPr>
          <w:sz w:val="20"/>
          <w:szCs w:val="20"/>
          <w:color w:val="auto"/>
        </w:rPr>
      </w:pPr>
      <w:r>
        <w:rPr>
          <w:rFonts w:ascii="Arial" w:cs="Arial" w:eastAsia="Arial" w:hAnsi="Arial"/>
          <w:sz w:val="17"/>
          <w:szCs w:val="17"/>
          <w:color w:val="auto"/>
        </w:rPr>
        <w:t>At June 30, 2021, we had no OREO properties, compared to two OREO properties with a carrying value of $3.4 million at December 31, 2020 and four OREO properties with a carrying value of $4.9 million at June 30, 2020. For the six months ended June 30, 2020, we sold two OREO properties, realizing a net gain on sale of $477,000. There were no additions to OREO properties for the six months ended June 30, 2021.</w:t>
      </w:r>
    </w:p>
    <w:p>
      <w:pPr>
        <w:spacing w:after="0" w:line="178" w:lineRule="exact"/>
        <w:rPr>
          <w:sz w:val="20"/>
          <w:szCs w:val="20"/>
          <w:color w:val="auto"/>
        </w:rPr>
      </w:pPr>
    </w:p>
    <w:p>
      <w:pPr>
        <w:ind w:right="200" w:firstLine="469"/>
        <w:spacing w:after="0" w:line="272" w:lineRule="auto"/>
        <w:rPr>
          <w:sz w:val="20"/>
          <w:szCs w:val="20"/>
          <w:color w:val="auto"/>
        </w:rPr>
      </w:pPr>
      <w:r>
        <w:rPr>
          <w:rFonts w:ascii="Arial" w:cs="Arial" w:eastAsia="Arial" w:hAnsi="Arial"/>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8"/>
          <w:szCs w:val="18"/>
          <w:i w:val="1"/>
          <w:iCs w:val="1"/>
          <w:color w:val="auto"/>
        </w:rPr>
        <w:t>Risk Management – Credit Risk Management</w:t>
      </w:r>
      <w:r>
        <w:rPr>
          <w:rFonts w:ascii="Arial" w:cs="Arial" w:eastAsia="Arial" w:hAnsi="Arial"/>
          <w:sz w:val="18"/>
          <w:szCs w:val="18"/>
          <w:color w:val="auto"/>
        </w:rPr>
        <w:t>” contained in our Annual Report on Form 10-K for the year ended December 31,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adopted CECL on January 1, 2020, which replaces the “incurred loss” approach with an “expected loss” model over the life of the loan,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further described in Note 3—</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contained in our Annual Report on Form 10-K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allowance for credit losses totaled $69.3 million as of June 30, 2021, compared to $93.7 million as of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$94.0 million as of June 30, 2020. Our allowance for credit losses at June 30, 2021 was 0.86%, or 0.94% of total loans when excluding the $657.8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PPP loans. The allowance for credit losses for 2021 was decreased by $21.5 million, due to the improved outlook in our forecast of certain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macroeconomic variables that were influenced by the economic impact of the pandemic and government stimulus, and by $2.9 million in year-to-date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charge-offs. The Company previously recorded provision for credit losses totaling $23.5 million in 2020, due to the severe decline in economic forecasts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pandemic. Net charge-offs were $2.9 million for the six months ended June 30, 2021. This compares to a $23.5 million credit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provision and $17,000 in net charge-offs for the same period of 2020.</w:t>
      </w:r>
    </w:p>
    <w:p>
      <w:pPr>
        <w:spacing w:after="0" w:line="251" w:lineRule="exact"/>
        <w:rPr>
          <w:sz w:val="20"/>
          <w:szCs w:val="20"/>
          <w:color w:val="auto"/>
        </w:rPr>
      </w:pPr>
    </w:p>
    <w:p>
      <w:pPr>
        <w:ind w:right="20" w:firstLine="469"/>
        <w:spacing w:after="0" w:line="284" w:lineRule="auto"/>
        <w:rPr>
          <w:sz w:val="20"/>
          <w:szCs w:val="20"/>
          <w:color w:val="auto"/>
        </w:rPr>
      </w:pPr>
      <w:r>
        <w:rPr>
          <w:rFonts w:ascii="Arial" w:cs="Arial" w:eastAsia="Arial" w:hAnsi="Arial"/>
          <w:sz w:val="17"/>
          <w:szCs w:val="17"/>
          <w:color w:val="auto"/>
        </w:rPr>
        <w:t>The allowance for credit losses as of June 30, 2021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Payment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202" w:lineRule="exact"/>
        <w:rPr>
          <w:sz w:val="20"/>
          <w:szCs w:val="20"/>
          <w:color w:val="auto"/>
        </w:rPr>
      </w:pPr>
    </w:p>
    <w:p>
      <w:pPr>
        <w:ind w:firstLine="469"/>
        <w:spacing w:after="0" w:line="287" w:lineRule="auto"/>
        <w:rPr>
          <w:sz w:val="20"/>
          <w:szCs w:val="20"/>
          <w:color w:val="auto"/>
        </w:rPr>
      </w:pPr>
      <w:r>
        <w:rPr>
          <w:rFonts w:ascii="Arial" w:cs="Arial" w:eastAsia="Arial" w:hAnsi="Arial"/>
          <w:sz w:val="17"/>
          <w:szCs w:val="17"/>
          <w:color w:val="auto"/>
        </w:rPr>
        <w:t>Based on the magnitude of government economic stimulus and the wide availability of vaccines, our latest economic forecast reflects improvements in key macroeconomic variables, including GDP, the commercial real estate price index and the unemployment rate. Our economic forecast continues to be a blend of multiple forecasts produced by Moody’s, including Moody’s baseline forecast, as well as upside and downside forecasts. Our forecast at the end of the second quarter of 2021, assumes GDP will increase by 6.1% in 2021 and then by 2.7% in 2022 and 2.5% in 2023. The forecast for the unemployment rate is 6.1% in 2021 and 2022, then falling to 5.3% in 2023. Management believes that the ACL was appropriate at June 30, 2021 and December 31, 2020. As there is a high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an increased allowance for credit losses in future periods.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sectPr>
      </w:pPr>
    </w:p>
    <w:bookmarkStart w:id="54" w:name="page55"/>
    <w:bookmarkEnd w:id="54"/>
    <w:p>
      <w:pPr>
        <w:ind w:right="220" w:firstLine="469"/>
        <w:spacing w:after="0" w:line="293" w:lineRule="auto"/>
        <w:rPr>
          <w:sz w:val="20"/>
          <w:szCs w:val="20"/>
          <w:color w:val="auto"/>
        </w:rPr>
      </w:pPr>
      <w:r>
        <w:rPr>
          <w:rFonts w:ascii="Arial" w:cs="Arial" w:eastAsia="Arial" w:hAnsi="Arial"/>
          <w:sz w:val="18"/>
          <w:szCs w:val="18"/>
          <w:color w:val="auto"/>
        </w:rPr>
        <w:t>The table below presents a summary of charge-offs and recoveries by type, the provision for credit losses on loans, and the resulting allowance for credit losses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As of and For the</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6"/>
        </w:trPr>
        <w:tc>
          <w:tcPr>
            <w:tcW w:w="7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Six Months Ended</w:t>
            </w:r>
          </w:p>
        </w:tc>
      </w:tr>
      <w:tr>
        <w:trPr>
          <w:trHeight w:val="263"/>
        </w:trPr>
        <w:tc>
          <w:tcPr>
            <w:tcW w:w="7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7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21"/>
                <w:szCs w:val="21"/>
                <w:color w:val="auto"/>
              </w:rPr>
            </w:pPr>
          </w:p>
        </w:tc>
      </w:tr>
      <w:tr>
        <w:trPr>
          <w:trHeight w:val="247"/>
        </w:trPr>
        <w:tc>
          <w:tcPr>
            <w:tcW w:w="7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jc w:val="center"/>
              <w:ind w:right="500"/>
              <w:spacing w:after="0"/>
              <w:rPr>
                <w:sz w:val="20"/>
                <w:szCs w:val="20"/>
                <w:color w:val="auto"/>
              </w:rPr>
            </w:pPr>
            <w:r>
              <w:rPr>
                <w:rFonts w:ascii="Arial" w:cs="Arial" w:eastAsia="Arial" w:hAnsi="Arial"/>
                <w:sz w:val="16"/>
                <w:szCs w:val="16"/>
                <w:i w:val="1"/>
                <w:iCs w:val="1"/>
                <w:color w:val="auto"/>
                <w:w w:val="93"/>
              </w:rPr>
              <w:t>(Dollars in thousands)</w:t>
            </w:r>
          </w:p>
        </w:tc>
      </w:tr>
      <w:tr>
        <w:trPr>
          <w:trHeight w:val="266"/>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beginning of period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93,692</w:t>
            </w:r>
          </w:p>
        </w:tc>
        <w:tc>
          <w:tcPr>
            <w:tcW w:w="440" w:type="dxa"/>
            <w:vAlign w:val="bottom"/>
            <w:shd w:val="clear" w:color="auto" w:fill="CFF0FC"/>
          </w:tcPr>
          <w:p>
            <w:pPr>
              <w:spacing w:after="0"/>
              <w:rPr>
                <w:sz w:val="23"/>
                <w:szCs w:val="23"/>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68,660</w:t>
            </w:r>
          </w:p>
        </w:tc>
        <w:tc>
          <w:tcPr>
            <w:tcW w:w="220" w:type="dxa"/>
            <w:vAlign w:val="bottom"/>
            <w:shd w:val="clear" w:color="auto" w:fill="CFF0FC"/>
          </w:tcPr>
          <w:p>
            <w:pPr>
              <w:spacing w:after="0"/>
              <w:rPr>
                <w:sz w:val="23"/>
                <w:szCs w:val="23"/>
                <w:color w:val="auto"/>
              </w:rPr>
            </w:pP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Impact of adopting ASU 2016-13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Pr>
          <w:p>
            <w:pPr>
              <w:spacing w:after="0"/>
              <w:rPr>
                <w:sz w:val="21"/>
                <w:szCs w:val="21"/>
                <w:color w:val="auto"/>
              </w:rPr>
            </w:pP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50"/>
        </w:trPr>
        <w:tc>
          <w:tcPr>
            <w:tcW w:w="7940" w:type="dxa"/>
            <w:vAlign w:val="bottom"/>
          </w:tcPr>
          <w:p>
            <w:pPr>
              <w:ind w:left="28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63"/>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Construction</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r>
      <w:tr>
        <w:trPr>
          <w:trHeight w:val="250"/>
        </w:trPr>
        <w:tc>
          <w:tcPr>
            <w:tcW w:w="7940" w:type="dxa"/>
            <w:vAlign w:val="bottom"/>
          </w:tcPr>
          <w:p>
            <w:pPr>
              <w:ind w:left="280"/>
              <w:spacing w:after="0"/>
              <w:rPr>
                <w:sz w:val="20"/>
                <w:szCs w:val="20"/>
                <w:color w:val="auto"/>
              </w:rPr>
            </w:pPr>
            <w:r>
              <w:rPr>
                <w:rFonts w:ascii="Arial" w:cs="Arial" w:eastAsia="Arial" w:hAnsi="Arial"/>
                <w:sz w:val="18"/>
                <w:szCs w:val="18"/>
                <w:color w:val="auto"/>
              </w:rPr>
              <w:t>SBA</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(156 )</w:t>
            </w:r>
          </w:p>
        </w:tc>
      </w:tr>
      <w:tr>
        <w:trPr>
          <w:trHeight w:val="263"/>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(2,975 )</w:t>
            </w:r>
          </w:p>
        </w:tc>
        <w:tc>
          <w:tcPr>
            <w:tcW w:w="4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(11 )</w:t>
            </w:r>
          </w:p>
        </w:tc>
      </w:tr>
      <w:tr>
        <w:trPr>
          <w:trHeight w:val="250"/>
        </w:trPr>
        <w:tc>
          <w:tcPr>
            <w:tcW w:w="7940" w:type="dxa"/>
            <w:vAlign w:val="bottom"/>
          </w:tcPr>
          <w:p>
            <w:pPr>
              <w:ind w:left="280"/>
              <w:spacing w:after="0"/>
              <w:rPr>
                <w:sz w:val="20"/>
                <w:szCs w:val="20"/>
                <w:color w:val="auto"/>
              </w:rPr>
            </w:pPr>
            <w:r>
              <w:rPr>
                <w:rFonts w:ascii="Arial" w:cs="Arial" w:eastAsia="Arial" w:hAnsi="Arial"/>
                <w:sz w:val="18"/>
                <w:szCs w:val="18"/>
                <w:color w:val="auto"/>
              </w:rPr>
              <w:t>Dairy &amp; livestock and agribusiness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63"/>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SFR mortgage</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r>
      <w:tr>
        <w:trPr>
          <w:trHeight w:val="257"/>
        </w:trPr>
        <w:tc>
          <w:tcPr>
            <w:tcW w:w="7940" w:type="dxa"/>
            <w:vAlign w:val="bottom"/>
          </w:tcPr>
          <w:p>
            <w:pPr>
              <w:ind w:left="280"/>
              <w:spacing w:after="0"/>
              <w:rPr>
                <w:sz w:val="20"/>
                <w:szCs w:val="20"/>
                <w:color w:val="auto"/>
              </w:rPr>
            </w:pPr>
            <w:r>
              <w:rPr>
                <w:rFonts w:ascii="Arial" w:cs="Arial" w:eastAsia="Arial" w:hAnsi="Arial"/>
                <w:sz w:val="18"/>
                <w:szCs w:val="18"/>
                <w:color w:val="auto"/>
              </w:rPr>
              <w:t>Consumer and other loans</w:t>
            </w:r>
          </w:p>
        </w:tc>
        <w:tc>
          <w:tcPr>
            <w:tcW w:w="300" w:type="dxa"/>
            <w:vAlign w:val="bottom"/>
          </w:tcPr>
          <w:p>
            <w:pPr>
              <w:spacing w:after="0"/>
              <w:rPr>
                <w:sz w:val="22"/>
                <w:szCs w:val="22"/>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(10 )</w:t>
            </w:r>
          </w:p>
        </w:tc>
        <w:tc>
          <w:tcPr>
            <w:tcW w:w="46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(86 )</w:t>
            </w:r>
          </w:p>
        </w:tc>
      </w:tr>
      <w:tr>
        <w:trPr>
          <w:trHeight w:val="20"/>
        </w:trPr>
        <w:tc>
          <w:tcPr>
            <w:tcW w:w="7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79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charge-offs</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(2,985 )</w:t>
            </w:r>
          </w:p>
        </w:tc>
        <w:tc>
          <w:tcPr>
            <w:tcW w:w="4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(253 )</w:t>
            </w:r>
          </w:p>
        </w:tc>
      </w:tr>
      <w:tr>
        <w:trPr>
          <w:trHeight w:val="243"/>
        </w:trPr>
        <w:tc>
          <w:tcPr>
            <w:tcW w:w="79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Recoveries:</w:t>
            </w: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40" w:type="dxa"/>
            <w:vAlign w:val="bottom"/>
            <w:tcBorders>
              <w:top w:val="single" w:sz="8" w:color="CFF0FC"/>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r>
      <w:tr>
        <w:trPr>
          <w:trHeight w:val="263"/>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r>
      <w:tr>
        <w:trPr>
          <w:trHeight w:val="250"/>
        </w:trPr>
        <w:tc>
          <w:tcPr>
            <w:tcW w:w="794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r>
      <w:tr>
        <w:trPr>
          <w:trHeight w:val="263"/>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SBA</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r>
      <w:tr>
        <w:trPr>
          <w:trHeight w:val="250"/>
        </w:trPr>
        <w:tc>
          <w:tcPr>
            <w:tcW w:w="7940" w:type="dxa"/>
            <w:vAlign w:val="bottom"/>
          </w:tcPr>
          <w:p>
            <w:pPr>
              <w:ind w:left="28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r>
      <w:tr>
        <w:trPr>
          <w:trHeight w:val="263"/>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Dairy &amp; livestock and agribusiness</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r>
      <w:tr>
        <w:trPr>
          <w:trHeight w:val="250"/>
        </w:trPr>
        <w:tc>
          <w:tcPr>
            <w:tcW w:w="7940" w:type="dxa"/>
            <w:vAlign w:val="bottom"/>
          </w:tcPr>
          <w:p>
            <w:pPr>
              <w:ind w:left="280"/>
              <w:spacing w:after="0"/>
              <w:rPr>
                <w:sz w:val="20"/>
                <w:szCs w:val="20"/>
                <w:color w:val="auto"/>
              </w:rPr>
            </w:pPr>
            <w:r>
              <w:rPr>
                <w:rFonts w:ascii="Arial" w:cs="Arial" w:eastAsia="Arial" w:hAnsi="Arial"/>
                <w:sz w:val="18"/>
                <w:szCs w:val="18"/>
                <w:color w:val="auto"/>
              </w:rPr>
              <w:t>SFR mortgage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1"/>
                <w:szCs w:val="21"/>
                <w:color w:val="auto"/>
              </w:rPr>
            </w:pPr>
          </w:p>
        </w:tc>
      </w:tr>
      <w:tr>
        <w:trPr>
          <w:trHeight w:val="263"/>
        </w:trPr>
        <w:tc>
          <w:tcPr>
            <w:tcW w:w="7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Consumer and other loans</w:t>
            </w: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0"/>
        </w:trPr>
        <w:tc>
          <w:tcPr>
            <w:tcW w:w="794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1"/>
                <w:szCs w:val="21"/>
                <w:color w:val="auto"/>
              </w:rPr>
            </w:pPr>
          </w:p>
        </w:tc>
      </w:tr>
      <w:tr>
        <w:trPr>
          <w:trHeight w:val="250"/>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(charge-offs) recoveries</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(2,850 )</w:t>
            </w:r>
          </w:p>
        </w:tc>
        <w:tc>
          <w:tcPr>
            <w:tcW w:w="4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(17 )</w:t>
            </w:r>
          </w:p>
        </w:tc>
      </w:tr>
      <w:tr>
        <w:trPr>
          <w:trHeight w:val="257"/>
        </w:trPr>
        <w:tc>
          <w:tcPr>
            <w:tcW w:w="7940" w:type="dxa"/>
            <w:vAlign w:val="bottom"/>
          </w:tcPr>
          <w:p>
            <w:pPr>
              <w:ind w:left="20"/>
              <w:spacing w:after="0"/>
              <w:rPr>
                <w:sz w:val="20"/>
                <w:szCs w:val="20"/>
                <w:color w:val="auto"/>
              </w:rPr>
            </w:pPr>
            <w:r>
              <w:rPr>
                <w:rFonts w:ascii="Arial" w:cs="Arial" w:eastAsia="Arial" w:hAnsi="Arial"/>
                <w:sz w:val="18"/>
                <w:szCs w:val="18"/>
                <w:color w:val="auto"/>
              </w:rPr>
              <w:t>(Recapture of) provision for credit losses</w:t>
            </w:r>
          </w:p>
        </w:tc>
        <w:tc>
          <w:tcPr>
            <w:tcW w:w="300" w:type="dxa"/>
            <w:vAlign w:val="bottom"/>
          </w:tcPr>
          <w:p>
            <w:pPr>
              <w:spacing w:after="0"/>
              <w:rPr>
                <w:sz w:val="22"/>
                <w:szCs w:val="22"/>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(21,500 )</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23,500</w:t>
            </w:r>
          </w:p>
        </w:tc>
        <w:tc>
          <w:tcPr>
            <w:tcW w:w="220" w:type="dxa"/>
            <w:vAlign w:val="bottom"/>
          </w:tcPr>
          <w:p>
            <w:pPr>
              <w:spacing w:after="0"/>
              <w:rPr>
                <w:sz w:val="22"/>
                <w:szCs w:val="22"/>
                <w:color w:val="auto"/>
              </w:rPr>
            </w:pPr>
          </w:p>
        </w:tc>
      </w:tr>
      <w:tr>
        <w:trPr>
          <w:trHeight w:val="290"/>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end of period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69,342</w:t>
            </w:r>
          </w:p>
        </w:tc>
        <w:tc>
          <w:tcPr>
            <w:tcW w:w="4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93,983</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487"/>
        </w:trPr>
        <w:tc>
          <w:tcPr>
            <w:tcW w:w="7940" w:type="dxa"/>
            <w:vAlign w:val="bottom"/>
          </w:tcPr>
          <w:p>
            <w:pPr>
              <w:ind w:left="20"/>
              <w:spacing w:after="0"/>
              <w:rPr>
                <w:sz w:val="20"/>
                <w:szCs w:val="20"/>
                <w:color w:val="auto"/>
              </w:rPr>
            </w:pPr>
            <w:r>
              <w:rPr>
                <w:rFonts w:ascii="Arial" w:cs="Arial" w:eastAsia="Arial" w:hAnsi="Arial"/>
                <w:sz w:val="18"/>
                <w:szCs w:val="18"/>
                <w:color w:val="auto"/>
              </w:rPr>
              <w:t>Summary of reserve for unfunded loan commitments: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3"/>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Reserve for unfunded loan commitments at beginning of period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220" w:type="dxa"/>
            <w:vAlign w:val="bottom"/>
            <w:shd w:val="clear" w:color="auto" w:fill="CFF0FC"/>
          </w:tcPr>
          <w:p>
            <w:pPr>
              <w:spacing w:after="0"/>
              <w:rPr>
                <w:sz w:val="22"/>
                <w:szCs w:val="22"/>
                <w:color w:val="auto"/>
              </w:rPr>
            </w:pPr>
          </w:p>
        </w:tc>
      </w:tr>
      <w:tr>
        <w:trPr>
          <w:trHeight w:val="250"/>
        </w:trPr>
        <w:tc>
          <w:tcPr>
            <w:tcW w:w="7940" w:type="dxa"/>
            <w:vAlign w:val="bottom"/>
          </w:tcPr>
          <w:p>
            <w:pPr>
              <w:ind w:left="400"/>
              <w:spacing w:after="0"/>
              <w:rPr>
                <w:sz w:val="20"/>
                <w:szCs w:val="20"/>
                <w:color w:val="auto"/>
              </w:rPr>
            </w:pPr>
            <w:r>
              <w:rPr>
                <w:rFonts w:ascii="Arial" w:cs="Arial" w:eastAsia="Arial" w:hAnsi="Arial"/>
                <w:sz w:val="18"/>
                <w:szCs w:val="18"/>
                <w:color w:val="auto"/>
              </w:rPr>
              <w:t>Impact of adopting ASU 2016-13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r>
      <w:tr>
        <w:trPr>
          <w:trHeight w:val="263"/>
        </w:trPr>
        <w:tc>
          <w:tcPr>
            <w:tcW w:w="79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(Recapture of) provision for unfunded loan commitments</w:t>
            </w:r>
          </w:p>
        </w:tc>
        <w:tc>
          <w:tcPr>
            <w:tcW w:w="3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(1,000 )</w:t>
            </w: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r>
      <w:tr>
        <w:trPr>
          <w:trHeight w:val="250"/>
        </w:trPr>
        <w:tc>
          <w:tcPr>
            <w:tcW w:w="79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Reserve for unfunded loan commitments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440" w:type="dxa"/>
            <w:vAlign w:val="bottom"/>
            <w:tcBorders>
              <w:top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FF0FC"/>
            </w:tcBorders>
          </w:tcPr>
          <w:p>
            <w:pPr>
              <w:spacing w:after="0"/>
              <w:rPr>
                <w:sz w:val="21"/>
                <w:szCs w:val="2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2"/>
        </w:trPr>
        <w:tc>
          <w:tcPr>
            <w:tcW w:w="7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Reserve for unfunded loan commitments to total unfunded loan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44"/>
        </w:trPr>
        <w:tc>
          <w:tcPr>
            <w:tcW w:w="79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commitments</w:t>
            </w:r>
          </w:p>
        </w:tc>
        <w:tc>
          <w:tcPr>
            <w:tcW w:w="3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0.45 %</w:t>
            </w:r>
          </w:p>
        </w:tc>
        <w:tc>
          <w:tcPr>
            <w:tcW w:w="4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0.52 %</w:t>
            </w:r>
          </w:p>
        </w:tc>
      </w:tr>
      <w:tr>
        <w:trPr>
          <w:trHeight w:val="506"/>
        </w:trPr>
        <w:tc>
          <w:tcPr>
            <w:tcW w:w="7940" w:type="dxa"/>
            <w:vAlign w:val="bottom"/>
          </w:tcPr>
          <w:p>
            <w:pPr>
              <w:ind w:left="20"/>
              <w:spacing w:after="0"/>
              <w:rPr>
                <w:sz w:val="20"/>
                <w:szCs w:val="20"/>
                <w:color w:val="auto"/>
              </w:rPr>
            </w:pPr>
            <w:r>
              <w:rPr>
                <w:rFonts w:ascii="Arial" w:cs="Arial" w:eastAsia="Arial" w:hAnsi="Arial"/>
                <w:sz w:val="18"/>
                <w:szCs w:val="18"/>
                <w:color w:val="auto"/>
              </w:rPr>
              <w:t>Amount of total loans at end of period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8,071,310</w:t>
            </w:r>
          </w:p>
        </w:tc>
        <w:tc>
          <w:tcPr>
            <w:tcW w:w="44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8,402,534</w:t>
            </w:r>
          </w:p>
        </w:tc>
        <w:tc>
          <w:tcPr>
            <w:tcW w:w="220" w:type="dxa"/>
            <w:vAlign w:val="bottom"/>
          </w:tcPr>
          <w:p>
            <w:pPr>
              <w:spacing w:after="0"/>
              <w:rPr>
                <w:sz w:val="24"/>
                <w:szCs w:val="24"/>
                <w:color w:val="auto"/>
              </w:rPr>
            </w:pP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total loans outstanding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8,259,824</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7,764,930</w:t>
            </w:r>
          </w:p>
        </w:tc>
        <w:tc>
          <w:tcPr>
            <w:tcW w:w="220" w:type="dxa"/>
            <w:vAlign w:val="bottom"/>
            <w:shd w:val="clear" w:color="auto" w:fill="CFF0FC"/>
          </w:tcPr>
          <w:p>
            <w:pPr>
              <w:spacing w:after="0"/>
              <w:rPr>
                <w:sz w:val="22"/>
                <w:szCs w:val="22"/>
                <w:color w:val="auto"/>
              </w:rPr>
            </w:pPr>
          </w:p>
        </w:tc>
      </w:tr>
      <w:tr>
        <w:trPr>
          <w:trHeight w:val="506"/>
        </w:trPr>
        <w:tc>
          <w:tcPr>
            <w:tcW w:w="7940" w:type="dxa"/>
            <w:vAlign w:val="bottom"/>
          </w:tcPr>
          <w:p>
            <w:pPr>
              <w:ind w:left="20"/>
              <w:spacing w:after="0"/>
              <w:rPr>
                <w:sz w:val="20"/>
                <w:szCs w:val="20"/>
                <w:color w:val="auto"/>
              </w:rPr>
            </w:pPr>
            <w:r>
              <w:rPr>
                <w:rFonts w:ascii="Arial" w:cs="Arial" w:eastAsia="Arial" w:hAnsi="Arial"/>
                <w:sz w:val="18"/>
                <w:szCs w:val="18"/>
                <w:color w:val="auto"/>
              </w:rPr>
              <w:t>Net charge-offs to average total loans</w:t>
            </w:r>
          </w:p>
        </w:tc>
        <w:tc>
          <w:tcPr>
            <w:tcW w:w="30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-0.035 %</w:t>
            </w:r>
          </w:p>
        </w:tc>
        <w:tc>
          <w:tcPr>
            <w:tcW w:w="4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0.000 %</w:t>
            </w: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charge-offs to total loans at end of period</w:t>
            </w:r>
          </w:p>
        </w:tc>
        <w:tc>
          <w:tcPr>
            <w:tcW w:w="3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-0.035 %</w:t>
            </w:r>
          </w:p>
        </w:tc>
        <w:tc>
          <w:tcPr>
            <w:tcW w:w="4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0.000 %</w:t>
            </w: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Allowance for credit losses to average total loans</w:t>
            </w:r>
          </w:p>
        </w:tc>
        <w:tc>
          <w:tcPr>
            <w:tcW w:w="3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0.84 %</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1.21 %</w:t>
            </w: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to total loans at end of period</w:t>
            </w:r>
          </w:p>
        </w:tc>
        <w:tc>
          <w:tcPr>
            <w:tcW w:w="3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0.86 %</w:t>
            </w:r>
          </w:p>
        </w:tc>
        <w:tc>
          <w:tcPr>
            <w:tcW w:w="4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1.12 %</w:t>
            </w: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Net charge-offs to allowance for credit losses</w:t>
            </w:r>
          </w:p>
        </w:tc>
        <w:tc>
          <w:tcPr>
            <w:tcW w:w="3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-4.11 %</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-0.02 %</w:t>
            </w: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charge-offs to (recapture of) provision for credit losses</w:t>
            </w:r>
          </w:p>
        </w:tc>
        <w:tc>
          <w:tcPr>
            <w:tcW w:w="3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13.26 %</w:t>
            </w:r>
          </w:p>
        </w:tc>
        <w:tc>
          <w:tcPr>
            <w:tcW w:w="4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-5122545</wp:posOffset>
            </wp:positionV>
            <wp:extent cx="274320" cy="571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-5122545</wp:posOffset>
            </wp:positionV>
            <wp:extent cx="137160" cy="57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-3811270</wp:posOffset>
            </wp:positionV>
            <wp:extent cx="274320" cy="57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-3811270</wp:posOffset>
            </wp:positionV>
            <wp:extent cx="137160" cy="571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-3136900</wp:posOffset>
            </wp:positionV>
            <wp:extent cx="27432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-3119755</wp:posOffset>
            </wp:positionV>
            <wp:extent cx="27432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-3136900</wp:posOffset>
            </wp:positionV>
            <wp:extent cx="13716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-3119755</wp:posOffset>
            </wp:positionV>
            <wp:extent cx="13716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-2293620</wp:posOffset>
            </wp:positionV>
            <wp:extent cx="274320" cy="571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-2293620</wp:posOffset>
            </wp:positionV>
            <wp:extent cx="137160" cy="571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77" w:lineRule="exact"/>
        <w:rPr>
          <w:sz w:val="20"/>
          <w:szCs w:val="20"/>
          <w:color w:val="auto"/>
        </w:rPr>
      </w:pPr>
    </w:p>
    <w:p>
      <w:pPr>
        <w:ind w:left="1160" w:hanging="403"/>
        <w:spacing w:after="0"/>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of deferred loan origination fees, costs and discounts (amortized cost).</w:t>
      </w:r>
    </w:p>
    <w:p>
      <w:pPr>
        <w:spacing w:after="0" w:line="248" w:lineRule="exact"/>
        <w:rPr>
          <w:sz w:val="20"/>
          <w:szCs w:val="20"/>
          <w:color w:val="auto"/>
        </w:rPr>
      </w:pPr>
    </w:p>
    <w:p>
      <w:pPr>
        <w:ind w:right="180" w:firstLine="469"/>
        <w:spacing w:after="0" w:line="293" w:lineRule="auto"/>
        <w:rPr>
          <w:sz w:val="20"/>
          <w:szCs w:val="20"/>
          <w:color w:val="auto"/>
        </w:rPr>
      </w:pPr>
      <w:r>
        <w:rPr>
          <w:rFonts w:ascii="Arial" w:cs="Arial" w:eastAsia="Arial" w:hAnsi="Arial"/>
          <w:sz w:val="18"/>
          <w:szCs w:val="18"/>
          <w:color w:val="auto"/>
        </w:rPr>
        <w:t>The ACL/Total Loan Coverage Ratio as of June 30, 2021 decreased to 0.86%, compared to 1.12% as of June 30, 2020 due to the forecasted impact of improved economic conditions on future life of loan.</w:t>
      </w:r>
    </w:p>
    <w:p>
      <w:pPr>
        <w:spacing w:after="0" w:line="183" w:lineRule="exact"/>
        <w:rPr>
          <w:sz w:val="20"/>
          <w:szCs w:val="20"/>
          <w:color w:val="auto"/>
        </w:rPr>
      </w:pPr>
    </w:p>
    <w:p>
      <w:pPr>
        <w:ind w:right="500" w:firstLine="469"/>
        <w:spacing w:after="0" w:line="266" w:lineRule="auto"/>
        <w:rPr>
          <w:sz w:val="20"/>
          <w:szCs w:val="20"/>
          <w:color w:val="auto"/>
        </w:rPr>
      </w:pPr>
      <w:r>
        <w:rPr>
          <w:rFonts w:ascii="Arial" w:cs="Arial" w:eastAsia="Arial" w:hAnsi="Arial"/>
          <w:sz w:val="18"/>
          <w:szCs w:val="18"/>
          <w:color w:val="auto"/>
        </w:rPr>
        <w:t>The Bank’s ACL methodology also produced an allowance of $8.0 million for our off-balance sheet credit exposures as of June 30, 2021. This resulted in a $1.0 million recapture of provision for unfunded loan commitments in the second quarter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996" w:gutter="0" w:footer="0" w:header="0"/>
        </w:sectPr>
      </w:pPr>
    </w:p>
    <w:bookmarkStart w:id="55" w:name="page56"/>
    <w:bookmarkEnd w:id="55"/>
    <w:p>
      <w:pPr>
        <w:ind w:right="720"/>
        <w:spacing w:after="0" w:line="293" w:lineRule="auto"/>
        <w:rPr>
          <w:sz w:val="20"/>
          <w:szCs w:val="20"/>
          <w:color w:val="auto"/>
        </w:rPr>
      </w:pPr>
      <w:r>
        <w:rPr>
          <w:rFonts w:ascii="Arial" w:cs="Arial" w:eastAsia="Arial" w:hAnsi="Arial"/>
          <w:sz w:val="18"/>
          <w:szCs w:val="18"/>
          <w:color w:val="auto"/>
        </w:rPr>
        <w:t>of 2021 as a result of our improving economic forecast and the resulting impact from the macroeconomic variables on lower expected losses from unfunded commitments.</w:t>
      </w:r>
    </w:p>
    <w:p>
      <w:pPr>
        <w:spacing w:after="0" w:line="183" w:lineRule="exact"/>
        <w:rPr>
          <w:sz w:val="20"/>
          <w:szCs w:val="20"/>
          <w:color w:val="auto"/>
        </w:rPr>
      </w:pPr>
    </w:p>
    <w:p>
      <w:pPr>
        <w:ind w:right="280" w:firstLine="469"/>
        <w:spacing w:after="0" w:line="275" w:lineRule="auto"/>
        <w:rPr>
          <w:sz w:val="20"/>
          <w:szCs w:val="20"/>
          <w:color w:val="auto"/>
        </w:rPr>
      </w:pPr>
      <w:r>
        <w:rPr>
          <w:rFonts w:ascii="Arial" w:cs="Arial" w:eastAsia="Arial" w:hAnsi="Arial"/>
          <w:sz w:val="18"/>
          <w:szCs w:val="18"/>
          <w:color w:val="auto"/>
        </w:rPr>
        <w:t>While we believe that the allowance at June 30, 2021 was appropriate to absorb losses from known or inherent risks in the portfolio, no 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primary source of funds to support earning assets (loans and investments) is the generation of deposits.</w:t>
      </w:r>
    </w:p>
    <w:p>
      <w:pPr>
        <w:spacing w:after="0" w:line="252" w:lineRule="exact"/>
        <w:rPr>
          <w:sz w:val="20"/>
          <w:szCs w:val="20"/>
          <w:color w:val="auto"/>
        </w:rPr>
      </w:pPr>
    </w:p>
    <w:p>
      <w:pPr>
        <w:ind w:right="80" w:firstLine="469"/>
        <w:spacing w:after="0" w:line="293" w:lineRule="auto"/>
        <w:rPr>
          <w:sz w:val="20"/>
          <w:szCs w:val="20"/>
          <w:color w:val="auto"/>
        </w:rPr>
      </w:pPr>
      <w:r>
        <w:rPr>
          <w:rFonts w:ascii="Arial" w:cs="Arial" w:eastAsia="Arial" w:hAnsi="Arial"/>
          <w:sz w:val="18"/>
          <w:szCs w:val="18"/>
          <w:color w:val="auto"/>
        </w:rPr>
        <w:t>Total deposits were $12.67 billion at June 30, 2021. This represented an increase of $932.6 million, or 7.95%, over total deposits of $11.74 billion at December 31, 2020. The composition of deposits is summarized as of the dates presented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w w:val="95"/>
              </w:rPr>
              <w:t>June 30, 2021</w:t>
            </w:r>
          </w:p>
        </w:tc>
        <w:tc>
          <w:tcPr>
            <w:tcW w:w="9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Pr>
          <w:p>
            <w:pPr>
              <w:spacing w:after="0"/>
              <w:rPr>
                <w:sz w:val="20"/>
                <w:szCs w:val="20"/>
                <w:color w:val="auto"/>
              </w:rPr>
            </w:pPr>
          </w:p>
        </w:tc>
      </w:tr>
      <w:tr>
        <w:trPr>
          <w:trHeight w:val="250"/>
        </w:trPr>
        <w:tc>
          <w:tcPr>
            <w:tcW w:w="4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Percent</w:t>
            </w:r>
          </w:p>
        </w:tc>
        <w:tc>
          <w:tcPr>
            <w:tcW w:w="4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1"/>
                <w:szCs w:val="21"/>
                <w:color w:val="auto"/>
              </w:rPr>
            </w:pPr>
          </w:p>
        </w:tc>
      </w:tr>
      <w:tr>
        <w:trPr>
          <w:trHeight w:val="237"/>
        </w:trPr>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6"/>
        </w:trPr>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280" w:type="dxa"/>
            <w:vAlign w:val="bottom"/>
            <w:gridSpan w:val="2"/>
          </w:tcPr>
          <w:p>
            <w:pPr>
              <w:spacing w:after="0"/>
              <w:rPr>
                <w:sz w:val="24"/>
                <w:szCs w:val="24"/>
                <w:color w:val="auto"/>
              </w:rPr>
            </w:pPr>
          </w:p>
        </w:tc>
      </w:tr>
      <w:tr>
        <w:trPr>
          <w:trHeight w:val="257"/>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Noninterest-bearing deposits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8,065,400</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63.66 %</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7,455,387</w:t>
            </w:r>
          </w:p>
        </w:tc>
        <w:tc>
          <w:tcPr>
            <w:tcW w:w="16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63.52 %</w:t>
            </w:r>
          </w:p>
        </w:tc>
      </w:tr>
      <w:tr>
        <w:trPr>
          <w:trHeight w:val="250"/>
        </w:trPr>
        <w:tc>
          <w:tcPr>
            <w:tcW w:w="4380" w:type="dxa"/>
            <w:vAlign w:val="bottom"/>
          </w:tcPr>
          <w:p>
            <w:pPr>
              <w:ind w:left="20"/>
              <w:spacing w:after="0"/>
              <w:rPr>
                <w:sz w:val="20"/>
                <w:szCs w:val="20"/>
                <w:color w:val="auto"/>
              </w:rPr>
            </w:pPr>
            <w:r>
              <w:rPr>
                <w:rFonts w:ascii="Arial" w:cs="Arial" w:eastAsia="Arial" w:hAnsi="Arial"/>
                <w:sz w:val="18"/>
                <w:szCs w:val="18"/>
                <w:color w:val="auto"/>
              </w:rPr>
              <w:t>Interest-bearing deposits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 checking</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588,831</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4.65 %</w:t>
            </w:r>
          </w:p>
        </w:tc>
        <w:tc>
          <w:tcPr>
            <w:tcW w:w="4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517,976</w:t>
            </w:r>
          </w:p>
        </w:tc>
        <w:tc>
          <w:tcPr>
            <w:tcW w:w="16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4.42 %</w:t>
            </w:r>
          </w:p>
        </w:tc>
      </w:tr>
      <w:tr>
        <w:trPr>
          <w:trHeight w:val="250"/>
        </w:trPr>
        <w:tc>
          <w:tcPr>
            <w:tcW w:w="438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3,113,222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24.57 %</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2,869,348</w:t>
            </w:r>
          </w:p>
        </w:tc>
        <w:tc>
          <w:tcPr>
            <w:tcW w:w="1640" w:type="dxa"/>
            <w:vAlign w:val="bottom"/>
            <w:gridSpan w:val="4"/>
          </w:tcPr>
          <w:p>
            <w:pPr>
              <w:jc w:val="right"/>
              <w:ind w:right="60"/>
              <w:spacing w:after="0"/>
              <w:rPr>
                <w:sz w:val="20"/>
                <w:szCs w:val="20"/>
                <w:color w:val="auto"/>
              </w:rPr>
            </w:pPr>
            <w:r>
              <w:rPr>
                <w:rFonts w:ascii="Arial" w:cs="Arial" w:eastAsia="Arial" w:hAnsi="Arial"/>
                <w:sz w:val="18"/>
                <w:szCs w:val="18"/>
                <w:color w:val="auto"/>
              </w:rPr>
              <w:t>24.45 %</w:t>
            </w:r>
          </w:p>
        </w:tc>
      </w:tr>
      <w:tr>
        <w:trPr>
          <w:trHeight w:val="263"/>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Savings</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536,083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4.23 %</w:t>
            </w:r>
          </w:p>
        </w:tc>
        <w:tc>
          <w:tcPr>
            <w:tcW w:w="4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492,096</w:t>
            </w:r>
          </w:p>
        </w:tc>
        <w:tc>
          <w:tcPr>
            <w:tcW w:w="16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4.19 %</w:t>
            </w:r>
          </w:p>
        </w:tc>
      </w:tr>
      <w:tr>
        <w:trPr>
          <w:trHeight w:val="256"/>
        </w:trPr>
        <w:tc>
          <w:tcPr>
            <w:tcW w:w="43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365,521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2.89 %</w:t>
            </w: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401,694</w:t>
            </w:r>
          </w:p>
        </w:tc>
        <w:tc>
          <w:tcPr>
            <w:tcW w:w="1640" w:type="dxa"/>
            <w:vAlign w:val="bottom"/>
            <w:gridSpan w:val="4"/>
          </w:tcPr>
          <w:p>
            <w:pPr>
              <w:jc w:val="right"/>
              <w:ind w:right="60"/>
              <w:spacing w:after="0"/>
              <w:rPr>
                <w:sz w:val="20"/>
                <w:szCs w:val="20"/>
                <w:color w:val="auto"/>
              </w:rPr>
            </w:pPr>
            <w:r>
              <w:rPr>
                <w:rFonts w:ascii="Arial" w:cs="Arial" w:eastAsia="Arial" w:hAnsi="Arial"/>
                <w:sz w:val="18"/>
                <w:szCs w:val="18"/>
                <w:color w:val="auto"/>
              </w:rPr>
              <w:t>3.42 %</w:t>
            </w:r>
          </w:p>
        </w:tc>
      </w:tr>
      <w:tr>
        <w:trPr>
          <w:trHeight w:val="20"/>
        </w:trPr>
        <w:tc>
          <w:tcPr>
            <w:tcW w:w="4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0"/>
        </w:trPr>
        <w:tc>
          <w:tcPr>
            <w:tcW w:w="4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Deposits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12,669,057</w:t>
            </w:r>
          </w:p>
        </w:tc>
        <w:tc>
          <w:tcPr>
            <w:tcW w:w="1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100.00 %</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11,736,501</w:t>
            </w:r>
          </w:p>
        </w:tc>
        <w:tc>
          <w:tcPr>
            <w:tcW w:w="16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100.00 %</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24892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2489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30861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30861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23177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23177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right="20" w:firstLine="469"/>
        <w:spacing w:after="0" w:line="275" w:lineRule="auto"/>
        <w:rPr>
          <w:sz w:val="20"/>
          <w:szCs w:val="20"/>
          <w:color w:val="auto"/>
        </w:rPr>
      </w:pPr>
      <w:r>
        <w:rPr>
          <w:rFonts w:ascii="Arial" w:cs="Arial" w:eastAsia="Arial" w:hAnsi="Arial"/>
          <w:sz w:val="18"/>
          <w:szCs w:val="18"/>
          <w:color w:val="auto"/>
        </w:rPr>
        <w:t>The amount of noninterest-bearing deposits in relation to total deposits is an integral element in our strategy of seeking to achieve a low cost of funds. Noninterest-bearing deposits totaled $8.07 billion at June 30, 2021, representing an increase of $610.0 million, or 8.18%, from noninterest-bearing deposits of $7.46 billion at December 31, 2020. Noninterest-bearing deposits represented 63.66% of total deposits at June 30, 2021, compared to 63.52% of total deposits at December 31, 2020.</w:t>
      </w:r>
    </w:p>
    <w:p>
      <w:pPr>
        <w:spacing w:after="0" w:line="199" w:lineRule="exact"/>
        <w:rPr>
          <w:sz w:val="20"/>
          <w:szCs w:val="20"/>
          <w:color w:val="auto"/>
        </w:rPr>
      </w:pPr>
    </w:p>
    <w:p>
      <w:pPr>
        <w:ind w:right="180" w:firstLine="469"/>
        <w:spacing w:after="0" w:line="293" w:lineRule="auto"/>
        <w:rPr>
          <w:sz w:val="20"/>
          <w:szCs w:val="20"/>
          <w:color w:val="auto"/>
        </w:rPr>
      </w:pPr>
      <w:r>
        <w:rPr>
          <w:rFonts w:ascii="Arial" w:cs="Arial" w:eastAsia="Arial" w:hAnsi="Arial"/>
          <w:sz w:val="18"/>
          <w:szCs w:val="18"/>
          <w:color w:val="auto"/>
        </w:rPr>
        <w:t>Savings deposits, which include savings, interest-bearing demand, and money market accounts, totaled $4.24 billion at June 30, 2021, representing an increase of $358.7 million, or 9.25%, from savings deposits of $3.88 billion at December 31, 2020.</w:t>
      </w:r>
    </w:p>
    <w:p>
      <w:pPr>
        <w:spacing w:after="0" w:line="183" w:lineRule="exact"/>
        <w:rPr>
          <w:sz w:val="20"/>
          <w:szCs w:val="20"/>
          <w:color w:val="auto"/>
        </w:rPr>
      </w:pPr>
    </w:p>
    <w:p>
      <w:pPr>
        <w:ind w:right="60" w:firstLine="469"/>
        <w:spacing w:after="0" w:line="293" w:lineRule="auto"/>
        <w:rPr>
          <w:sz w:val="20"/>
          <w:szCs w:val="20"/>
          <w:color w:val="auto"/>
        </w:rPr>
      </w:pPr>
      <w:r>
        <w:rPr>
          <w:rFonts w:ascii="Arial" w:cs="Arial" w:eastAsia="Arial" w:hAnsi="Arial"/>
          <w:sz w:val="18"/>
          <w:szCs w:val="18"/>
          <w:color w:val="auto"/>
        </w:rPr>
        <w:t>Time deposits totaled $365.5 million at June 30, 2021, representing a decrease of $36.2 million, or 9.01%, from total time deposits of $401.7 million for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52" w:lineRule="exact"/>
        <w:rPr>
          <w:sz w:val="20"/>
          <w:szCs w:val="20"/>
          <w:color w:val="auto"/>
        </w:rPr>
      </w:pPr>
    </w:p>
    <w:p>
      <w:pPr>
        <w:ind w:right="40" w:firstLine="469"/>
        <w:spacing w:after="0" w:line="292" w:lineRule="auto"/>
        <w:rPr>
          <w:sz w:val="20"/>
          <w:szCs w:val="20"/>
          <w:color w:val="auto"/>
        </w:rPr>
      </w:pPr>
      <w:r>
        <w:rPr>
          <w:rFonts w:ascii="Arial" w:cs="Arial" w:eastAsia="Arial" w:hAnsi="Arial"/>
          <w:sz w:val="17"/>
          <w:szCs w:val="17"/>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funds by the Bank for the period concerned. These repurchase agreements are signed with customers who want to invest their excess deposits, above a pre-determined balance in a demand deposit account, in order to earn interest. As of June 30, 2021 and December 31, 2020, total funds borrowed under these agreements were $578.2 million and $439.4 million, respectively, with a weighted average interest rate of 0.09% and 0.10%, respectively.</w:t>
      </w:r>
    </w:p>
    <w:p>
      <w:pPr>
        <w:spacing w:after="0" w:line="188" w:lineRule="exact"/>
        <w:rPr>
          <w:sz w:val="20"/>
          <w:szCs w:val="20"/>
          <w:color w:val="auto"/>
        </w:rPr>
      </w:pPr>
    </w:p>
    <w:p>
      <w:pPr>
        <w:ind w:right="120" w:firstLine="469"/>
        <w:spacing w:after="0" w:line="293" w:lineRule="auto"/>
        <w:rPr>
          <w:sz w:val="20"/>
          <w:szCs w:val="20"/>
          <w:color w:val="auto"/>
        </w:rPr>
      </w:pPr>
      <w:r>
        <w:rPr>
          <w:rFonts w:ascii="Arial" w:cs="Arial" w:eastAsia="Arial" w:hAnsi="Arial"/>
          <w:sz w:val="18"/>
          <w:szCs w:val="18"/>
          <w:color w:val="auto"/>
        </w:rPr>
        <w:t>We had no borrowings at June 30, 2021, compared to $5.0 million and $10.0 million in short-term borrowings that were interest-free advances from the FHLB at December 31, 2020 and June 31, 2020, respectively.</w:t>
      </w:r>
    </w:p>
    <w:p>
      <w:pPr>
        <w:spacing w:after="0" w:line="183" w:lineRule="exact"/>
        <w:rPr>
          <w:sz w:val="20"/>
          <w:szCs w:val="20"/>
          <w:color w:val="auto"/>
        </w:rPr>
      </w:pPr>
    </w:p>
    <w:p>
      <w:pPr>
        <w:ind w:right="200" w:firstLine="469"/>
        <w:spacing w:after="0" w:line="279" w:lineRule="auto"/>
        <w:rPr>
          <w:sz w:val="20"/>
          <w:szCs w:val="20"/>
          <w:color w:val="auto"/>
        </w:rPr>
      </w:pPr>
      <w:r>
        <w:rPr>
          <w:rFonts w:ascii="Arial" w:cs="Arial" w:eastAsia="Arial" w:hAnsi="Arial"/>
          <w:sz w:val="18"/>
          <w:szCs w:val="18"/>
          <w:color w:val="auto"/>
        </w:rPr>
        <w:t>On June 15, 2021, we redeemed our junior subordinated debentures of $25.8 million, representing the amounts that are due from the Company to CVB Statutory Trust III, which had a borrowing cost of approximately 1.60%. The debentures and the Trust Preferred Securities had an original maturity date of 2036. The interest rate on these debentures were three-month LIBOR plus 1.38%.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6" w:name="page57"/>
    <w:bookmarkEnd w:id="56"/>
    <w:p>
      <w:pPr>
        <w:ind w:right="260" w:firstLine="469"/>
        <w:spacing w:after="0" w:line="293" w:lineRule="auto"/>
        <w:rPr>
          <w:sz w:val="20"/>
          <w:szCs w:val="20"/>
          <w:color w:val="auto"/>
        </w:rPr>
      </w:pPr>
      <w:r>
        <w:rPr>
          <w:rFonts w:ascii="Arial" w:cs="Arial" w:eastAsia="Arial" w:hAnsi="Arial"/>
          <w:sz w:val="18"/>
          <w:szCs w:val="18"/>
          <w:color w:val="auto"/>
        </w:rPr>
        <w:t>At June 30, 2021, $6.13 billion of loans and $2.11 billion of investment securities, at carrying value, were pledged to secure public deposits, short and long-term borrowings, and for other purposes as required or permitted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Contractual Obligations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aggregate contractual obligations as of June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Maturity by Period</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One Year</w:t>
            </w:r>
          </w:p>
        </w:tc>
        <w:tc>
          <w:tcPr>
            <w:tcW w:w="14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Four Years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Less Than One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Through</w:t>
            </w:r>
          </w:p>
        </w:tc>
        <w:tc>
          <w:tcPr>
            <w:tcW w:w="14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Through</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Over Five</w:t>
            </w:r>
          </w:p>
        </w:tc>
        <w:tc>
          <w:tcPr>
            <w:tcW w:w="100" w:type="dxa"/>
            <w:vAlign w:val="bottom"/>
          </w:tcPr>
          <w:p>
            <w:pPr>
              <w:spacing w:after="0"/>
              <w:rPr>
                <w:sz w:val="17"/>
                <w:szCs w:val="17"/>
                <w:color w:val="auto"/>
              </w:rPr>
            </w:pPr>
          </w:p>
        </w:tc>
      </w:tr>
      <w:tr>
        <w:trPr>
          <w:trHeight w:val="223"/>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Three Years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Five Years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9"/>
                <w:szCs w:val="19"/>
                <w:color w:val="auto"/>
              </w:rPr>
            </w:pPr>
          </w:p>
        </w:tc>
      </w:tr>
      <w:tr>
        <w:trPr>
          <w:trHeight w:val="220"/>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Deposits (1)</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12,669,057</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12,636,313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23,066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9,065</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Customer repurchase agreements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578,207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578,207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compensation</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22,633</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20,448</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23,228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9,356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9"/>
                <w:szCs w:val="19"/>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Affordable housing investment</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1,259</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400" w:type="dxa"/>
            <w:vAlign w:val="bottom"/>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13,294,475</w:t>
            </w:r>
          </w:p>
        </w:tc>
        <w:tc>
          <w:tcPr>
            <w:tcW w:w="3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13,223,195</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33,365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14,941</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22,974</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-176530</wp:posOffset>
            </wp:positionV>
            <wp:extent cx="196850" cy="57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-176530</wp:posOffset>
            </wp:positionV>
            <wp:extent cx="162560" cy="57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-176530</wp:posOffset>
            </wp:positionV>
            <wp:extent cx="188595" cy="571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-176530</wp:posOffset>
            </wp:positionV>
            <wp:extent cx="188595" cy="57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980" w:hanging="409"/>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exclude accrued interest.</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Deposits represent noninterest-bearing, money market, savings, NOW, certificates of deposits, brokered and all other deposits held by the Bank.</w:t>
      </w:r>
    </w:p>
    <w:p>
      <w:pPr>
        <w:spacing w:after="0" w:line="275" w:lineRule="exact"/>
        <w:rPr>
          <w:sz w:val="20"/>
          <w:szCs w:val="20"/>
          <w:color w:val="auto"/>
        </w:rPr>
      </w:pPr>
    </w:p>
    <w:p>
      <w:pPr>
        <w:ind w:right="40" w:firstLine="469"/>
        <w:spacing w:after="0" w:line="293" w:lineRule="auto"/>
        <w:rPr>
          <w:sz w:val="20"/>
          <w:szCs w:val="20"/>
          <w:color w:val="auto"/>
        </w:rPr>
      </w:pPr>
      <w:r>
        <w:rPr>
          <w:rFonts w:ascii="Arial" w:cs="Arial" w:eastAsia="Arial" w:hAnsi="Arial"/>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83" w:lineRule="exact"/>
        <w:rPr>
          <w:sz w:val="20"/>
          <w:szCs w:val="20"/>
          <w:color w:val="auto"/>
        </w:rPr>
      </w:pPr>
    </w:p>
    <w:p>
      <w:pPr>
        <w:ind w:right="140" w:firstLine="469"/>
        <w:spacing w:after="0" w:line="293" w:lineRule="auto"/>
        <w:rPr>
          <w:sz w:val="20"/>
          <w:szCs w:val="20"/>
          <w:color w:val="auto"/>
        </w:rPr>
      </w:pPr>
      <w:r>
        <w:rPr>
          <w:rFonts w:ascii="Arial" w:cs="Arial" w:eastAsia="Arial" w:hAnsi="Arial"/>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83" w:lineRule="exact"/>
        <w:rPr>
          <w:sz w:val="20"/>
          <w:szCs w:val="20"/>
          <w:color w:val="auto"/>
        </w:rPr>
      </w:pPr>
    </w:p>
    <w:p>
      <w:pPr>
        <w:ind w:right="240" w:firstLine="469"/>
        <w:spacing w:after="0" w:line="324" w:lineRule="auto"/>
        <w:rPr>
          <w:sz w:val="20"/>
          <w:szCs w:val="20"/>
          <w:color w:val="auto"/>
        </w:rPr>
      </w:pPr>
      <w:r>
        <w:rPr>
          <w:rFonts w:ascii="Arial" w:cs="Arial" w:eastAsia="Arial" w:hAnsi="Arial"/>
          <w:sz w:val="17"/>
          <w:szCs w:val="17"/>
          <w:color w:val="auto"/>
        </w:rPr>
        <w:t xml:space="preserve">Operating leases represent the total minimum lease payments due under non-cancelable operating leases. Refer to Note 11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of the notes to the Company’s unaudited condensed consolidated financial statements for a more detailed discussion about leases.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off-balance sheet items at June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Maturity by Period</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One Year</w:t>
            </w:r>
          </w:p>
        </w:tc>
        <w:tc>
          <w:tcPr>
            <w:tcW w:w="14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Four Years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Less Than One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Through</w:t>
            </w:r>
          </w:p>
        </w:tc>
        <w:tc>
          <w:tcPr>
            <w:tcW w:w="14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Through</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Over Five</w:t>
            </w:r>
          </w:p>
        </w:tc>
        <w:tc>
          <w:tcPr>
            <w:tcW w:w="100" w:type="dxa"/>
            <w:vAlign w:val="bottom"/>
          </w:tcPr>
          <w:p>
            <w:pPr>
              <w:spacing w:after="0"/>
              <w:rPr>
                <w:sz w:val="17"/>
                <w:szCs w:val="17"/>
                <w:color w:val="auto"/>
              </w:rPr>
            </w:pPr>
          </w:p>
        </w:tc>
      </w:tr>
      <w:tr>
        <w:trPr>
          <w:trHeight w:val="223"/>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Three Years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Five Years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9"/>
                <w:szCs w:val="19"/>
                <w:color w:val="auto"/>
              </w:rPr>
            </w:pPr>
          </w:p>
        </w:tc>
      </w:tr>
      <w:tr>
        <w:trPr>
          <w:trHeight w:val="220"/>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 to extend credit: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309,819</w:t>
            </w:r>
          </w:p>
        </w:tc>
        <w:tc>
          <w:tcPr>
            <w:tcW w:w="3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57,950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107,316</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122,577</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21,976</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Construction</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103,970</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57,494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46,476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40"/>
              <w:spacing w:after="0"/>
              <w:rPr>
                <w:sz w:val="20"/>
                <w:szCs w:val="20"/>
                <w:color w:val="auto"/>
              </w:rPr>
            </w:pPr>
            <w:r>
              <w:rPr>
                <w:rFonts w:ascii="Arial" w:cs="Arial" w:eastAsia="Arial" w:hAnsi="Arial"/>
                <w:sz w:val="16"/>
                <w:szCs w:val="16"/>
                <w:color w:val="auto"/>
              </w:rPr>
              <w:t>SBA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SBA - PPP</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4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973,048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697,181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184,876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83,805</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Dairy &amp; livestock and agribusiness (1)</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227,657</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144,394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83,183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40"/>
              <w:spacing w:after="0"/>
              <w:rPr>
                <w:sz w:val="20"/>
                <w:szCs w:val="20"/>
                <w:color w:val="auto"/>
              </w:rPr>
            </w:pPr>
            <w:r>
              <w:rPr>
                <w:rFonts w:ascii="Arial" w:cs="Arial" w:eastAsia="Arial" w:hAnsi="Arial"/>
                <w:sz w:val="16"/>
                <w:szCs w:val="16"/>
                <w:color w:val="auto"/>
              </w:rPr>
              <w:t>SFR Mortgage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3,706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3,356</w:t>
            </w:r>
          </w:p>
        </w:tc>
        <w:tc>
          <w:tcPr>
            <w:tcW w:w="100" w:type="dxa"/>
            <w:vAlign w:val="bottom"/>
          </w:tcPr>
          <w:p>
            <w:pPr>
              <w:spacing w:after="0"/>
              <w:rPr>
                <w:sz w:val="19"/>
                <w:szCs w:val="19"/>
                <w:color w:val="auto"/>
              </w:rPr>
            </w:pPr>
          </w:p>
        </w:tc>
      </w:tr>
      <w:tr>
        <w:trPr>
          <w:trHeight w:val="236"/>
        </w:trPr>
        <w:tc>
          <w:tcPr>
            <w:tcW w:w="4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Consumer and other loans</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123,332</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17,576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5,385</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3,866</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96,505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6"/>
                <w:szCs w:val="16"/>
                <w:color w:val="auto"/>
              </w:rPr>
              <w:t>Total commitment to extend credit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1,742,037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975,030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427,586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133,709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205,712</w:t>
            </w:r>
          </w:p>
        </w:tc>
        <w:tc>
          <w:tcPr>
            <w:tcW w:w="100" w:type="dxa"/>
            <w:vAlign w:val="bottom"/>
          </w:tcPr>
          <w:p>
            <w:pPr>
              <w:spacing w:after="0"/>
              <w:rPr>
                <w:sz w:val="18"/>
                <w:szCs w:val="18"/>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Obligations under letters of credit</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49,794</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44,470</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5,324</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400" w:type="dxa"/>
            <w:vAlign w:val="bottom"/>
          </w:tcPr>
          <w:p>
            <w:pPr>
              <w:ind w:left="44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1,791,831</w:t>
            </w:r>
          </w:p>
        </w:tc>
        <w:tc>
          <w:tcPr>
            <w:tcW w:w="3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1,019,500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432,910</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133,709</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205,712</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-476250</wp:posOffset>
            </wp:positionV>
            <wp:extent cx="196850" cy="57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-476250</wp:posOffset>
            </wp:positionV>
            <wp:extent cx="162560" cy="57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-476250</wp:posOffset>
            </wp:positionV>
            <wp:extent cx="188595" cy="57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-476250</wp:posOffset>
            </wp:positionV>
            <wp:extent cx="188595" cy="57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-476250</wp:posOffset>
            </wp:positionV>
            <wp:extent cx="68580" cy="57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-176530</wp:posOffset>
            </wp:positionV>
            <wp:extent cx="196850" cy="57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-176530</wp:posOffset>
            </wp:positionV>
            <wp:extent cx="162560" cy="57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-176530</wp:posOffset>
            </wp:positionV>
            <wp:extent cx="188595" cy="57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-176530</wp:posOffset>
            </wp:positionV>
            <wp:extent cx="188595" cy="57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p>
      <w:pPr>
        <w:ind w:left="980" w:hanging="409"/>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commitments to extend credit to agribusiness were $1.6 million at June 30, 2021.</w:t>
      </w:r>
    </w:p>
    <w:p>
      <w:pPr>
        <w:spacing w:after="0" w:line="257" w:lineRule="exact"/>
        <w:rPr>
          <w:sz w:val="20"/>
          <w:szCs w:val="20"/>
          <w:color w:val="auto"/>
        </w:rPr>
      </w:pPr>
    </w:p>
    <w:p>
      <w:pPr>
        <w:ind w:right="240" w:firstLine="469"/>
        <w:spacing w:after="0" w:line="266" w:lineRule="auto"/>
        <w:rPr>
          <w:sz w:val="20"/>
          <w:szCs w:val="20"/>
          <w:color w:val="auto"/>
        </w:rPr>
      </w:pPr>
      <w:r>
        <w:rPr>
          <w:rFonts w:ascii="Arial" w:cs="Arial" w:eastAsia="Arial" w:hAnsi="Arial"/>
          <w:sz w:val="18"/>
          <w:szCs w:val="18"/>
          <w:color w:val="auto"/>
        </w:rPr>
        <w:t>As of June 30, 2021, we had commitments to extend credit of approximately $1.74 billion, and obligations under letters of credit of $49.8 million. Commitments to extend credit are agreements to lend to customers, provided there is no violation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7" w:name="page58"/>
    <w:bookmarkEnd w:id="57"/>
    <w:p>
      <w:pPr>
        <w:ind w:right="20"/>
        <w:spacing w:after="0" w:line="269" w:lineRule="auto"/>
        <w:rPr>
          <w:sz w:val="20"/>
          <w:szCs w:val="20"/>
          <w:color w:val="auto"/>
        </w:rPr>
      </w:pPr>
      <w:r>
        <w:rPr>
          <w:rFonts w:ascii="Arial" w:cs="Arial" w:eastAsia="Arial" w:hAnsi="Arial"/>
          <w:sz w:val="18"/>
          <w:szCs w:val="18"/>
          <w:color w:val="auto"/>
        </w:rPr>
        <w:t>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The Company recorded $1.0 million in recapture of provision for unfunded loan commitments for the three and six months ended June 30, 2021, compared to no provision or recapture of provision for unfunded loan commitments for the three and six months ended June 30, 2020. The Company had a reserve for unfunded loan commitments of $8.0 million as of June 30, 2021 included in other liabilities, compared to $9.0 million as of December 31, 2020.</w:t>
      </w:r>
    </w:p>
    <w:p>
      <w:pPr>
        <w:spacing w:after="0" w:line="210" w:lineRule="exact"/>
        <w:rPr>
          <w:sz w:val="20"/>
          <w:szCs w:val="20"/>
          <w:color w:val="auto"/>
        </w:rPr>
      </w:pPr>
    </w:p>
    <w:p>
      <w:pPr>
        <w:jc w:val="both"/>
        <w:ind w:right="20" w:firstLine="469"/>
        <w:spacing w:after="0" w:line="329" w:lineRule="auto"/>
        <w:rPr>
          <w:sz w:val="20"/>
          <w:szCs w:val="20"/>
          <w:color w:val="auto"/>
        </w:rPr>
      </w:pPr>
      <w:r>
        <w:rPr>
          <w:rFonts w:ascii="Arial" w:cs="Arial" w:eastAsia="Arial" w:hAnsi="Arial"/>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right="20" w:firstLine="469"/>
        <w:spacing w:after="0" w:line="329" w:lineRule="auto"/>
        <w:rPr>
          <w:sz w:val="20"/>
          <w:szCs w:val="20"/>
          <w:color w:val="auto"/>
        </w:rPr>
      </w:pPr>
      <w:r>
        <w:rPr>
          <w:rFonts w:ascii="Arial" w:cs="Arial" w:eastAsia="Arial" w:hAnsi="Arial"/>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w:t>
      </w:r>
    </w:p>
    <w:p>
      <w:pPr>
        <w:spacing w:after="0" w:line="161" w:lineRule="exact"/>
        <w:rPr>
          <w:sz w:val="20"/>
          <w:szCs w:val="20"/>
          <w:color w:val="auto"/>
        </w:rPr>
      </w:pPr>
    </w:p>
    <w:p>
      <w:pPr>
        <w:ind w:right="60" w:firstLine="469"/>
        <w:spacing w:after="0" w:line="299" w:lineRule="auto"/>
        <w:rPr>
          <w:sz w:val="20"/>
          <w:szCs w:val="20"/>
          <w:color w:val="auto"/>
        </w:rPr>
      </w:pPr>
      <w:r>
        <w:rPr>
          <w:rFonts w:ascii="Arial" w:cs="Arial" w:eastAsia="Arial" w:hAnsi="Arial"/>
          <w:sz w:val="16"/>
          <w:szCs w:val="16"/>
          <w:color w:val="auto"/>
        </w:rPr>
        <w:t>Total equity increased $47.1 million, or 2.34%, to $2.06 billion at June 30, 2021, compared to total equity of $2.01 billion at December 31, 2020. The $47.1 million increase in equity was primarily due to $115.1 million in net earnings and $3.1 million for various stock based compensation items. This was partially offset by a $22.1 million decrease in other comprehensive income resulting from the tax effected impact of the decrease in market value of our investment securities portfolio and $49.0 million in cash dividends declared. Our tangible common equity ratio was 9.17% at June 30, 2021.</w:t>
      </w:r>
    </w:p>
    <w:p>
      <w:pPr>
        <w:spacing w:after="0" w:line="2" w:lineRule="exact"/>
        <w:rPr>
          <w:sz w:val="20"/>
          <w:szCs w:val="20"/>
          <w:color w:val="auto"/>
        </w:rPr>
      </w:pPr>
    </w:p>
    <w:p>
      <w:pPr>
        <w:ind w:right="80" w:firstLine="469"/>
        <w:spacing w:after="0" w:line="272" w:lineRule="auto"/>
        <w:rPr>
          <w:sz w:val="20"/>
          <w:szCs w:val="20"/>
          <w:color w:val="auto"/>
        </w:rPr>
      </w:pPr>
      <w:r>
        <w:rPr>
          <w:rFonts w:ascii="Arial" w:cs="Arial" w:eastAsia="Arial" w:hAnsi="Arial"/>
          <w:sz w:val="18"/>
          <w:szCs w:val="18"/>
          <w:color w:val="auto"/>
        </w:rPr>
        <w:t>During the second quarter of 2021, the Board of Directors of CVB declared quarterly cash dividends totaling $0.18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including covenants set forth in our junior subordinated debentures.</w:t>
      </w:r>
    </w:p>
    <w:p>
      <w:pPr>
        <w:spacing w:after="0" w:line="203" w:lineRule="exact"/>
        <w:rPr>
          <w:sz w:val="20"/>
          <w:szCs w:val="20"/>
          <w:color w:val="auto"/>
        </w:rPr>
      </w:pPr>
    </w:p>
    <w:p>
      <w:pPr>
        <w:ind w:right="40" w:firstLine="469"/>
        <w:spacing w:after="0" w:line="292" w:lineRule="auto"/>
        <w:rPr>
          <w:sz w:val="20"/>
          <w:szCs w:val="20"/>
          <w:color w:val="auto"/>
        </w:rPr>
      </w:pPr>
      <w:r>
        <w:rPr>
          <w:rFonts w:ascii="Arial" w:cs="Arial" w:eastAsia="Arial" w:hAnsi="Arial"/>
          <w:sz w:val="17"/>
          <w:szCs w:val="17"/>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For the year ended December 31, 2020, the Company repurchased 4,944,290 shares of CVB common stock outstanding under this program. As of June 30, 2021, we have 4,585,145 shares of CVB common stock remaining that are eligible for repurchase under the common stock repurchase program.</w:t>
      </w:r>
    </w:p>
    <w:p>
      <w:pPr>
        <w:spacing w:after="0" w:line="188" w:lineRule="exact"/>
        <w:rPr>
          <w:sz w:val="20"/>
          <w:szCs w:val="20"/>
          <w:color w:val="auto"/>
        </w:rPr>
      </w:pPr>
    </w:p>
    <w:p>
      <w:pPr>
        <w:ind w:firstLine="469"/>
        <w:spacing w:after="0" w:line="287" w:lineRule="auto"/>
        <w:rPr>
          <w:sz w:val="20"/>
          <w:szCs w:val="20"/>
          <w:color w:val="auto"/>
        </w:rPr>
      </w:pPr>
      <w:r>
        <w:rPr>
          <w:rFonts w:ascii="Arial" w:cs="Arial" w:eastAsia="Arial" w:hAnsi="Arial"/>
          <w:sz w:val="17"/>
          <w:szCs w:val="17"/>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June 30, 2021,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7"/>
          <w:szCs w:val="17"/>
          <w:i w:val="1"/>
          <w:iCs w:val="1"/>
          <w:color w:val="auto"/>
        </w:rPr>
        <w:t>Business – Capital Adequacy Requirements</w:t>
      </w:r>
      <w:r>
        <w:rPr>
          <w:rFonts w:ascii="Arial" w:cs="Arial" w:eastAsia="Arial" w:hAnsi="Arial"/>
          <w:sz w:val="17"/>
          <w:szCs w:val="17"/>
          <w:color w:val="auto"/>
        </w:rPr>
        <w:t>” as described in our Annual Report on Form 10-K for the year ended December 31, 2021.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8" w:name="page59"/>
    <w:bookmarkEnd w:id="58"/>
    <w:p>
      <w:pPr>
        <w:ind w:right="200" w:firstLine="469"/>
        <w:spacing w:after="0" w:line="279" w:lineRule="auto"/>
        <w:rPr>
          <w:sz w:val="20"/>
          <w:szCs w:val="20"/>
          <w:color w:val="auto"/>
        </w:rPr>
      </w:pPr>
      <w:r>
        <w:rPr>
          <w:rFonts w:ascii="Arial" w:cs="Arial" w:eastAsia="Arial" w:hAnsi="Arial"/>
          <w:sz w:val="18"/>
          <w:szCs w:val="18"/>
          <w:color w:val="auto"/>
        </w:rPr>
        <w:t>At June 30, 2021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presents the Company’s and the Bank’s risk-based and leverage capital ratios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Pr>
          <w:p>
            <w:pPr>
              <w:spacing w:after="0"/>
              <w:rPr>
                <w:sz w:val="15"/>
                <w:szCs w:val="15"/>
                <w:color w:val="auto"/>
              </w:rPr>
            </w:pPr>
          </w:p>
        </w:tc>
        <w:tc>
          <w:tcPr>
            <w:tcW w:w="22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Adequately</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9"/>
              </w:rPr>
              <w:t>Minimum Required Plus</w:t>
            </w: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Well Capitalized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1"/>
              </w:rPr>
              <w:t>CVB Financial Corp.</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Citizens</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CVB Financial Corp.</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Citizens</w:t>
            </w:r>
          </w:p>
        </w:tc>
      </w:tr>
      <w:tr>
        <w:trPr>
          <w:trHeight w:val="153"/>
        </w:trPr>
        <w:tc>
          <w:tcPr>
            <w:tcW w:w="254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 Ratios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7"/>
              </w:rPr>
              <w:t>Capitalized Ratios</w:t>
            </w:r>
          </w:p>
        </w:tc>
        <w:tc>
          <w:tcPr>
            <w:tcW w:w="1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8"/>
              </w:rPr>
              <w:t>Capital Conservation Buffer</w:t>
            </w:r>
          </w:p>
        </w:tc>
        <w:tc>
          <w:tcPr>
            <w:tcW w:w="16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Ratios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4"/>
              </w:rPr>
              <w:t>Consolidated</w:t>
            </w: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3"/>
              </w:rPr>
              <w:t>Business Bank</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3"/>
              </w:rPr>
              <w:t>Business Bank</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1340" w:type="dxa"/>
            <w:vAlign w:val="bottom"/>
            <w:gridSpan w:val="2"/>
          </w:tcPr>
          <w:p>
            <w:pPr>
              <w:spacing w:after="0"/>
              <w:rPr>
                <w:sz w:val="14"/>
                <w:szCs w:val="14"/>
                <w:color w:val="auto"/>
              </w:rPr>
            </w:pPr>
          </w:p>
        </w:tc>
        <w:tc>
          <w:tcPr>
            <w:tcW w:w="1000" w:type="dxa"/>
            <w:vAlign w:val="bottom"/>
            <w:gridSpan w:val="2"/>
          </w:tcPr>
          <w:p>
            <w:pPr>
              <w:spacing w:after="0"/>
              <w:rPr>
                <w:sz w:val="14"/>
                <w:szCs w:val="14"/>
                <w:color w:val="auto"/>
              </w:rPr>
            </w:pPr>
          </w:p>
        </w:tc>
      </w:tr>
      <w:tr>
        <w:trPr>
          <w:trHeight w:val="189"/>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Tier 1 leverage capital ratio</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4.00%</w:t>
            </w:r>
          </w:p>
        </w:tc>
        <w:tc>
          <w:tcPr>
            <w:tcW w:w="18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4.00%</w:t>
            </w:r>
          </w:p>
        </w:tc>
        <w:tc>
          <w:tcPr>
            <w:tcW w:w="11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92"/>
              </w:rPr>
              <w:t>5.00%</w:t>
            </w: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9.38%</w:t>
            </w:r>
          </w:p>
        </w:tc>
        <w:tc>
          <w:tcPr>
            <w:tcW w:w="10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9.12%</w:t>
            </w:r>
          </w:p>
        </w:tc>
        <w:tc>
          <w:tcPr>
            <w:tcW w:w="134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9.90%</w:t>
            </w:r>
          </w:p>
        </w:tc>
        <w:tc>
          <w:tcPr>
            <w:tcW w:w="10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9.58%</w:t>
            </w:r>
          </w:p>
        </w:tc>
      </w:tr>
      <w:tr>
        <w:trPr>
          <w:trHeight w:val="181"/>
        </w:trPr>
        <w:tc>
          <w:tcPr>
            <w:tcW w:w="2540" w:type="dxa"/>
            <w:vAlign w:val="bottom"/>
            <w:gridSpan w:val="3"/>
          </w:tcPr>
          <w:p>
            <w:pPr>
              <w:ind w:left="20"/>
              <w:spacing w:after="0"/>
              <w:rPr>
                <w:sz w:val="20"/>
                <w:szCs w:val="20"/>
                <w:color w:val="auto"/>
              </w:rPr>
            </w:pPr>
            <w:r>
              <w:rPr>
                <w:rFonts w:ascii="Arial" w:cs="Arial" w:eastAsia="Arial" w:hAnsi="Arial"/>
                <w:sz w:val="13"/>
                <w:szCs w:val="13"/>
                <w:color w:val="auto"/>
              </w:rPr>
              <w:t>Common equity Tier 1 capital ratio</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4.50%</w:t>
            </w:r>
          </w:p>
        </w:tc>
        <w:tc>
          <w:tcPr>
            <w:tcW w:w="1800" w:type="dxa"/>
            <w:vAlign w:val="bottom"/>
            <w:gridSpan w:val="2"/>
          </w:tcPr>
          <w:p>
            <w:pPr>
              <w:jc w:val="center"/>
              <w:ind w:left="97"/>
              <w:spacing w:after="0"/>
              <w:rPr>
                <w:sz w:val="20"/>
                <w:szCs w:val="20"/>
                <w:color w:val="auto"/>
              </w:rPr>
            </w:pPr>
            <w:r>
              <w:rPr>
                <w:rFonts w:ascii="Arial" w:cs="Arial" w:eastAsia="Arial" w:hAnsi="Arial"/>
                <w:sz w:val="13"/>
                <w:szCs w:val="13"/>
                <w:color w:val="auto"/>
                <w:w w:val="86"/>
              </w:rPr>
              <w:t>7.00%</w:t>
            </w:r>
          </w:p>
        </w:tc>
        <w:tc>
          <w:tcPr>
            <w:tcW w:w="1100" w:type="dxa"/>
            <w:vAlign w:val="bottom"/>
            <w:gridSpan w:val="2"/>
          </w:tcPr>
          <w:p>
            <w:pPr>
              <w:jc w:val="center"/>
              <w:ind w:left="97"/>
              <w:spacing w:after="0"/>
              <w:rPr>
                <w:sz w:val="20"/>
                <w:szCs w:val="20"/>
                <w:color w:val="auto"/>
              </w:rPr>
            </w:pPr>
            <w:r>
              <w:rPr>
                <w:rFonts w:ascii="Arial" w:cs="Arial" w:eastAsia="Arial" w:hAnsi="Arial"/>
                <w:sz w:val="13"/>
                <w:szCs w:val="13"/>
                <w:color w:val="auto"/>
                <w:w w:val="92"/>
              </w:rPr>
              <w:t>6.50%</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15.08%</w:t>
            </w:r>
          </w:p>
        </w:tc>
        <w:tc>
          <w:tcPr>
            <w:tcW w:w="1020" w:type="dxa"/>
            <w:vAlign w:val="bottom"/>
            <w:gridSpan w:val="2"/>
          </w:tcPr>
          <w:p>
            <w:pPr>
              <w:jc w:val="center"/>
              <w:ind w:left="97"/>
              <w:spacing w:after="0"/>
              <w:rPr>
                <w:sz w:val="20"/>
                <w:szCs w:val="20"/>
                <w:color w:val="auto"/>
              </w:rPr>
            </w:pPr>
            <w:r>
              <w:rPr>
                <w:rFonts w:ascii="Arial" w:cs="Arial" w:eastAsia="Arial" w:hAnsi="Arial"/>
                <w:sz w:val="13"/>
                <w:szCs w:val="13"/>
                <w:color w:val="auto"/>
                <w:w w:val="86"/>
              </w:rPr>
              <w:t>14.66%</w:t>
            </w:r>
          </w:p>
        </w:tc>
        <w:tc>
          <w:tcPr>
            <w:tcW w:w="1340" w:type="dxa"/>
            <w:vAlign w:val="bottom"/>
            <w:gridSpan w:val="2"/>
          </w:tcPr>
          <w:p>
            <w:pPr>
              <w:jc w:val="center"/>
              <w:ind w:left="77"/>
              <w:spacing w:after="0"/>
              <w:rPr>
                <w:sz w:val="20"/>
                <w:szCs w:val="20"/>
                <w:color w:val="auto"/>
              </w:rPr>
            </w:pPr>
            <w:r>
              <w:rPr>
                <w:rFonts w:ascii="Arial" w:cs="Arial" w:eastAsia="Arial" w:hAnsi="Arial"/>
                <w:sz w:val="13"/>
                <w:szCs w:val="13"/>
                <w:color w:val="auto"/>
                <w:w w:val="90"/>
              </w:rPr>
              <w:t>14.77%</w:t>
            </w:r>
          </w:p>
        </w:tc>
        <w:tc>
          <w:tcPr>
            <w:tcW w:w="100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14.57%</w:t>
            </w:r>
          </w:p>
        </w:tc>
      </w:tr>
      <w:tr>
        <w:trPr>
          <w:trHeight w:val="197"/>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Tier 1 risk-based capital ratio</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6.00%</w:t>
            </w:r>
          </w:p>
        </w:tc>
        <w:tc>
          <w:tcPr>
            <w:tcW w:w="18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8.50%</w:t>
            </w:r>
          </w:p>
        </w:tc>
        <w:tc>
          <w:tcPr>
            <w:tcW w:w="110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92"/>
              </w:rPr>
              <w:t>8.00%</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15.08%</w:t>
            </w:r>
          </w:p>
        </w:tc>
        <w:tc>
          <w:tcPr>
            <w:tcW w:w="1020" w:type="dxa"/>
            <w:vAlign w:val="bottom"/>
            <w:gridSpan w:val="2"/>
            <w:shd w:val="clear" w:color="auto" w:fill="CFF0FC"/>
          </w:tcPr>
          <w:p>
            <w:pPr>
              <w:jc w:val="center"/>
              <w:ind w:left="97"/>
              <w:spacing w:after="0"/>
              <w:rPr>
                <w:sz w:val="20"/>
                <w:szCs w:val="20"/>
                <w:color w:val="auto"/>
              </w:rPr>
            </w:pPr>
            <w:r>
              <w:rPr>
                <w:rFonts w:ascii="Arial" w:cs="Arial" w:eastAsia="Arial" w:hAnsi="Arial"/>
                <w:sz w:val="13"/>
                <w:szCs w:val="13"/>
                <w:color w:val="auto"/>
                <w:w w:val="86"/>
              </w:rPr>
              <w:t>14.66%</w:t>
            </w:r>
          </w:p>
        </w:tc>
        <w:tc>
          <w:tcPr>
            <w:tcW w:w="134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90"/>
              </w:rPr>
              <w:t>15.06%</w:t>
            </w:r>
          </w:p>
        </w:tc>
        <w:tc>
          <w:tcPr>
            <w:tcW w:w="100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14.57%</w:t>
            </w:r>
          </w:p>
        </w:tc>
      </w:tr>
      <w:tr>
        <w:trPr>
          <w:trHeight w:val="173"/>
        </w:trPr>
        <w:tc>
          <w:tcPr>
            <w:tcW w:w="2540" w:type="dxa"/>
            <w:vAlign w:val="bottom"/>
            <w:gridSpan w:val="3"/>
          </w:tcPr>
          <w:p>
            <w:pPr>
              <w:ind w:left="20"/>
              <w:spacing w:after="0"/>
              <w:rPr>
                <w:sz w:val="20"/>
                <w:szCs w:val="20"/>
                <w:color w:val="auto"/>
              </w:rPr>
            </w:pPr>
            <w:r>
              <w:rPr>
                <w:rFonts w:ascii="Arial" w:cs="Arial" w:eastAsia="Arial" w:hAnsi="Arial"/>
                <w:sz w:val="13"/>
                <w:szCs w:val="13"/>
                <w:color w:val="auto"/>
              </w:rPr>
              <w:t>Total risk-based capital ratio</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8.00%</w:t>
            </w:r>
          </w:p>
        </w:tc>
        <w:tc>
          <w:tcPr>
            <w:tcW w:w="1800" w:type="dxa"/>
            <w:vAlign w:val="bottom"/>
            <w:gridSpan w:val="2"/>
          </w:tcPr>
          <w:p>
            <w:pPr>
              <w:jc w:val="center"/>
              <w:ind w:left="97"/>
              <w:spacing w:after="0"/>
              <w:rPr>
                <w:sz w:val="20"/>
                <w:szCs w:val="20"/>
                <w:color w:val="auto"/>
              </w:rPr>
            </w:pPr>
            <w:r>
              <w:rPr>
                <w:rFonts w:ascii="Arial" w:cs="Arial" w:eastAsia="Arial" w:hAnsi="Arial"/>
                <w:sz w:val="13"/>
                <w:szCs w:val="13"/>
                <w:color w:val="auto"/>
                <w:w w:val="90"/>
              </w:rPr>
              <w:t>10.50%</w:t>
            </w:r>
          </w:p>
        </w:tc>
        <w:tc>
          <w:tcPr>
            <w:tcW w:w="1100" w:type="dxa"/>
            <w:vAlign w:val="bottom"/>
            <w:gridSpan w:val="2"/>
          </w:tcPr>
          <w:p>
            <w:pPr>
              <w:jc w:val="center"/>
              <w:ind w:left="97"/>
              <w:spacing w:after="0"/>
              <w:rPr>
                <w:sz w:val="20"/>
                <w:szCs w:val="20"/>
                <w:color w:val="auto"/>
              </w:rPr>
            </w:pPr>
            <w:r>
              <w:rPr>
                <w:rFonts w:ascii="Arial" w:cs="Arial" w:eastAsia="Arial" w:hAnsi="Arial"/>
                <w:sz w:val="13"/>
                <w:szCs w:val="13"/>
                <w:color w:val="auto"/>
                <w:w w:val="86"/>
              </w:rPr>
              <w:t>10.00%</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15.94%</w:t>
            </w:r>
          </w:p>
        </w:tc>
        <w:tc>
          <w:tcPr>
            <w:tcW w:w="1020" w:type="dxa"/>
            <w:vAlign w:val="bottom"/>
            <w:gridSpan w:val="2"/>
          </w:tcPr>
          <w:p>
            <w:pPr>
              <w:jc w:val="center"/>
              <w:ind w:left="97"/>
              <w:spacing w:after="0"/>
              <w:rPr>
                <w:sz w:val="20"/>
                <w:szCs w:val="20"/>
                <w:color w:val="auto"/>
              </w:rPr>
            </w:pPr>
            <w:r>
              <w:rPr>
                <w:rFonts w:ascii="Arial" w:cs="Arial" w:eastAsia="Arial" w:hAnsi="Arial"/>
                <w:sz w:val="13"/>
                <w:szCs w:val="13"/>
                <w:color w:val="auto"/>
                <w:w w:val="86"/>
              </w:rPr>
              <w:t>15.52%</w:t>
            </w:r>
          </w:p>
        </w:tc>
        <w:tc>
          <w:tcPr>
            <w:tcW w:w="1340" w:type="dxa"/>
            <w:vAlign w:val="bottom"/>
            <w:gridSpan w:val="2"/>
          </w:tcPr>
          <w:p>
            <w:pPr>
              <w:jc w:val="center"/>
              <w:ind w:left="77"/>
              <w:spacing w:after="0"/>
              <w:rPr>
                <w:sz w:val="20"/>
                <w:szCs w:val="20"/>
                <w:color w:val="auto"/>
              </w:rPr>
            </w:pPr>
            <w:r>
              <w:rPr>
                <w:rFonts w:ascii="Arial" w:cs="Arial" w:eastAsia="Arial" w:hAnsi="Arial"/>
                <w:sz w:val="13"/>
                <w:szCs w:val="13"/>
                <w:color w:val="auto"/>
                <w:w w:val="90"/>
              </w:rPr>
              <w:t>16.24%</w:t>
            </w:r>
          </w:p>
        </w:tc>
        <w:tc>
          <w:tcPr>
            <w:tcW w:w="100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15.75%</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ASSET/LIABILITY AND MARKET RISK 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52" w:lineRule="exact"/>
        <w:rPr>
          <w:sz w:val="20"/>
          <w:szCs w:val="20"/>
          <w:color w:val="auto"/>
        </w:rPr>
      </w:pPr>
    </w:p>
    <w:p>
      <w:pPr>
        <w:ind w:right="80" w:firstLine="469"/>
        <w:spacing w:after="0" w:line="275" w:lineRule="auto"/>
        <w:rPr>
          <w:sz w:val="20"/>
          <w:szCs w:val="20"/>
          <w:color w:val="auto"/>
        </w:rPr>
      </w:pPr>
      <w:r>
        <w:rPr>
          <w:rFonts w:ascii="Arial" w:cs="Arial" w:eastAsia="Arial" w:hAnsi="Arial"/>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99" w:lineRule="exact"/>
        <w:rPr>
          <w:sz w:val="20"/>
          <w:szCs w:val="20"/>
          <w:color w:val="auto"/>
        </w:rPr>
      </w:pPr>
    </w:p>
    <w:p>
      <w:pPr>
        <w:ind w:right="80" w:firstLine="469"/>
        <w:spacing w:after="0" w:line="311"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76" w:lineRule="exact"/>
        <w:rPr>
          <w:sz w:val="20"/>
          <w:szCs w:val="20"/>
          <w:color w:val="auto"/>
        </w:rPr>
      </w:pPr>
    </w:p>
    <w:p>
      <w:pPr>
        <w:ind w:firstLine="469"/>
        <w:spacing w:after="0" w:line="275" w:lineRule="auto"/>
        <w:rPr>
          <w:sz w:val="20"/>
          <w:szCs w:val="20"/>
          <w:color w:val="auto"/>
        </w:rPr>
      </w:pPr>
      <w:r>
        <w:rPr>
          <w:rFonts w:ascii="Arial" w:cs="Arial" w:eastAsia="Arial" w:hAnsi="Arial"/>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$12.67 billion at June 30, 2021 increased $932.6 million, or 7.95%, over total deposits of $11.74 billion at December 31, 2020. This deposit growth was primarily due to our customers maintaining greater liquidity.</w:t>
      </w:r>
    </w:p>
    <w:p>
      <w:pPr>
        <w:spacing w:after="0" w:line="199" w:lineRule="exact"/>
        <w:rPr>
          <w:sz w:val="20"/>
          <w:szCs w:val="20"/>
          <w:color w:val="auto"/>
        </w:rPr>
      </w:pPr>
    </w:p>
    <w:p>
      <w:pPr>
        <w:ind w:right="60" w:firstLine="469"/>
        <w:spacing w:after="0" w:line="287" w:lineRule="auto"/>
        <w:rPr>
          <w:sz w:val="20"/>
          <w:szCs w:val="20"/>
          <w:color w:val="auto"/>
        </w:rPr>
      </w:pPr>
      <w:r>
        <w:rPr>
          <w:rFonts w:ascii="Arial" w:cs="Arial" w:eastAsia="Arial" w:hAnsi="Arial"/>
          <w:sz w:val="17"/>
          <w:szCs w:val="17"/>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assets are funded almost entirely with core deposits. Furthermore,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June 30, 2021, the Bank had no short-term borrowings.</w:t>
      </w:r>
    </w:p>
    <w:p>
      <w:pPr>
        <w:spacing w:after="0" w:line="191" w:lineRule="exact"/>
        <w:rPr>
          <w:sz w:val="20"/>
          <w:szCs w:val="20"/>
          <w:color w:val="auto"/>
        </w:rPr>
      </w:pPr>
    </w:p>
    <w:p>
      <w:pPr>
        <w:jc w:val="both"/>
        <w:ind w:right="240" w:firstLine="469"/>
        <w:spacing w:after="0" w:line="319" w:lineRule="auto"/>
        <w:rPr>
          <w:sz w:val="20"/>
          <w:szCs w:val="20"/>
          <w:color w:val="auto"/>
        </w:rPr>
      </w:pPr>
      <w:r>
        <w:rPr>
          <w:rFonts w:ascii="Arial" w:cs="Arial" w:eastAsia="Arial" w:hAnsi="Arial"/>
          <w:sz w:val="16"/>
          <w:szCs w:val="16"/>
          <w:color w:val="auto"/>
        </w:rPr>
        <w:t>CVB is a holding company separate and apart from the Bank that must provide for its own liquidity and must service its own obligations. On June 15, 2021, we redeemed our $25.8 million in subordinated debt with an interest rate of three month LIBOR plus 1.38% at par.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69" w:lineRule="exact"/>
        <w:rPr>
          <w:sz w:val="20"/>
          <w:szCs w:val="20"/>
          <w:color w:val="auto"/>
        </w:rPr>
      </w:pPr>
    </w:p>
    <w:p>
      <w:pPr>
        <w:ind w:right="200" w:firstLine="469"/>
        <w:spacing w:after="0" w:line="293" w:lineRule="auto"/>
        <w:rPr>
          <w:sz w:val="20"/>
          <w:szCs w:val="20"/>
          <w:color w:val="auto"/>
        </w:rPr>
      </w:pPr>
      <w:r>
        <w:rPr>
          <w:rFonts w:ascii="Arial" w:cs="Arial" w:eastAsia="Arial" w:hAnsi="Arial"/>
          <w:sz w:val="18"/>
          <w:szCs w:val="18"/>
          <w:color w:val="auto"/>
        </w:rPr>
        <w:t>Below is a summary of our average cash position and statement of cash flows for the six months ended June 30, 2021 and 2020. For further details see our “</w:t>
      </w:r>
      <w:r>
        <w:rPr>
          <w:rFonts w:ascii="Arial" w:cs="Arial" w:eastAsia="Arial" w:hAnsi="Arial"/>
          <w:sz w:val="18"/>
          <w:szCs w:val="18"/>
          <w:i w:val="1"/>
          <w:iCs w:val="1"/>
          <w:color w:val="auto"/>
        </w:rPr>
        <w:t>Condensed Consolidated Statements of Cash Flows</w:t>
      </w:r>
      <w:r>
        <w:rPr>
          <w:rFonts w:ascii="Arial" w:cs="Arial" w:eastAsia="Arial" w:hAnsi="Arial"/>
          <w:sz w:val="18"/>
          <w:szCs w:val="18"/>
          <w:color w:val="auto"/>
        </w:rPr>
        <w:t xml:space="preserve"> (Unaudited)” under Part I, Item 1 of this report.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8320" w:type="dxa"/>
            <w:vAlign w:val="bottom"/>
          </w:tcPr>
          <w:p>
            <w:pPr>
              <w:ind w:left="660"/>
              <w:spacing w:after="0"/>
              <w:rPr>
                <w:sz w:val="20"/>
                <w:szCs w:val="20"/>
                <w:color w:val="auto"/>
              </w:rPr>
            </w:pPr>
            <w:r>
              <w:rPr>
                <w:rFonts w:ascii="Arial" w:cs="Arial" w:eastAsia="Arial" w:hAnsi="Arial"/>
                <w:sz w:val="18"/>
                <w:szCs w:val="18"/>
                <w:i w:val="1"/>
                <w:iCs w:val="1"/>
                <w:color w:val="auto"/>
              </w:rPr>
              <w:t>Consolidated Summary of Cash Flows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8"/>
        </w:trPr>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571"/>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8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r>
      <w:tr>
        <w:trPr>
          <w:trHeight w:val="237"/>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6"/>
                <w:szCs w:val="16"/>
                <w:i w:val="1"/>
                <w:iCs w:val="1"/>
                <w:color w:val="auto"/>
                <w:w w:val="93"/>
              </w:rPr>
              <w:t>(Dollars in thousands)</w:t>
            </w:r>
          </w:p>
        </w:tc>
      </w:tr>
      <w:tr>
        <w:trPr>
          <w:trHeight w:val="276"/>
        </w:trPr>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1,821,224</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799,989</w:t>
            </w:r>
          </w:p>
        </w:tc>
        <w:tc>
          <w:tcPr>
            <w:tcW w:w="220" w:type="dxa"/>
            <w:vAlign w:val="bottom"/>
            <w:shd w:val="clear" w:color="auto" w:fill="CFF0FC"/>
          </w:tcPr>
          <w:p>
            <w:pPr>
              <w:spacing w:after="0"/>
              <w:rPr>
                <w:sz w:val="22"/>
                <w:szCs w:val="22"/>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Percentage of total average assets</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12.26 %</w:t>
            </w:r>
          </w:p>
        </w:tc>
        <w:tc>
          <w:tcPr>
            <w:tcW w:w="3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6.67 %</w:t>
            </w:r>
          </w:p>
        </w:tc>
      </w:tr>
      <w:tr>
        <w:trPr>
          <w:trHeight w:val="270"/>
        </w:trPr>
        <w:tc>
          <w:tcPr>
            <w:tcW w:w="8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7"/>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70,699</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97,081</w:t>
            </w:r>
          </w:p>
        </w:tc>
        <w:tc>
          <w:tcPr>
            <w:tcW w:w="220" w:type="dxa"/>
            <w:vAlign w:val="bottom"/>
            <w:shd w:val="clear" w:color="auto" w:fill="CFF0FC"/>
          </w:tcPr>
          <w:p>
            <w:pPr>
              <w:spacing w:after="0"/>
              <w:rPr>
                <w:sz w:val="22"/>
                <w:szCs w:val="22"/>
                <w:color w:val="auto"/>
              </w:rPr>
            </w:pPr>
          </w:p>
        </w:tc>
      </w:tr>
      <w:tr>
        <w:trPr>
          <w:trHeight w:val="250"/>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(689,133 )</w:t>
            </w:r>
          </w:p>
        </w:tc>
        <w:tc>
          <w:tcPr>
            <w:tcW w:w="3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(541,488 )</w:t>
            </w:r>
          </w:p>
        </w:tc>
      </w:tr>
      <w:tr>
        <w:trPr>
          <w:trHeight w:val="263"/>
        </w:trPr>
        <w:tc>
          <w:tcPr>
            <w:tcW w:w="8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992,139</w:t>
            </w:r>
          </w:p>
        </w:tc>
        <w:tc>
          <w:tcPr>
            <w:tcW w:w="4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2,186,172</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0"/>
        </w:trPr>
        <w:tc>
          <w:tcPr>
            <w:tcW w:w="83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373,705</w:t>
            </w:r>
          </w:p>
        </w:tc>
        <w:tc>
          <w:tcPr>
            <w:tcW w:w="4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1,741,765</w:t>
            </w:r>
          </w:p>
        </w:tc>
        <w:tc>
          <w:tcPr>
            <w:tcW w:w="220" w:type="dxa"/>
            <w:vAlign w:val="bottom"/>
          </w:tcPr>
          <w:p>
            <w:pPr>
              <w:spacing w:after="0"/>
              <w:rPr>
                <w:sz w:val="21"/>
                <w:szCs w:val="21"/>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-193675</wp:posOffset>
            </wp:positionV>
            <wp:extent cx="274320" cy="57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-193675</wp:posOffset>
            </wp:positionV>
            <wp:extent cx="137160" cy="57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9" w:lineRule="exact"/>
        <w:rPr>
          <w:sz w:val="20"/>
          <w:szCs w:val="20"/>
          <w:color w:val="auto"/>
        </w:rPr>
      </w:pPr>
    </w:p>
    <w:p>
      <w:pPr>
        <w:ind w:right="380" w:firstLine="469"/>
        <w:spacing w:after="0" w:line="293" w:lineRule="auto"/>
        <w:rPr>
          <w:sz w:val="20"/>
          <w:szCs w:val="20"/>
          <w:color w:val="auto"/>
        </w:rPr>
      </w:pPr>
      <w:r>
        <w:rPr>
          <w:rFonts w:ascii="Arial" w:cs="Arial" w:eastAsia="Arial" w:hAnsi="Arial"/>
          <w:sz w:val="18"/>
          <w:szCs w:val="18"/>
          <w:color w:val="auto"/>
        </w:rPr>
        <w:t>Average cash and cash equivalents increased by $1.02 billion, or 127.66%, to $1.82 billion for the six months ended June 30, 2021, compared to $800.0 million for the same period of 2020.</w:t>
      </w:r>
    </w:p>
    <w:p>
      <w:pPr>
        <w:spacing w:after="0" w:line="183" w:lineRule="exact"/>
        <w:rPr>
          <w:sz w:val="20"/>
          <w:szCs w:val="20"/>
          <w:color w:val="auto"/>
        </w:rPr>
      </w:pPr>
    </w:p>
    <w:p>
      <w:pPr>
        <w:ind w:right="240" w:firstLine="469"/>
        <w:spacing w:after="0" w:line="293" w:lineRule="auto"/>
        <w:rPr>
          <w:sz w:val="20"/>
          <w:szCs w:val="20"/>
          <w:color w:val="auto"/>
        </w:rPr>
      </w:pPr>
      <w:r>
        <w:rPr>
          <w:rFonts w:ascii="Arial" w:cs="Arial" w:eastAsia="Arial" w:hAnsi="Arial"/>
          <w:sz w:val="18"/>
          <w:szCs w:val="18"/>
          <w:color w:val="auto"/>
        </w:rPr>
        <w:t>At June 30, 2021, cash and cash equivalents totaled $2.33 billion. This represented an increase of $404.6 million, or 20.99%, from $1.93 billion at 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Management</w:t>
      </w:r>
    </w:p>
    <w:p>
      <w:pPr>
        <w:spacing w:after="0" w:line="252" w:lineRule="exact"/>
        <w:rPr>
          <w:sz w:val="20"/>
          <w:szCs w:val="20"/>
          <w:color w:val="auto"/>
        </w:rPr>
      </w:pPr>
    </w:p>
    <w:p>
      <w:pPr>
        <w:ind w:right="40" w:firstLine="469"/>
        <w:spacing w:after="0" w:line="306" w:lineRule="auto"/>
        <w:rPr>
          <w:sz w:val="20"/>
          <w:szCs w:val="20"/>
          <w:color w:val="auto"/>
        </w:rPr>
      </w:pPr>
      <w:r>
        <w:rPr>
          <w:rFonts w:ascii="Arial" w:cs="Arial" w:eastAsia="Arial" w:hAnsi="Arial"/>
          <w:sz w:val="16"/>
          <w:szCs w:val="16"/>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4" w:lineRule="exact"/>
        <w:rPr>
          <w:sz w:val="20"/>
          <w:szCs w:val="20"/>
          <w:color w:val="auto"/>
        </w:rPr>
      </w:pPr>
    </w:p>
    <w:p>
      <w:pPr>
        <w:ind w:right="60" w:firstLine="469"/>
        <w:spacing w:after="0" w:line="288" w:lineRule="auto"/>
        <w:rPr>
          <w:sz w:val="20"/>
          <w:szCs w:val="20"/>
          <w:color w:val="auto"/>
        </w:rPr>
      </w:pPr>
      <w:r>
        <w:rPr>
          <w:rFonts w:ascii="Arial" w:cs="Arial" w:eastAsia="Arial" w:hAnsi="Arial"/>
          <w:sz w:val="17"/>
          <w:szCs w:val="17"/>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interest rate risk policy measures the sensitivity of our net interest income over both a one-year and two-year cumulative time horizon.</w:t>
      </w:r>
    </w:p>
    <w:p>
      <w:pPr>
        <w:spacing w:after="0" w:line="264" w:lineRule="exact"/>
        <w:rPr>
          <w:sz w:val="20"/>
          <w:szCs w:val="20"/>
          <w:color w:val="auto"/>
        </w:rPr>
      </w:pPr>
    </w:p>
    <w:p>
      <w:pPr>
        <w:ind w:firstLine="469"/>
        <w:spacing w:after="0" w:line="272" w:lineRule="auto"/>
        <w:rPr>
          <w:sz w:val="20"/>
          <w:szCs w:val="20"/>
          <w:color w:val="auto"/>
        </w:rPr>
      </w:pPr>
      <w:r>
        <w:rPr>
          <w:rFonts w:ascii="Arial" w:cs="Arial" w:eastAsia="Arial" w:hAnsi="Arial"/>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100 basis point downward shift in interest rates depending on the level of current market rates. The simulation model uses a parallel yield curve shift that ramps rates up or down on a pro rata basis over the 12-month and 24-month time horizon.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1" w:name="page62"/>
    <w:bookmarkEnd w:id="61"/>
    <w:p>
      <w:pPr>
        <w:ind w:right="240" w:firstLine="464"/>
        <w:spacing w:after="0" w:line="293" w:lineRule="auto"/>
        <w:rPr>
          <w:sz w:val="20"/>
          <w:szCs w:val="20"/>
          <w:color w:val="auto"/>
        </w:rPr>
      </w:pPr>
      <w:r>
        <w:rPr>
          <w:rFonts w:ascii="Arial" w:cs="Arial" w:eastAsia="Arial" w:hAnsi="Arial"/>
          <w:sz w:val="18"/>
          <w:szCs w:val="18"/>
          <w:color w:val="auto"/>
        </w:rPr>
        <w:t>The following depicts the Company’s net interest income sensitivity analysis for the periods presented below, when rates are ramped up 200bps or ramped down 100bps over a 12-month time horizon.</w:t>
      </w:r>
    </w:p>
    <w:p>
      <w:pPr>
        <w:spacing w:after="0" w:line="19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Estimated Net Interest Income Sensitivity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tcBorders>
              <w:bottom w:val="single" w:sz="8" w:color="auto"/>
            </w:tcBorders>
            <w:gridSpan w:val="3"/>
          </w:tcPr>
          <w:p>
            <w:pPr>
              <w:ind w:left="118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December 31, 2020</w:t>
            </w:r>
          </w:p>
        </w:tc>
      </w:tr>
      <w:tr>
        <w:trPr>
          <w:trHeight w:val="238"/>
        </w:trPr>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24-month Period</w:t>
            </w: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24-month Period</w:t>
            </w:r>
          </w:p>
        </w:tc>
      </w:tr>
      <w:tr>
        <w:trPr>
          <w:trHeight w:val="24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 Rate Scenario</w:t>
            </w:r>
          </w:p>
        </w:tc>
        <w:tc>
          <w:tcPr>
            <w:tcW w:w="160" w:type="dxa"/>
            <w:vAlign w:val="bottom"/>
          </w:tcPr>
          <w:p>
            <w:pPr>
              <w:spacing w:after="0"/>
              <w:rPr>
                <w:sz w:val="20"/>
                <w:szCs w:val="20"/>
                <w:color w:val="auto"/>
              </w:rPr>
            </w:pPr>
          </w:p>
        </w:tc>
        <w:tc>
          <w:tcPr>
            <w:tcW w:w="15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12-month Period</w:t>
            </w:r>
          </w:p>
        </w:tc>
        <w:tc>
          <w:tcPr>
            <w:tcW w:w="16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w:t>
            </w:r>
          </w:p>
        </w:tc>
        <w:tc>
          <w:tcPr>
            <w:tcW w:w="1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 Rate Scenario</w:t>
            </w:r>
          </w:p>
        </w:tc>
        <w:tc>
          <w:tcPr>
            <w:tcW w:w="160" w:type="dxa"/>
            <w:vAlign w:val="bottom"/>
          </w:tcPr>
          <w:p>
            <w:pPr>
              <w:spacing w:after="0"/>
              <w:rPr>
                <w:sz w:val="20"/>
                <w:szCs w:val="20"/>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12-month Period</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w:t>
            </w:r>
          </w:p>
        </w:tc>
      </w:tr>
      <w:tr>
        <w:trPr>
          <w:trHeight w:val="257"/>
        </w:trPr>
        <w:tc>
          <w:tcPr>
            <w:tcW w:w="2160" w:type="dxa"/>
            <w:vAlign w:val="bottom"/>
            <w:gridSpan w:val="2"/>
          </w:tcPr>
          <w:p>
            <w:pPr>
              <w:spacing w:after="0"/>
              <w:rPr>
                <w:sz w:val="22"/>
                <w:szCs w:val="22"/>
                <w:color w:val="auto"/>
              </w:rPr>
            </w:pPr>
          </w:p>
        </w:tc>
        <w:tc>
          <w:tcPr>
            <w:tcW w:w="1540" w:type="dxa"/>
            <w:vAlign w:val="bottom"/>
          </w:tcPr>
          <w:p>
            <w:pPr>
              <w:spacing w:after="0"/>
              <w:rPr>
                <w:sz w:val="22"/>
                <w:szCs w:val="22"/>
                <w:color w:val="auto"/>
              </w:rPr>
            </w:pPr>
          </w:p>
        </w:tc>
        <w:tc>
          <w:tcPr>
            <w:tcW w:w="18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2220" w:type="dxa"/>
            <w:vAlign w:val="bottom"/>
            <w:gridSpan w:val="2"/>
          </w:tcPr>
          <w:p>
            <w:pPr>
              <w:spacing w:after="0"/>
              <w:rPr>
                <w:sz w:val="22"/>
                <w:szCs w:val="22"/>
                <w:color w:val="auto"/>
              </w:rPr>
            </w:pPr>
          </w:p>
        </w:tc>
        <w:tc>
          <w:tcPr>
            <w:tcW w:w="1460" w:type="dxa"/>
            <w:vAlign w:val="bottom"/>
          </w:tcPr>
          <w:p>
            <w:pPr>
              <w:spacing w:after="0"/>
              <w:rPr>
                <w:sz w:val="22"/>
                <w:szCs w:val="22"/>
                <w:color w:val="auto"/>
              </w:rPr>
            </w:pPr>
          </w:p>
        </w:tc>
        <w:tc>
          <w:tcPr>
            <w:tcW w:w="1840" w:type="dxa"/>
            <w:vAlign w:val="bottom"/>
            <w:gridSpan w:val="2"/>
          </w:tcPr>
          <w:p>
            <w:pPr>
              <w:spacing w:after="0"/>
              <w:rPr>
                <w:sz w:val="22"/>
                <w:szCs w:val="22"/>
                <w:color w:val="auto"/>
              </w:rPr>
            </w:pPr>
          </w:p>
        </w:tc>
      </w:tr>
      <w:tr>
        <w:trPr>
          <w:trHeight w:val="257"/>
        </w:trPr>
        <w:tc>
          <w:tcPr>
            <w:tcW w:w="2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+ 200 basis points</w:t>
            </w:r>
          </w:p>
        </w:tc>
        <w:tc>
          <w:tcPr>
            <w:tcW w:w="154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11.91%</w:t>
            </w:r>
          </w:p>
        </w:tc>
        <w:tc>
          <w:tcPr>
            <w:tcW w:w="18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FF0FC"/>
          </w:tcPr>
          <w:p>
            <w:pPr>
              <w:spacing w:after="0"/>
              <w:rPr>
                <w:sz w:val="22"/>
                <w:szCs w:val="22"/>
                <w:color w:val="auto"/>
              </w:rPr>
            </w:pPr>
          </w:p>
        </w:tc>
        <w:tc>
          <w:tcPr>
            <w:tcW w:w="2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+ 200 basis points</w:t>
            </w:r>
          </w:p>
        </w:tc>
        <w:tc>
          <w:tcPr>
            <w:tcW w:w="14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11.10%</w:t>
            </w:r>
          </w:p>
        </w:tc>
        <w:tc>
          <w:tcPr>
            <w:tcW w:w="18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19.60%</w:t>
            </w:r>
          </w:p>
        </w:tc>
      </w:tr>
      <w:tr>
        <w:trPr>
          <w:trHeight w:val="243"/>
        </w:trPr>
        <w:tc>
          <w:tcPr>
            <w:tcW w:w="21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- 100 basis points</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-5.44%</w:t>
            </w:r>
          </w:p>
        </w:tc>
        <w:tc>
          <w:tcPr>
            <w:tcW w:w="1860" w:type="dxa"/>
            <w:vAlign w:val="bottom"/>
            <w:gridSpan w:val="2"/>
          </w:tcPr>
          <w:p>
            <w:pPr>
              <w:jc w:val="right"/>
              <w:ind w:right="49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21"/>
                <w:szCs w:val="21"/>
                <w:color w:val="auto"/>
              </w:rPr>
            </w:pPr>
          </w:p>
        </w:tc>
        <w:tc>
          <w:tcPr>
            <w:tcW w:w="2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- 100 basis points</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-1.20%</w:t>
            </w:r>
          </w:p>
        </w:tc>
        <w:tc>
          <w:tcPr>
            <w:tcW w:w="1840" w:type="dxa"/>
            <w:vAlign w:val="bottom"/>
            <w:gridSpan w:val="2"/>
          </w:tcPr>
          <w:p>
            <w:pPr>
              <w:jc w:val="right"/>
              <w:ind w:right="490"/>
              <w:spacing w:after="0"/>
              <w:rPr>
                <w:sz w:val="20"/>
                <w:szCs w:val="20"/>
                <w:color w:val="auto"/>
              </w:rPr>
            </w:pPr>
            <w:r>
              <w:rPr>
                <w:rFonts w:ascii="Arial" w:cs="Arial" w:eastAsia="Arial" w:hAnsi="Arial"/>
                <w:sz w:val="18"/>
                <w:szCs w:val="18"/>
                <w:color w:val="auto"/>
              </w:rPr>
              <w:t>-2.40%</w:t>
            </w:r>
          </w:p>
        </w:tc>
      </w:tr>
    </w:tbl>
    <w:p>
      <w:pPr>
        <w:spacing w:after="0" w:line="233" w:lineRule="exact"/>
        <w:rPr>
          <w:sz w:val="20"/>
          <w:szCs w:val="20"/>
          <w:color w:val="auto"/>
        </w:rPr>
      </w:pPr>
    </w:p>
    <w:p>
      <w:pPr>
        <w:ind w:left="900" w:right="140" w:hanging="330"/>
        <w:spacing w:after="0" w:line="293"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Percentage change from base scenario, but the current low interest rate environment limits the absolute decline in rates as the model does not assume rates go below zero.</w:t>
      </w:r>
    </w:p>
    <w:p>
      <w:pPr>
        <w:spacing w:after="0" w:line="194" w:lineRule="exact"/>
        <w:rPr>
          <w:sz w:val="20"/>
          <w:szCs w:val="20"/>
          <w:color w:val="auto"/>
        </w:rPr>
      </w:pPr>
    </w:p>
    <w:p>
      <w:pPr>
        <w:ind w:right="60" w:firstLine="469"/>
        <w:spacing w:after="0" w:line="269" w:lineRule="auto"/>
        <w:rPr>
          <w:sz w:val="20"/>
          <w:szCs w:val="20"/>
          <w:color w:val="auto"/>
        </w:rPr>
      </w:pPr>
      <w:r>
        <w:rPr>
          <w:rFonts w:ascii="Arial" w:cs="Arial" w:eastAsia="Arial" w:hAnsi="Arial"/>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zero.</w:t>
      </w:r>
    </w:p>
    <w:p>
      <w:pPr>
        <w:spacing w:after="0" w:line="210" w:lineRule="exact"/>
        <w:rPr>
          <w:sz w:val="20"/>
          <w:szCs w:val="20"/>
          <w:color w:val="auto"/>
        </w:rPr>
      </w:pPr>
    </w:p>
    <w:p>
      <w:pPr>
        <w:ind w:right="140" w:firstLine="469"/>
        <w:spacing w:after="0" w:line="308" w:lineRule="auto"/>
        <w:rPr>
          <w:sz w:val="20"/>
          <w:szCs w:val="20"/>
          <w:color w:val="auto"/>
        </w:rPr>
      </w:pPr>
      <w:r>
        <w:rPr>
          <w:rFonts w:ascii="Arial" w:cs="Arial" w:eastAsia="Arial" w:hAnsi="Arial"/>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June 30, 2021 and December 31, 2020, the EVE profile indicates a decline in net balance sheet value due to instantaneous downward changes in rates, compared to an increase resulting from an increase in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Value of Equity Sensitivity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Instantaneous Rate Change</w:t>
            </w:r>
          </w:p>
        </w:tc>
        <w:tc>
          <w:tcPr>
            <w:tcW w:w="22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June 30, 2021</w:t>
            </w:r>
          </w:p>
        </w:tc>
        <w:tc>
          <w:tcPr>
            <w:tcW w:w="300" w:type="dxa"/>
            <w:vAlign w:val="bottom"/>
          </w:tcPr>
          <w:p>
            <w:pPr>
              <w:spacing w:after="0"/>
              <w:rPr>
                <w:sz w:val="20"/>
                <w:szCs w:val="20"/>
                <w:color w:val="auto"/>
              </w:rPr>
            </w:pPr>
          </w:p>
        </w:tc>
        <w:tc>
          <w:tcPr>
            <w:tcW w:w="31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December 31, 2020</w:t>
            </w:r>
          </w:p>
        </w:tc>
      </w:tr>
      <w:tr>
        <w:trPr>
          <w:trHeight w:val="250"/>
        </w:trPr>
        <w:tc>
          <w:tcPr>
            <w:tcW w:w="55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400" w:type="dxa"/>
            <w:vAlign w:val="bottom"/>
            <w:gridSpan w:val="2"/>
          </w:tcPr>
          <w:p>
            <w:pPr>
              <w:spacing w:after="0"/>
              <w:rPr>
                <w:sz w:val="21"/>
                <w:szCs w:val="21"/>
                <w:color w:val="auto"/>
              </w:rPr>
            </w:pPr>
          </w:p>
        </w:tc>
      </w:tr>
      <w:tr>
        <w:trPr>
          <w:trHeight w:val="25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100 bp decrease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-15.2%</w:t>
            </w:r>
          </w:p>
        </w:tc>
        <w:tc>
          <w:tcPr>
            <w:tcW w:w="340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4"/>
              </w:rPr>
              <w:t>-21.0%</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100 bp increase in interest rates</w:t>
            </w:r>
          </w:p>
        </w:tc>
        <w:tc>
          <w:tcPr>
            <w:tcW w:w="2260" w:type="dxa"/>
            <w:vAlign w:val="bottom"/>
          </w:tcPr>
          <w:p>
            <w:pPr>
              <w:jc w:val="center"/>
              <w:spacing w:after="0"/>
              <w:rPr>
                <w:sz w:val="20"/>
                <w:szCs w:val="20"/>
                <w:color w:val="auto"/>
              </w:rPr>
            </w:pPr>
            <w:r>
              <w:rPr>
                <w:rFonts w:ascii="Arial" w:cs="Arial" w:eastAsia="Arial" w:hAnsi="Arial"/>
                <w:sz w:val="16"/>
                <w:szCs w:val="16"/>
                <w:color w:val="auto"/>
                <w:w w:val="93"/>
              </w:rPr>
              <w:t>9.4%</w:t>
            </w:r>
          </w:p>
        </w:tc>
        <w:tc>
          <w:tcPr>
            <w:tcW w:w="340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16.1%</w:t>
            </w: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200 bp increase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19.3%</w:t>
            </w:r>
          </w:p>
        </w:tc>
        <w:tc>
          <w:tcPr>
            <w:tcW w:w="3400" w:type="dxa"/>
            <w:vAlign w:val="bottom"/>
            <w:gridSpan w:val="2"/>
            <w:shd w:val="clear" w:color="auto" w:fill="CFF0FC"/>
          </w:tcPr>
          <w:p>
            <w:pPr>
              <w:jc w:val="center"/>
              <w:ind w:left="219"/>
              <w:spacing w:after="0"/>
              <w:rPr>
                <w:sz w:val="20"/>
                <w:szCs w:val="20"/>
                <w:color w:val="auto"/>
              </w:rPr>
            </w:pPr>
            <w:r>
              <w:rPr>
                <w:rFonts w:ascii="Arial" w:cs="Arial" w:eastAsia="Arial" w:hAnsi="Arial"/>
                <w:sz w:val="16"/>
                <w:szCs w:val="16"/>
                <w:color w:val="auto"/>
                <w:w w:val="92"/>
              </w:rPr>
              <w:t>28.4%</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300 bp increase in interest rates</w:t>
            </w: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26.1%</w:t>
            </w:r>
          </w:p>
        </w:tc>
        <w:tc>
          <w:tcPr>
            <w:tcW w:w="340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34.4%</w:t>
            </w: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400 bp increase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33.2%</w:t>
            </w:r>
          </w:p>
        </w:tc>
        <w:tc>
          <w:tcPr>
            <w:tcW w:w="3400" w:type="dxa"/>
            <w:vAlign w:val="bottom"/>
            <w:gridSpan w:val="2"/>
            <w:shd w:val="clear" w:color="auto" w:fill="CFF0FC"/>
          </w:tcPr>
          <w:p>
            <w:pPr>
              <w:jc w:val="center"/>
              <w:ind w:left="219"/>
              <w:spacing w:after="0"/>
              <w:rPr>
                <w:sz w:val="20"/>
                <w:szCs w:val="20"/>
                <w:color w:val="auto"/>
              </w:rPr>
            </w:pPr>
            <w:r>
              <w:rPr>
                <w:rFonts w:ascii="Arial" w:cs="Arial" w:eastAsia="Arial" w:hAnsi="Arial"/>
                <w:sz w:val="16"/>
                <w:szCs w:val="16"/>
                <w:color w:val="auto"/>
                <w:w w:val="92"/>
              </w:rPr>
              <w:t>41.6%</w:t>
            </w:r>
          </w:p>
        </w:tc>
      </w:tr>
    </w:tbl>
    <w:p>
      <w:pPr>
        <w:spacing w:after="0" w:line="229" w:lineRule="exact"/>
        <w:rPr>
          <w:sz w:val="20"/>
          <w:szCs w:val="20"/>
          <w:color w:val="auto"/>
        </w:rPr>
      </w:pPr>
    </w:p>
    <w:p>
      <w:pPr>
        <w:jc w:val="both"/>
        <w:ind w:right="180" w:firstLine="469"/>
        <w:spacing w:after="0" w:line="275" w:lineRule="auto"/>
        <w:rPr>
          <w:sz w:val="20"/>
          <w:szCs w:val="20"/>
          <w:color w:val="auto"/>
        </w:rPr>
      </w:pPr>
      <w:r>
        <w:rPr>
          <w:rFonts w:ascii="Arial" w:cs="Arial" w:eastAsia="Arial" w:hAnsi="Arial"/>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60" w:firstLine="469"/>
        <w:spacing w:after="0" w:line="281" w:lineRule="auto"/>
        <w:rPr>
          <w:sz w:val="20"/>
          <w:szCs w:val="20"/>
          <w:color w:val="auto"/>
        </w:rPr>
      </w:pPr>
      <w:r>
        <w:rPr>
          <w:rFonts w:ascii="Arial" w:cs="Arial" w:eastAsia="Arial" w:hAnsi="Arial"/>
          <w:sz w:val="17"/>
          <w:szCs w:val="17"/>
          <w:color w:val="auto"/>
        </w:rPr>
        <w:t>LIBOR is expected to be completely phased out by 2023, as such the Company is assessing the impacts of this transition and exploring alternatives to use in place of LIBOR for various financial instruments, primarily related to our variable-rate loans and interest rate swap derivatives that are indexed to LIBOR. For further quantitative and qualitative disclosures about market risks in our portfolio, see “</w:t>
      </w:r>
      <w:r>
        <w:rPr>
          <w:rFonts w:ascii="Arial" w:cs="Arial" w:eastAsia="Arial" w:hAnsi="Arial"/>
          <w:sz w:val="17"/>
          <w:szCs w:val="17"/>
          <w:i w:val="1"/>
          <w:iCs w:val="1"/>
          <w:color w:val="auto"/>
        </w:rPr>
        <w:t>Asset/Liability Management and Interest Rate</w:t>
      </w:r>
      <w:r>
        <w:rPr>
          <w:rFonts w:ascii="Arial" w:cs="Arial" w:eastAsia="Arial" w:hAnsi="Arial"/>
          <w:sz w:val="17"/>
          <w:szCs w:val="17"/>
          <w:color w:val="auto"/>
        </w:rPr>
        <w:t xml:space="preserve"> </w:t>
      </w:r>
      <w:r>
        <w:rPr>
          <w:rFonts w:ascii="Arial" w:cs="Arial" w:eastAsia="Arial" w:hAnsi="Arial"/>
          <w:sz w:val="17"/>
          <w:szCs w:val="17"/>
          <w:i w:val="1"/>
          <w:iCs w:val="1"/>
          <w:color w:val="auto"/>
        </w:rPr>
        <w:t>Sensitivity Management</w:t>
      </w:r>
      <w:r>
        <w:rPr>
          <w:rFonts w:ascii="Arial" w:cs="Arial" w:eastAsia="Arial" w:hAnsi="Arial"/>
          <w:sz w:val="17"/>
          <w:szCs w:val="17"/>
          <w:color w:val="auto"/>
        </w:rPr>
        <w:t>” included in Item 2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elsewhere in this report. This analysis should be read in conjunction with our Annual Report on Form 10-K for the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spacing w:after="0" w:line="293" w:lineRule="auto"/>
        <w:rPr>
          <w:sz w:val="20"/>
          <w:szCs w:val="20"/>
          <w:color w:val="auto"/>
        </w:rPr>
      </w:pPr>
      <w:r>
        <w:rPr>
          <w:rFonts w:ascii="Arial" w:cs="Arial" w:eastAsia="Arial" w:hAnsi="Arial"/>
          <w:sz w:val="18"/>
          <w:szCs w:val="18"/>
          <w:color w:val="auto"/>
        </w:rPr>
        <w:t>ended December 31, 2020. Our analysis of market risk and market-sensitive financial information contains forward-looking statements and is subject to the disclosure at the beginning of Part I regarding such forward-looking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40" w:firstLine="469"/>
        <w:spacing w:after="0" w:line="275" w:lineRule="auto"/>
        <w:rPr>
          <w:sz w:val="20"/>
          <w:szCs w:val="20"/>
          <w:color w:val="auto"/>
        </w:rPr>
      </w:pPr>
      <w:r>
        <w:rPr>
          <w:rFonts w:ascii="Arial" w:cs="Arial" w:eastAsia="Arial" w:hAnsi="Arial"/>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99" w:lineRule="exact"/>
        <w:rPr>
          <w:sz w:val="20"/>
          <w:szCs w:val="20"/>
          <w:color w:val="auto"/>
        </w:rPr>
      </w:pPr>
    </w:p>
    <w:p>
      <w:pPr>
        <w:ind w:right="80" w:firstLine="469"/>
        <w:spacing w:after="0" w:line="293" w:lineRule="auto"/>
        <w:rPr>
          <w:sz w:val="20"/>
          <w:szCs w:val="20"/>
          <w:color w:val="auto"/>
        </w:rPr>
      </w:pPr>
      <w:r>
        <w:rPr>
          <w:rFonts w:ascii="Arial" w:cs="Arial" w:eastAsia="Arial" w:hAnsi="Arial"/>
          <w:sz w:val="18"/>
          <w:szCs w:val="18"/>
          <w:color w:val="auto"/>
        </w:rPr>
        <w:t>During the quarter ended June 30, 2021, there have been no changes in our internal controls over financial reporting that have materially affected or are reasonably likely to materially affect our internal controls over financial reporting.</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or security claims, check and wire fraud claims, lender liability claims and negligence claims, some of which may be styled as “class action” or representative cases. Some of these lawsuits may be similar in nature to other lawsuits pending against the Company’s competitors.</w:t>
      </w:r>
    </w:p>
    <w:p>
      <w:pPr>
        <w:spacing w:after="0" w:line="150"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55"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15"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firstLine="469"/>
        <w:spacing w:after="0" w:line="292" w:lineRule="auto"/>
        <w:rPr>
          <w:sz w:val="20"/>
          <w:szCs w:val="20"/>
          <w:color w:val="auto"/>
        </w:rPr>
      </w:pPr>
      <w:r>
        <w:rPr>
          <w:rFonts w:ascii="Arial" w:cs="Arial" w:eastAsia="Arial" w:hAnsi="Arial"/>
          <w:sz w:val="17"/>
          <w:szCs w:val="17"/>
          <w:color w:val="auto"/>
        </w:rPr>
        <w:t>Except as discussed below there have been no material changes to the risk factors as previously disclosed in Item 1A. to Part I of our Annual Report on Form 10-K for the year ended December 31, 2020.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in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COVID-19 Pandemic</w:t>
      </w:r>
    </w:p>
    <w:p>
      <w:pPr>
        <w:spacing w:after="0" w:line="256" w:lineRule="exact"/>
        <w:rPr>
          <w:sz w:val="20"/>
          <w:szCs w:val="20"/>
          <w:color w:val="auto"/>
        </w:rPr>
      </w:pPr>
    </w:p>
    <w:p>
      <w:pPr>
        <w:ind w:right="60" w:firstLine="469"/>
        <w:spacing w:after="0" w:line="346" w:lineRule="auto"/>
        <w:rPr>
          <w:sz w:val="20"/>
          <w:szCs w:val="20"/>
          <w:color w:val="auto"/>
        </w:rPr>
      </w:pPr>
      <w:r>
        <w:rPr>
          <w:rFonts w:ascii="Arial" w:cs="Arial" w:eastAsia="Arial" w:hAnsi="Arial"/>
          <w:sz w:val="15"/>
          <w:szCs w:val="15"/>
          <w:b w:val="1"/>
          <w:bCs w:val="1"/>
          <w:i w:val="1"/>
          <w:iCs w:val="1"/>
          <w:color w:val="auto"/>
        </w:rPr>
        <w:t>The COVID-19 pandemic has significantly impacted the banking industry and our business. The ultimate impact on our business and financial results will depend on future developments, which are highly uncertain and cannot be predicted, including the scope and duration of the pandemic, the impact of the pandemic on the economy, our customers, our employees and our business partners, the safety and effectiveness, distribution and acceptance of vaccines developed to mitigate the pandemic, and actions taken by governmental authorities in response to the pandemic.</w:t>
      </w:r>
    </w:p>
    <w:p>
      <w:pPr>
        <w:spacing w:after="0" w:line="153" w:lineRule="exact"/>
        <w:rPr>
          <w:sz w:val="20"/>
          <w:szCs w:val="20"/>
          <w:color w:val="auto"/>
        </w:rPr>
      </w:pPr>
    </w:p>
    <w:p>
      <w:pPr>
        <w:ind w:right="100" w:firstLine="469"/>
        <w:spacing w:after="0" w:line="266" w:lineRule="auto"/>
        <w:rPr>
          <w:sz w:val="20"/>
          <w:szCs w:val="20"/>
          <w:color w:val="auto"/>
        </w:rPr>
      </w:pPr>
      <w:r>
        <w:rPr>
          <w:rFonts w:ascii="Arial" w:cs="Arial" w:eastAsia="Arial" w:hAnsi="Arial"/>
          <w:sz w:val="18"/>
          <w:szCs w:val="18"/>
          <w:color w:val="auto"/>
        </w:rPr>
        <w:t>The COVID-19 pandemic has negatively impacted the global, U.S., California and local economies, disrupted supply chains, lowered equity market valuations, created significant volatility and disruption in financial markets, and sharply increased unemployment levels. While the pandemic initially resulted in temporary closures of many businesses and the institution of social distancing and sheltering in place requirements in many states and communities, including in California and the principal counties and cities in which our banking centers are located, these measures have been lifted in nearly all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4" w:name="page65"/>
    <w:bookmarkEnd w:id="64"/>
    <w:p>
      <w:pPr>
        <w:ind w:right="60"/>
        <w:spacing w:after="0" w:line="270" w:lineRule="auto"/>
        <w:rPr>
          <w:sz w:val="20"/>
          <w:szCs w:val="20"/>
          <w:color w:val="auto"/>
        </w:rPr>
      </w:pPr>
      <w:r>
        <w:rPr>
          <w:rFonts w:ascii="Arial" w:cs="Arial" w:eastAsia="Arial" w:hAnsi="Arial"/>
          <w:sz w:val="18"/>
          <w:szCs w:val="18"/>
          <w:color w:val="auto"/>
        </w:rPr>
        <w:t>the locations and jurisdictions where we have offices. Our operations, like those of other financial institutions that operate in our markets, are significantly influenced by economic conditions in California, including the strength of the real estate market and business conditions in the industries to which we lend or from which we gather deposits. The on-going COVID-19 pandemic has resulted in a significant decline in the revenues of many business sectors as well as in commercial property sales and construction activities. As a result, while the demand for our products and services has recovered to an extent as the pandemic has receded, the ongoing impact from new variants of the coronavirus and other aftereffects of the pandemic are still present for a number of our customers and in a number of locations that we serve. Such ongoing impact could have a material adverse effect on our business, financial condition and results of operations.</w:t>
      </w:r>
    </w:p>
    <w:p>
      <w:pPr>
        <w:spacing w:after="0" w:line="206" w:lineRule="exact"/>
        <w:rPr>
          <w:sz w:val="20"/>
          <w:szCs w:val="20"/>
          <w:color w:val="auto"/>
        </w:rPr>
      </w:pPr>
    </w:p>
    <w:p>
      <w:pPr>
        <w:ind w:firstLine="469"/>
        <w:spacing w:after="0" w:line="290" w:lineRule="auto"/>
        <w:rPr>
          <w:sz w:val="20"/>
          <w:szCs w:val="20"/>
          <w:color w:val="auto"/>
        </w:rPr>
      </w:pPr>
      <w:r>
        <w:rPr>
          <w:rFonts w:ascii="Arial" w:cs="Arial" w:eastAsia="Arial" w:hAnsi="Arial"/>
          <w:sz w:val="17"/>
          <w:szCs w:val="17"/>
          <w:color w:val="auto"/>
        </w:rPr>
        <w:t>We implemented CECL, for determining our overall provision for credit losses, at the beginning of the first quarter of 2020. For the six months that ended June 30, 2020, our allowance for credit losses increased by $23.5 million in provision for credit losses, primarily due to the forecasted impact of COVID-19 on certain economic variables that may cause distress to our loan portfolios. During the first half of 2021, forecasted improvements in macroeconomic variables, because of the wide availability of vaccines and government economic stimulus, resulted in a $21.5 million recapture of provision for credit losses. Depending on the scope and duration of the COVID-19 pandemic, including the impact of new variants of the coronavirus, there is a possibility that increased provisions for credit losses could prove necessary in the future.</w:t>
      </w:r>
    </w:p>
    <w:p>
      <w:pPr>
        <w:spacing w:after="0" w:line="189" w:lineRule="exact"/>
        <w:rPr>
          <w:sz w:val="20"/>
          <w:szCs w:val="20"/>
          <w:color w:val="auto"/>
        </w:rPr>
      </w:pPr>
    </w:p>
    <w:p>
      <w:pPr>
        <w:ind w:right="20" w:firstLine="464"/>
        <w:spacing w:after="0" w:line="293" w:lineRule="auto"/>
        <w:rPr>
          <w:sz w:val="20"/>
          <w:szCs w:val="20"/>
          <w:color w:val="auto"/>
        </w:rPr>
      </w:pPr>
      <w:r>
        <w:rPr>
          <w:rFonts w:ascii="Arial" w:cs="Arial" w:eastAsia="Arial" w:hAnsi="Arial"/>
          <w:sz w:val="18"/>
          <w:szCs w:val="18"/>
          <w:b w:val="1"/>
          <w:bCs w:val="1"/>
          <w:i w:val="1"/>
          <w:iCs w:val="1"/>
          <w:color w:val="auto"/>
        </w:rPr>
        <w:t>Our bank has elected to participate as a lender in the Small Business Administration’s Paycheck Protection Program (PPP), and has accordingly become subject to a number of significant risks applicable to lenders under the PPP.</w:t>
      </w:r>
    </w:p>
    <w:p>
      <w:pPr>
        <w:spacing w:after="0" w:line="183" w:lineRule="exact"/>
        <w:rPr>
          <w:sz w:val="20"/>
          <w:szCs w:val="20"/>
          <w:color w:val="auto"/>
        </w:rPr>
      </w:pPr>
    </w:p>
    <w:p>
      <w:pPr>
        <w:ind w:right="80" w:firstLine="469"/>
        <w:spacing w:after="0" w:line="305" w:lineRule="auto"/>
        <w:rPr>
          <w:sz w:val="20"/>
          <w:szCs w:val="20"/>
          <w:color w:val="auto"/>
        </w:rPr>
      </w:pPr>
      <w:r>
        <w:rPr>
          <w:rFonts w:ascii="Arial" w:cs="Arial" w:eastAsia="Arial" w:hAnsi="Arial"/>
          <w:sz w:val="16"/>
          <w:szCs w:val="16"/>
          <w:color w:val="auto"/>
        </w:rPr>
        <w:t>As one set of responses to the COVID-19 pandemic, our federal, state and local governments have promulgated a wide variety of laws, regulations, executive orders and programs designed to ameliorate the severe and widespread economic distress caused by the mandatory closings of many businesses throughout the State of California and counties in which we operate. One such program is the PPP enacted under the federal CARES Act and subsequently extended under the federal Consolidated Appropriations Act, 2021. This program was designed, among other things, to provide employee payroll maintenance support for small and medium-sized businesses throughout the United States, including in the State of California, through loans made by authorized lenders and guaranteed by the federal Small Business Administration (SBA). Because the Company is an authorized SBA lender and our primary customer base consists of small and medium-sized businesses, the Company actively participated in the PPP through its extended expiration date of May 31, 2021. Including the second round of funding, after legislation passed on April 24, 2020, we originated and funded approximately 4,100 PPP loans totaling approximately $1.10 billion, of which $262.5 million was outstanding at June 30, 2021. On January 13, 2021, the SBA reopened the PPP for Second Draw loans to small businesses and non-profit organizations that did receive a loan through the initial PPP phase. As of June 30, 2021, we originated approximately 1,900 round two loans totaling $395 million in customer borrowings.</w:t>
      </w:r>
    </w:p>
    <w:p>
      <w:pPr>
        <w:spacing w:after="0" w:line="182" w:lineRule="exact"/>
        <w:rPr>
          <w:sz w:val="20"/>
          <w:szCs w:val="20"/>
          <w:color w:val="auto"/>
        </w:rPr>
      </w:pPr>
    </w:p>
    <w:p>
      <w:pPr>
        <w:ind w:right="40" w:firstLine="469"/>
        <w:spacing w:after="0" w:line="287" w:lineRule="auto"/>
        <w:rPr>
          <w:sz w:val="20"/>
          <w:szCs w:val="20"/>
          <w:color w:val="auto"/>
        </w:rPr>
      </w:pPr>
      <w:r>
        <w:rPr>
          <w:rFonts w:ascii="Arial" w:cs="Arial" w:eastAsia="Arial" w:hAnsi="Arial"/>
          <w:sz w:val="17"/>
          <w:szCs w:val="17"/>
          <w:color w:val="auto"/>
        </w:rPr>
        <w:t>Under interim final regulations promulgated by the SBA, PPP lenders are entitled to rely on borrower certifications with respect to issues such as program eligibility and eligible loan amounts, and PPP loans are designed to be subsequently forgivable, in whole or part, if certain additional criteria are met by the borrower with respect to employee payroll maintenance. However, in view of the fact that the PPP was by design intended to support economically distressed businesses, the SBA’s guarantee of PPP loan amounts to participating lenders is a critical feature of the program. There are significant risks to the Company’s participation in the PPP, including whether certain borrowers will ultimately be found to have been eligible for PPP loans, whether eligible PPP loan amounts for certain borrowers were correctly calculated, whether certain PPP loans will ultimately be determined to be forgivable, and if not, whether the SBA’s guarantee will continue to apply to any unforgiven PPP loan amounts. As of June 30, 2021, approximately 3,400 loans, representing approximately $862 million in loan balances, were submitted to the SBA and granted forgiveness. To date, our customers who have had their forgiveness requests reviewed by the SBA have received almost 100% loan forgiveness.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5" w:name="page66"/>
    <w:bookmarkEnd w:id="65"/>
    <w:p>
      <w:pPr>
        <w:ind w:left="480"/>
        <w:spacing w:after="0"/>
        <w:rPr>
          <w:sz w:val="20"/>
          <w:szCs w:val="20"/>
          <w:color w:val="auto"/>
        </w:rPr>
      </w:pPr>
      <w:r>
        <w:rPr>
          <w:rFonts w:ascii="Arial" w:cs="Arial" w:eastAsia="Arial" w:hAnsi="Arial"/>
          <w:sz w:val="16"/>
          <w:szCs w:val="16"/>
          <w:b w:val="1"/>
          <w:bCs w:val="1"/>
          <w:i w:val="1"/>
          <w:iCs w:val="1"/>
          <w:color w:val="auto"/>
        </w:rPr>
        <w:t>Our pending acquisition of Suncrest Bank could adversely affect our business while the merger is pending or if the merger is consummated.</w:t>
      </w:r>
    </w:p>
    <w:p>
      <w:pPr>
        <w:spacing w:after="0" w:line="275" w:lineRule="exact"/>
        <w:rPr>
          <w:sz w:val="20"/>
          <w:szCs w:val="20"/>
          <w:color w:val="auto"/>
        </w:rPr>
      </w:pPr>
    </w:p>
    <w:p>
      <w:pPr>
        <w:ind w:right="40" w:firstLine="469"/>
        <w:spacing w:after="0" w:line="275" w:lineRule="auto"/>
        <w:rPr>
          <w:sz w:val="20"/>
          <w:szCs w:val="20"/>
          <w:color w:val="auto"/>
        </w:rPr>
      </w:pPr>
      <w:r>
        <w:rPr>
          <w:rFonts w:ascii="Arial" w:cs="Arial" w:eastAsia="Arial" w:hAnsi="Arial"/>
          <w:sz w:val="18"/>
          <w:szCs w:val="18"/>
          <w:color w:val="auto"/>
        </w:rPr>
        <w:t>We have entered into an agreement to acquire Suncrest Bank. While the merger is pending, our management may need to focus their time and energies on matters related to the merger that otherwise would be directed to their other areas of responsibilities. In addition, the success of the merger will depend, in part, on the ability to successfully combine the businesses of Citizens and Suncrest upon the completion of the merger. It is possible that the integration process could result in: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loss of key employees,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disruption of our ongoing business, or</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inconsistencies in standards, controls, procedures and policies that adversely affect the combined company’s ability to maintain relationships with clients, customers, depositors and employees or to achieve the anticipated benefits of the merger.</w:t>
      </w:r>
    </w:p>
    <w:p>
      <w:pPr>
        <w:spacing w:after="0" w:line="183" w:lineRule="exact"/>
        <w:rPr>
          <w:sz w:val="20"/>
          <w:szCs w:val="20"/>
          <w:color w:val="auto"/>
        </w:rPr>
      </w:pPr>
    </w:p>
    <w:p>
      <w:pPr>
        <w:ind w:right="180" w:firstLine="469"/>
        <w:spacing w:after="0" w:line="279" w:lineRule="auto"/>
        <w:rPr>
          <w:sz w:val="20"/>
          <w:szCs w:val="20"/>
          <w:color w:val="auto"/>
        </w:rPr>
      </w:pPr>
      <w:r>
        <w:rPr>
          <w:rFonts w:ascii="Arial" w:cs="Arial" w:eastAsia="Arial" w:hAnsi="Arial"/>
          <w:sz w:val="18"/>
          <w:szCs w:val="18"/>
          <w:color w:val="auto"/>
        </w:rPr>
        <w:t>Furthermore, combining the two companies may be more difficult, time-consuming or costly than expected. If the merger is completed, but the combined company does not fully realize our anticipated cost savings from the merger, our business, financial condition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firstLine="469"/>
        <w:spacing w:after="0" w:line="272" w:lineRule="auto"/>
        <w:rPr>
          <w:sz w:val="20"/>
          <w:szCs w:val="20"/>
          <w:color w:val="auto"/>
        </w:rPr>
      </w:pPr>
      <w:r>
        <w:rPr>
          <w:rFonts w:ascii="Arial" w:cs="Arial" w:eastAsia="Arial" w:hAnsi="Arial"/>
          <w:sz w:val="18"/>
          <w:szCs w:val="18"/>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During the three months ended June 30, 2021, the Company did not repurchase any shares of CVB common stock outstanding under this program. As of June 30, 2021, we had 4,585,145 shares of CVB common stock available for repurchase under the common stock repurchase program.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8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2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tcBorders>
              <w:left w:val="single" w:sz="8" w:color="auto"/>
            </w:tcBorders>
            <w:shd w:val="clear" w:color="auto" w:fill="000000"/>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80" w:type="dxa"/>
            <w:vAlign w:val="bottom"/>
          </w:tcPr>
          <w:p>
            <w:pPr>
              <w:spacing w:after="0"/>
              <w:rPr>
                <w:sz w:val="24"/>
                <w:szCs w:val="24"/>
                <w:color w:val="auto"/>
              </w:rPr>
            </w:pPr>
          </w:p>
        </w:tc>
        <w:tc>
          <w:tcPr>
            <w:tcW w:w="9740" w:type="dxa"/>
            <w:vAlign w:val="bottom"/>
            <w:gridSpan w:val="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Chief Executive Officer pursuant to Section 302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80" w:type="dxa"/>
            <w:vAlign w:val="bottom"/>
          </w:tcPr>
          <w:p>
            <w:pPr>
              <w:spacing w:after="0"/>
              <w:rPr>
                <w:sz w:val="20"/>
                <w:szCs w:val="20"/>
                <w:color w:val="auto"/>
              </w:rPr>
            </w:pPr>
          </w:p>
        </w:tc>
        <w:tc>
          <w:tcPr>
            <w:tcW w:w="9740" w:type="dxa"/>
            <w:vAlign w:val="bottom"/>
            <w:gridSpan w:val="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Chief Financial Officer pursuant to Section 302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80" w:type="dxa"/>
            <w:vAlign w:val="bottom"/>
          </w:tcPr>
          <w:p>
            <w:pPr>
              <w:spacing w:after="0"/>
              <w:rPr>
                <w:sz w:val="20"/>
                <w:szCs w:val="20"/>
                <w:color w:val="auto"/>
              </w:rPr>
            </w:pPr>
          </w:p>
        </w:tc>
        <w:tc>
          <w:tcPr>
            <w:tcW w:w="9740" w:type="dxa"/>
            <w:vAlign w:val="bottom"/>
            <w:gridSpan w:val="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Chief Executive Officer pursuant to Section 906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80" w:type="dxa"/>
            <w:vAlign w:val="bottom"/>
          </w:tcPr>
          <w:p>
            <w:pPr>
              <w:spacing w:after="0"/>
              <w:rPr>
                <w:sz w:val="20"/>
                <w:szCs w:val="20"/>
                <w:color w:val="auto"/>
              </w:rPr>
            </w:pPr>
          </w:p>
        </w:tc>
        <w:tc>
          <w:tcPr>
            <w:tcW w:w="9740" w:type="dxa"/>
            <w:vAlign w:val="bottom"/>
            <w:gridSpan w:val="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7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8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8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8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8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28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1460" w:right="80" w:hanging="986"/>
        <w:spacing w:after="0" w:line="293"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2021, has been formatted in Inline XBRL.</w:t>
      </w:r>
    </w:p>
    <w:p>
      <w:pPr>
        <w:spacing w:after="0" w:line="16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Filed herewith</w:t>
      </w:r>
    </w:p>
    <w:p>
      <w:pPr>
        <w:spacing w:after="0" w:line="48" w:lineRule="exact"/>
        <w:rPr>
          <w:rFonts w:ascii="Arial" w:cs="Arial" w:eastAsia="Arial" w:hAnsi="Arial"/>
          <w:sz w:val="18"/>
          <w:szCs w:val="18"/>
          <w:color w:val="auto"/>
        </w:rPr>
      </w:pPr>
    </w:p>
    <w:p>
      <w:pPr>
        <w:ind w:left="1680" w:hanging="1339"/>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237426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 w:lineRule="exact"/>
        <w:rPr>
          <w:sz w:val="20"/>
          <w:szCs w:val="20"/>
          <w:color w:val="auto"/>
        </w:rPr>
      </w:pPr>
    </w:p>
    <w:p>
      <w:pPr>
        <w:ind w:left="1680" w:hanging="1339"/>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6"/>
          <w:szCs w:val="16"/>
          <w:color w:val="auto"/>
        </w:rPr>
        <w:t>Indicates a management contract or compensation plan.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6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CVB FINANCIAL CORP.</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51"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E. Allen Nicholson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 Allen Nicholson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405" w:right="7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A. Brager, certify that:</w:t>
      </w:r>
    </w:p>
    <w:p>
      <w:pPr>
        <w:spacing w:after="0" w:line="239" w:lineRule="exact"/>
        <w:rPr>
          <w:sz w:val="20"/>
          <w:szCs w:val="20"/>
          <w:color w:val="auto"/>
        </w:rPr>
      </w:pPr>
    </w:p>
    <w:p>
      <w:pPr>
        <w:ind w:left="700" w:hanging="31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238" w:lineRule="exact"/>
        <w:rPr>
          <w:rFonts w:ascii="Arial" w:cs="Arial" w:eastAsia="Arial" w:hAnsi="Arial"/>
          <w:sz w:val="18"/>
          <w:szCs w:val="18"/>
          <w:color w:val="auto"/>
        </w:rPr>
      </w:pPr>
    </w:p>
    <w:p>
      <w:pPr>
        <w:jc w:val="both"/>
        <w:ind w:left="700" w:right="60" w:hanging="318"/>
        <w:spacing w:after="0" w:line="27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00" w:right="40" w:hanging="318"/>
        <w:spacing w:after="0" w:line="324"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00" w:right="60" w:hanging="318"/>
        <w:spacing w:after="0" w:line="27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460" w:right="200" w:hanging="329"/>
        <w:spacing w:after="0" w:line="303" w:lineRule="auto"/>
        <w:tabs>
          <w:tab w:leader="none" w:pos="14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460" w:right="260" w:hanging="329"/>
        <w:spacing w:after="0" w:line="279"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460" w:right="60" w:hanging="329"/>
        <w:spacing w:after="0" w:line="359" w:lineRule="auto"/>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60" w:right="100" w:hanging="329"/>
        <w:spacing w:after="0" w:line="279"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00" w:right="240" w:hanging="318"/>
        <w:spacing w:after="0" w:line="359"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1460" w:right="300" w:hanging="329"/>
        <w:spacing w:after="0" w:line="359" w:lineRule="auto"/>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60" w:hanging="329"/>
        <w:spacing w:after="0" w:line="293"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2021</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David A. Brager</w:t>
            </w:r>
          </w:p>
        </w:tc>
      </w:tr>
      <w:tr>
        <w:trPr>
          <w:trHeight w:val="263"/>
        </w:trPr>
        <w:tc>
          <w:tcPr>
            <w:tcW w:w="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Brager</w:t>
            </w:r>
          </w:p>
        </w:tc>
        <w:tc>
          <w:tcPr>
            <w:tcW w:w="3060" w:type="dxa"/>
            <w:vAlign w:val="bottom"/>
          </w:tcPr>
          <w:p>
            <w:pPr>
              <w:spacing w:after="0"/>
              <w:rPr>
                <w:sz w:val="22"/>
                <w:szCs w:val="22"/>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587"/>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E. Allen Nicholson, certify that:</w:t>
      </w:r>
    </w:p>
    <w:p>
      <w:pPr>
        <w:spacing w:after="0" w:line="239" w:lineRule="exact"/>
        <w:rPr>
          <w:sz w:val="20"/>
          <w:szCs w:val="20"/>
          <w:color w:val="auto"/>
        </w:rPr>
      </w:pPr>
    </w:p>
    <w:p>
      <w:pPr>
        <w:ind w:left="700" w:hanging="31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238" w:lineRule="exact"/>
        <w:rPr>
          <w:rFonts w:ascii="Arial" w:cs="Arial" w:eastAsia="Arial" w:hAnsi="Arial"/>
          <w:sz w:val="18"/>
          <w:szCs w:val="18"/>
          <w:color w:val="auto"/>
        </w:rPr>
      </w:pPr>
    </w:p>
    <w:p>
      <w:pPr>
        <w:jc w:val="both"/>
        <w:ind w:left="700" w:right="60" w:hanging="318"/>
        <w:spacing w:after="0" w:line="27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00" w:right="40" w:hanging="318"/>
        <w:spacing w:after="0" w:line="324"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00" w:right="60" w:hanging="318"/>
        <w:spacing w:after="0" w:line="27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460" w:right="200" w:hanging="329"/>
        <w:spacing w:after="0" w:line="303" w:lineRule="auto"/>
        <w:tabs>
          <w:tab w:leader="none" w:pos="14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460" w:right="260" w:hanging="329"/>
        <w:spacing w:after="0" w:line="279"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460" w:right="60" w:hanging="329"/>
        <w:spacing w:after="0" w:line="359"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60" w:right="100" w:hanging="329"/>
        <w:spacing w:after="0" w:line="279"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00" w:right="240" w:hanging="318"/>
        <w:spacing w:after="0" w:line="359"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460" w:right="300" w:hanging="329"/>
        <w:spacing w:after="0" w:line="359"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60" w:hanging="329"/>
        <w:spacing w:after="0" w:line="293"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2021</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E. Allen Nicholson</w:t>
            </w:r>
          </w:p>
        </w:tc>
      </w:tr>
      <w:tr>
        <w:trPr>
          <w:trHeight w:val="263"/>
        </w:trPr>
        <w:tc>
          <w:tcPr>
            <w:tcW w:w="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 Allen Nicholson</w:t>
            </w:r>
          </w:p>
        </w:tc>
        <w:tc>
          <w:tcPr>
            <w:tcW w:w="2860" w:type="dxa"/>
            <w:vAlign w:val="bottom"/>
          </w:tcPr>
          <w:p>
            <w:pPr>
              <w:spacing w:after="0"/>
              <w:rPr>
                <w:sz w:val="22"/>
                <w:szCs w:val="22"/>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88"/>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1" w:lineRule="exact"/>
        <w:rPr>
          <w:sz w:val="20"/>
          <w:szCs w:val="20"/>
          <w:color w:val="auto"/>
        </w:rPr>
      </w:pPr>
    </w:p>
    <w:p>
      <w:pPr>
        <w:ind w:right="40" w:firstLine="374"/>
        <w:spacing w:after="0" w:line="303" w:lineRule="auto"/>
        <w:rPr>
          <w:sz w:val="20"/>
          <w:szCs w:val="20"/>
          <w:color w:val="auto"/>
        </w:rPr>
      </w:pPr>
      <w:r>
        <w:rPr>
          <w:rFonts w:ascii="Arial" w:cs="Arial" w:eastAsia="Arial" w:hAnsi="Arial"/>
          <w:sz w:val="17"/>
          <w:szCs w:val="17"/>
          <w:color w:val="auto"/>
        </w:rPr>
        <w:t>In connection with the Quarterly Report of CVB Financial Corp. (the “Company”) on Form 10-Q for the period ended June 30, 2021,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64" w:lineRule="exact"/>
        <w:rPr>
          <w:sz w:val="20"/>
          <w:szCs w:val="20"/>
          <w:color w:val="auto"/>
        </w:rPr>
      </w:pPr>
    </w:p>
    <w:p>
      <w:pPr>
        <w:ind w:left="700" w:hanging="31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2021</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David A. Brager</w:t>
            </w:r>
          </w:p>
        </w:tc>
      </w:tr>
      <w:tr>
        <w:trPr>
          <w:trHeight w:val="263"/>
        </w:trPr>
        <w:tc>
          <w:tcPr>
            <w:tcW w:w="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Brager</w:t>
            </w:r>
          </w:p>
        </w:tc>
        <w:tc>
          <w:tcPr>
            <w:tcW w:w="3060" w:type="dxa"/>
            <w:vAlign w:val="bottom"/>
          </w:tcPr>
          <w:p>
            <w:pPr>
              <w:spacing w:after="0"/>
              <w:rPr>
                <w:sz w:val="22"/>
                <w:szCs w:val="22"/>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587"/>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1" w:lineRule="exact"/>
        <w:rPr>
          <w:sz w:val="20"/>
          <w:szCs w:val="20"/>
          <w:color w:val="auto"/>
        </w:rPr>
      </w:pPr>
    </w:p>
    <w:p>
      <w:pPr>
        <w:jc w:val="both"/>
        <w:ind w:right="40" w:firstLine="374"/>
        <w:spacing w:after="0" w:line="303" w:lineRule="auto"/>
        <w:rPr>
          <w:sz w:val="20"/>
          <w:szCs w:val="20"/>
          <w:color w:val="auto"/>
        </w:rPr>
      </w:pPr>
      <w:r>
        <w:rPr>
          <w:rFonts w:ascii="Arial" w:cs="Arial" w:eastAsia="Arial" w:hAnsi="Arial"/>
          <w:sz w:val="17"/>
          <w:szCs w:val="17"/>
          <w:color w:val="auto"/>
        </w:rPr>
        <w:t>In connection with the Quarterly Report of CVB Financial Corp. (the “Company”) on Form 10-Q for the period ended June 30, 2021,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64" w:lineRule="exact"/>
        <w:rPr>
          <w:sz w:val="20"/>
          <w:szCs w:val="20"/>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2021</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E. Allen Nicholson</w:t>
            </w:r>
          </w:p>
        </w:tc>
      </w:tr>
      <w:tr>
        <w:trPr>
          <w:trHeight w:val="263"/>
        </w:trPr>
        <w:tc>
          <w:tcPr>
            <w:tcW w:w="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 Allen Nicholson</w:t>
            </w:r>
          </w:p>
        </w:tc>
        <w:tc>
          <w:tcPr>
            <w:tcW w:w="2860" w:type="dxa"/>
            <w:vAlign w:val="bottom"/>
          </w:tcPr>
          <w:p>
            <w:pPr>
              <w:spacing w:after="0"/>
              <w:rPr>
                <w:sz w:val="22"/>
                <w:szCs w:val="22"/>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88"/>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5"/>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lvl w:ilvl="1">
      <w:lvlJc w:val="left"/>
      <w:lvlText w:val="%2"/>
      <w:numFmt w:val="decimal"/>
      <w:start w:val="104"/>
    </w:lvl>
  </w:abstractNum>
  <w:abstractNum w:abstractNumId="17">
    <w:nsid w:val="436C6125"/>
    <w:multiLevelType w:val="hybridMultilevel"/>
    <w:lvl w:ilvl="0">
      <w:lvlJc w:val="left"/>
      <w:lvlText w:val="**"/>
      <w:numFmt w:val="bullet"/>
      <w:start w:val="1"/>
    </w:lvl>
    <w:lvl w:ilvl="1">
      <w:lvlJc w:val="left"/>
      <w:lvlText w:val="%2"/>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2021-08-09T12:18:47Z</dcterms:created>
  <dcterms:modified xsi:type="dcterms:W3CDTF">2021-08-09T12:18:47Z</dcterms:modified>
</cp:coreProperties>
</file>