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3035935</wp:posOffset>
            </wp:positionH>
            <wp:positionV relativeFrom="paragraph">
              <wp:posOffset>51435</wp:posOffset>
            </wp:positionV>
            <wp:extent cx="111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8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75"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2022</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or</w:t>
      </w:r>
    </w:p>
    <w:p>
      <w:pPr>
        <w:spacing w:after="0" w:line="62"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00"/>
        </w:trPr>
        <w:tc>
          <w:tcPr>
            <w:tcW w:w="3580" w:type="dxa"/>
            <w:vAlign w:val="bottom"/>
          </w:tcPr>
          <w:p>
            <w:pPr>
              <w:spacing w:after="0"/>
              <w:rPr>
                <w:sz w:val="17"/>
                <w:szCs w:val="17"/>
                <w:color w:val="auto"/>
              </w:rPr>
            </w:pPr>
          </w:p>
        </w:tc>
        <w:tc>
          <w:tcPr>
            <w:tcW w:w="38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For the transition period from _______ to _______</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6"/>
                <w:szCs w:val="16"/>
                <w:color w:val="auto"/>
              </w:rPr>
              <w:t>000-10140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3720" w:type="dxa"/>
            <w:vAlign w:val="bottom"/>
            <w:gridSpan w:val="2"/>
          </w:tcPr>
          <w:p>
            <w:pPr>
              <w:spacing w:after="0"/>
              <w:rPr>
                <w:sz w:val="7"/>
                <w:szCs w:val="7"/>
                <w:color w:val="auto"/>
              </w:rPr>
            </w:pPr>
          </w:p>
        </w:tc>
        <w:tc>
          <w:tcPr>
            <w:tcW w:w="160" w:type="dxa"/>
            <w:vAlign w:val="bottom"/>
          </w:tcPr>
          <w:p>
            <w:pPr>
              <w:spacing w:after="0"/>
              <w:rPr>
                <w:sz w:val="7"/>
                <w:szCs w:val="7"/>
                <w:color w:val="auto"/>
              </w:rPr>
            </w:pPr>
          </w:p>
        </w:tc>
        <w:tc>
          <w:tcPr>
            <w:tcW w:w="3600" w:type="dxa"/>
            <w:vAlign w:val="bottom"/>
            <w:gridSpan w:val="4"/>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6"/>
        </w:trPr>
        <w:tc>
          <w:tcPr>
            <w:tcW w:w="4760" w:type="dxa"/>
            <w:vAlign w:val="bottom"/>
            <w:gridSpan w:val="4"/>
          </w:tcPr>
          <w:p>
            <w:pPr>
              <w:ind w:left="3220"/>
              <w:spacing w:after="0"/>
              <w:rPr>
                <w:sz w:val="20"/>
                <w:szCs w:val="20"/>
                <w:color w:val="auto"/>
              </w:rPr>
            </w:pPr>
            <w:r>
              <w:rPr>
                <w:rFonts w:ascii="Times New Roman" w:cs="Times New Roman" w:eastAsia="Times New Roman" w:hAnsi="Times New Roman"/>
                <w:sz w:val="41"/>
                <w:szCs w:val="41"/>
                <w:b w:val="1"/>
                <w:bCs w:val="1"/>
                <w:color w:val="auto"/>
              </w:rPr>
              <w:t>CVB</w:t>
            </w: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41"/>
                <w:szCs w:val="41"/>
                <w:b w:val="1"/>
                <w:bCs w:val="1"/>
                <w:color w:val="auto"/>
                <w:w w:val="74"/>
              </w:rPr>
              <w:t>FINANCIAL</w:t>
            </w:r>
          </w:p>
        </w:tc>
        <w:tc>
          <w:tcPr>
            <w:tcW w:w="1420" w:type="dxa"/>
            <w:vAlign w:val="bottom"/>
            <w:gridSpan w:val="4"/>
          </w:tcPr>
          <w:p>
            <w:pPr>
              <w:ind w:left="120"/>
              <w:spacing w:after="0"/>
              <w:rPr>
                <w:sz w:val="20"/>
                <w:szCs w:val="20"/>
                <w:color w:val="auto"/>
              </w:rPr>
            </w:pPr>
            <w:r>
              <w:rPr>
                <w:rFonts w:ascii="Times New Roman" w:cs="Times New Roman" w:eastAsia="Times New Roman" w:hAnsi="Times New Roman"/>
                <w:sz w:val="41"/>
                <w:szCs w:val="41"/>
                <w:b w:val="1"/>
                <w:bCs w:val="1"/>
                <w:color w:val="auto"/>
              </w:rPr>
              <w:t>CORP.</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580" w:type="dxa"/>
            <w:vAlign w:val="bottom"/>
          </w:tcPr>
          <w:p>
            <w:pPr>
              <w:jc w:val="center"/>
              <w:ind w:left="1936"/>
              <w:spacing w:after="0"/>
              <w:rPr>
                <w:sz w:val="20"/>
                <w:szCs w:val="20"/>
                <w:color w:val="auto"/>
              </w:rPr>
            </w:pPr>
            <w:r>
              <w:rPr>
                <w:rFonts w:ascii="Times New Roman" w:cs="Times New Roman" w:eastAsia="Times New Roman" w:hAnsi="Times New Roman"/>
                <w:sz w:val="16"/>
                <w:szCs w:val="16"/>
                <w:b w:val="1"/>
                <w:bCs w:val="1"/>
                <w:color w:val="auto"/>
              </w:rPr>
              <w:t>California</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Pr>
          <w:p>
            <w:pPr>
              <w:jc w:val="center"/>
              <w:ind w:right="2289"/>
              <w:spacing w:after="0"/>
              <w:rPr>
                <w:sz w:val="20"/>
                <w:szCs w:val="20"/>
                <w:color w:val="auto"/>
              </w:rPr>
            </w:pPr>
            <w:r>
              <w:rPr>
                <w:rFonts w:ascii="Times New Roman" w:cs="Times New Roman" w:eastAsia="Times New Roman" w:hAnsi="Times New Roman"/>
                <w:sz w:val="16"/>
                <w:szCs w:val="16"/>
                <w:b w:val="1"/>
                <w:bCs w:val="1"/>
                <w:color w:val="auto"/>
              </w:rPr>
              <w:t>95-3629339</w:t>
            </w:r>
          </w:p>
        </w:tc>
        <w:tc>
          <w:tcPr>
            <w:tcW w:w="0" w:type="dxa"/>
            <w:vAlign w:val="bottom"/>
          </w:tcPr>
          <w:p>
            <w:pPr>
              <w:spacing w:after="0"/>
              <w:rPr>
                <w:sz w:val="1"/>
                <w:szCs w:val="1"/>
                <w:color w:val="auto"/>
              </w:rPr>
            </w:pPr>
          </w:p>
        </w:tc>
      </w:tr>
      <w:tr>
        <w:trPr>
          <w:trHeight w:val="150"/>
        </w:trPr>
        <w:tc>
          <w:tcPr>
            <w:tcW w:w="3580" w:type="dxa"/>
            <w:vAlign w:val="bottom"/>
          </w:tcPr>
          <w:p>
            <w:pPr>
              <w:jc w:val="center"/>
              <w:ind w:left="1916"/>
              <w:spacing w:after="0"/>
              <w:rPr>
                <w:sz w:val="20"/>
                <w:szCs w:val="20"/>
                <w:color w:val="auto"/>
              </w:rPr>
            </w:pPr>
            <w:r>
              <w:rPr>
                <w:rFonts w:ascii="Times New Roman" w:cs="Times New Roman" w:eastAsia="Times New Roman" w:hAnsi="Times New Roman"/>
                <w:sz w:val="13"/>
                <w:szCs w:val="13"/>
                <w:color w:val="auto"/>
                <w:w w:val="96"/>
              </w:rPr>
              <w:t>(State or other jurisdiction of</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60" w:type="dxa"/>
            <w:vAlign w:val="bottom"/>
          </w:tcPr>
          <w:p>
            <w:pPr>
              <w:jc w:val="center"/>
              <w:ind w:right="2249"/>
              <w:spacing w:after="0"/>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64"/>
        </w:trPr>
        <w:tc>
          <w:tcPr>
            <w:tcW w:w="3580" w:type="dxa"/>
            <w:vAlign w:val="bottom"/>
          </w:tcPr>
          <w:p>
            <w:pPr>
              <w:jc w:val="center"/>
              <w:ind w:left="193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60" w:type="dxa"/>
            <w:vAlign w:val="bottom"/>
          </w:tcPr>
          <w:p>
            <w:pPr>
              <w:jc w:val="center"/>
              <w:ind w:right="2249"/>
              <w:spacing w:after="0"/>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324"/>
        </w:trPr>
        <w:tc>
          <w:tcPr>
            <w:tcW w:w="7380" w:type="dxa"/>
            <w:vAlign w:val="bottom"/>
            <w:gridSpan w:val="6"/>
          </w:tcPr>
          <w:p>
            <w:pPr>
              <w:jc w:val="center"/>
              <w:ind w:right="1573"/>
              <w:spacing w:after="0"/>
              <w:rPr>
                <w:sz w:val="20"/>
                <w:szCs w:val="20"/>
                <w:color w:val="auto"/>
              </w:rPr>
            </w:pPr>
            <w:r>
              <w:rPr>
                <w:rFonts w:ascii="Times New Roman" w:cs="Times New Roman" w:eastAsia="Times New Roman" w:hAnsi="Times New Roman"/>
                <w:sz w:val="16"/>
                <w:szCs w:val="16"/>
                <w:b w:val="1"/>
                <w:bCs w:val="1"/>
                <w:color w:val="auto"/>
              </w:rPr>
              <w:t>701 N. Haven Avenue, Suite 350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Pr>
          <w:p>
            <w:pPr>
              <w:jc w:val="center"/>
              <w:ind w:right="2229"/>
              <w:spacing w:after="0"/>
              <w:rPr>
                <w:sz w:val="20"/>
                <w:szCs w:val="20"/>
                <w:color w:val="auto"/>
              </w:rPr>
            </w:pPr>
            <w:r>
              <w:rPr>
                <w:rFonts w:ascii="Times New Roman" w:cs="Times New Roman" w:eastAsia="Times New Roman" w:hAnsi="Times New Roman"/>
                <w:sz w:val="16"/>
                <w:szCs w:val="16"/>
                <w:b w:val="1"/>
                <w:bCs w:val="1"/>
                <w:color w:val="auto"/>
                <w:w w:val="99"/>
              </w:rPr>
              <w:t>91764</w:t>
            </w:r>
          </w:p>
        </w:tc>
        <w:tc>
          <w:tcPr>
            <w:tcW w:w="0" w:type="dxa"/>
            <w:vAlign w:val="bottom"/>
          </w:tcPr>
          <w:p>
            <w:pPr>
              <w:spacing w:after="0"/>
              <w:rPr>
                <w:sz w:val="1"/>
                <w:szCs w:val="1"/>
                <w:color w:val="auto"/>
              </w:rPr>
            </w:pPr>
          </w:p>
        </w:tc>
      </w:tr>
      <w:tr>
        <w:trPr>
          <w:trHeight w:val="212"/>
        </w:trPr>
        <w:tc>
          <w:tcPr>
            <w:tcW w:w="3580" w:type="dxa"/>
            <w:vAlign w:val="bottom"/>
          </w:tcPr>
          <w:p>
            <w:pPr>
              <w:jc w:val="center"/>
              <w:ind w:left="1916"/>
              <w:spacing w:after="0"/>
              <w:rPr>
                <w:sz w:val="20"/>
                <w:szCs w:val="20"/>
                <w:color w:val="auto"/>
              </w:rPr>
            </w:pPr>
            <w:r>
              <w:rPr>
                <w:rFonts w:ascii="Times New Roman" w:cs="Times New Roman" w:eastAsia="Times New Roman" w:hAnsi="Times New Roman"/>
                <w:sz w:val="16"/>
                <w:szCs w:val="16"/>
                <w:b w:val="1"/>
                <w:bCs w:val="1"/>
                <w:color w:val="auto"/>
              </w:rPr>
              <w:t>Ontario, California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380" w:type="dxa"/>
            <w:vAlign w:val="bottom"/>
            <w:gridSpan w:val="6"/>
          </w:tcPr>
          <w:p>
            <w:pPr>
              <w:jc w:val="center"/>
              <w:ind w:right="1573"/>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60" w:type="dxa"/>
            <w:vAlign w:val="bottom"/>
          </w:tcPr>
          <w:p>
            <w:pPr>
              <w:jc w:val="center"/>
              <w:ind w:right="2229"/>
              <w:spacing w:after="0"/>
              <w:rPr>
                <w:sz w:val="20"/>
                <w:szCs w:val="20"/>
                <w:color w:val="auto"/>
              </w:rPr>
            </w:pPr>
            <w:r>
              <w:rPr>
                <w:rFonts w:ascii="Times New Roman" w:cs="Times New Roman" w:eastAsia="Times New Roman" w:hAnsi="Times New Roman"/>
                <w:sz w:val="13"/>
                <w:szCs w:val="13"/>
                <w:color w:val="auto"/>
                <w:w w:val="97"/>
              </w:rPr>
              <w:t>(Zip Code)</w:t>
            </w:r>
          </w:p>
        </w:tc>
        <w:tc>
          <w:tcPr>
            <w:tcW w:w="0" w:type="dxa"/>
            <w:vAlign w:val="bottom"/>
          </w:tcPr>
          <w:p>
            <w:pPr>
              <w:spacing w:after="0"/>
              <w:rPr>
                <w:sz w:val="1"/>
                <w:szCs w:val="1"/>
                <w:color w:val="auto"/>
              </w:rPr>
            </w:pPr>
          </w:p>
        </w:tc>
      </w:tr>
      <w:tr>
        <w:trPr>
          <w:trHeight w:val="245"/>
        </w:trPr>
        <w:tc>
          <w:tcPr>
            <w:tcW w:w="7940" w:type="dxa"/>
            <w:vAlign w:val="bottom"/>
            <w:gridSpan w:val="9"/>
          </w:tcPr>
          <w:p>
            <w:pPr>
              <w:jc w:val="center"/>
              <w:ind w:left="3156"/>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(909) 980-4030</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436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tcPr>
          <w:p>
            <w:pPr>
              <w:jc w:val="center"/>
              <w:ind w:left="76"/>
              <w:spacing w:after="0"/>
              <w:rPr>
                <w:sz w:val="20"/>
                <w:szCs w:val="20"/>
                <w:color w:val="auto"/>
              </w:rPr>
            </w:pPr>
            <w:r>
              <w:rPr>
                <w:rFonts w:ascii="Times New Roman" w:cs="Times New Roman" w:eastAsia="Times New Roman" w:hAnsi="Times New Roman"/>
                <w:sz w:val="13"/>
                <w:szCs w:val="13"/>
                <w:b w:val="1"/>
                <w:bCs w:val="1"/>
                <w:color w:val="auto"/>
                <w:w w:val="95"/>
              </w:rPr>
              <w:t>Title of Class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58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CVBF</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NASDAQ Stock Market, LLC</w:t>
            </w:r>
          </w:p>
        </w:tc>
        <w:tc>
          <w:tcPr>
            <w:tcW w:w="0" w:type="dxa"/>
            <w:vAlign w:val="bottom"/>
          </w:tcPr>
          <w:p>
            <w:pPr>
              <w:spacing w:after="0"/>
              <w:rPr>
                <w:sz w:val="1"/>
                <w:szCs w:val="1"/>
                <w:color w:val="auto"/>
              </w:rPr>
            </w:pPr>
          </w:p>
        </w:tc>
      </w:tr>
      <w:tr>
        <w:trPr>
          <w:trHeight w:val="310"/>
        </w:trPr>
        <w:tc>
          <w:tcPr>
            <w:tcW w:w="3580" w:type="dxa"/>
            <w:vAlign w:val="bottom"/>
          </w:tcPr>
          <w:p>
            <w:pPr>
              <w:spacing w:after="0"/>
              <w:rPr>
                <w:sz w:val="24"/>
                <w:szCs w:val="24"/>
                <w:color w:val="auto"/>
              </w:rPr>
            </w:pPr>
          </w:p>
        </w:tc>
        <w:tc>
          <w:tcPr>
            <w:tcW w:w="436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20" w:type="dxa"/>
            <w:vAlign w:val="bottom"/>
            <w:gridSpan w:val="2"/>
          </w:tcPr>
          <w:p>
            <w:pPr>
              <w:jc w:val="center"/>
              <w:ind w:right="773"/>
              <w:spacing w:after="0"/>
              <w:rPr>
                <w:sz w:val="20"/>
                <w:szCs w:val="20"/>
                <w:color w:val="auto"/>
              </w:rPr>
            </w:pPr>
            <w:r>
              <w:rPr>
                <w:rFonts w:ascii="Times New Roman" w:cs="Times New Roman" w:eastAsia="Times New Roman" w:hAnsi="Times New Roman"/>
                <w:sz w:val="16"/>
                <w:szCs w:val="16"/>
                <w:b w:val="1"/>
                <w:bCs w:val="1"/>
                <w:color w:val="auto"/>
              </w:rPr>
              <w:t>None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4760" w:type="dxa"/>
            <w:vAlign w:val="bottom"/>
            <w:gridSpan w:val="4"/>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p>
        </w:tc>
        <w:tc>
          <w:tcPr>
            <w:tcW w:w="3260" w:type="dxa"/>
            <w:vAlign w:val="bottom"/>
            <w:vMerge w:val="restart"/>
          </w:tcPr>
          <w:p>
            <w:pPr>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40"/>
        </w:trPr>
        <w:tc>
          <w:tcPr>
            <w:tcW w:w="738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gridSpan w:val="3"/>
            <w:vMerge w:val="continue"/>
          </w:tcPr>
          <w:p>
            <w:pPr>
              <w:spacing w:after="0"/>
              <w:rPr>
                <w:sz w:val="20"/>
                <w:szCs w:val="20"/>
                <w:color w:val="auto"/>
              </w:rPr>
            </w:pPr>
          </w:p>
        </w:tc>
        <w:tc>
          <w:tcPr>
            <w:tcW w:w="3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8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100" w:type="dxa"/>
            <w:vAlign w:val="bottom"/>
          </w:tcPr>
          <w:p>
            <w:pPr>
              <w:spacing w:after="0"/>
              <w:rPr>
                <w:sz w:val="19"/>
                <w:szCs w:val="19"/>
                <w:color w:val="auto"/>
              </w:rPr>
            </w:pPr>
          </w:p>
        </w:tc>
        <w:tc>
          <w:tcPr>
            <w:tcW w:w="4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p>
        </w:tc>
        <w:tc>
          <w:tcPr>
            <w:tcW w:w="3260" w:type="dxa"/>
            <w:vAlign w:val="bottom"/>
          </w:tcPr>
          <w:p>
            <w:pPr>
              <w:ind w:left="140"/>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12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10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180" w:firstLine="509"/>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2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2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8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7"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2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60" w:firstLine="545"/>
        <w:spacing w:after="0" w:line="182"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000000"/>
        </w:rPr>
        <w:t>☐</w:t>
      </w:r>
    </w:p>
    <w:p>
      <w:pPr>
        <w:spacing w:after="0" w:line="14" w:lineRule="exact"/>
        <w:rPr>
          <w:sz w:val="24"/>
          <w:szCs w:val="24"/>
          <w:color w:val="auto"/>
        </w:rPr>
      </w:pPr>
    </w:p>
    <w:p>
      <w:pPr>
        <w:ind w:right="360" w:firstLine="509"/>
        <w:spacing w:after="0" w:line="182" w:lineRule="exact"/>
        <w:rPr>
          <w:sz w:val="20"/>
          <w:szCs w:val="20"/>
          <w:color w:val="auto"/>
        </w:rPr>
      </w:pPr>
      <w:r>
        <w:rPr>
          <w:rFonts w:ascii="Times New Roman" w:cs="Times New Roman" w:eastAsia="Times New Roman" w:hAnsi="Times New Roman"/>
          <w:sz w:val="14"/>
          <w:szCs w:val="14"/>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231F20"/>
        </w:rPr>
        <w:t>ﬃ</w:t>
      </w:r>
      <w:r>
        <w:rPr>
          <w:rFonts w:ascii="Times New Roman" w:cs="Times New Roman" w:eastAsia="Times New Roman" w:hAnsi="Times New Roman"/>
          <w:sz w:val="14"/>
          <w:szCs w:val="14"/>
          <w:color w:val="231F20"/>
        </w:rPr>
        <w:t xml:space="preserve">cers during the relevant recovery period pursuant to §240.10D-1(b). </w:t>
      </w:r>
      <w:r>
        <w:rPr>
          <w:rFonts w:ascii="Arial Unicode MS" w:cs="Arial Unicode MS" w:eastAsia="Arial Unicode MS" w:hAnsi="Arial Unicode MS"/>
          <w:sz w:val="14"/>
          <w:szCs w:val="14"/>
          <w:color w:val="000000"/>
        </w:rPr>
        <w:t>☐</w:t>
      </w:r>
    </w:p>
    <w:p>
      <w:pPr>
        <w:spacing w:after="0" w:line="5" w:lineRule="exact"/>
        <w:rPr>
          <w:sz w:val="24"/>
          <w:szCs w:val="24"/>
          <w:color w:val="auto"/>
        </w:rPr>
      </w:pPr>
    </w:p>
    <w:p>
      <w:pPr>
        <w:ind w:left="520"/>
        <w:spacing w:after="0" w:line="188" w:lineRule="exact"/>
        <w:tabs>
          <w:tab w:leader="none" w:pos="6560" w:val="left"/>
          <w:tab w:leader="none" w:pos="71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5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June 30, 2022, the aggregate market value of the common stock held by non-affiliates of the registrant was approximately $3,287,734,464.</w:t>
      </w:r>
    </w:p>
    <w:p>
      <w:pPr>
        <w:spacing w:after="0" w:line="4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Number of shares of common stock of the registrant outstanding as of February 10, 2023: 139,506,834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3035935</wp:posOffset>
            </wp:positionH>
            <wp:positionV relativeFrom="paragraph">
              <wp:posOffset>92075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98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w w:val="98"/>
              </w:rPr>
              <w:t>PART OF</w:t>
            </w:r>
          </w:p>
        </w:tc>
      </w:tr>
      <w:tr>
        <w:trPr>
          <w:trHeight w:val="148"/>
        </w:trPr>
        <w:tc>
          <w:tcPr>
            <w:tcW w:w="62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Definitive Proxy Statement for the Annual Meeting of Stockholders which will be filed</w:t>
            </w:r>
          </w:p>
        </w:tc>
        <w:tc>
          <w:tcPr>
            <w:tcW w:w="2040" w:type="dxa"/>
            <w:vAlign w:val="bottom"/>
          </w:tcPr>
          <w:p>
            <w:pPr>
              <w:spacing w:after="0"/>
              <w:rPr>
                <w:sz w:val="12"/>
                <w:szCs w:val="12"/>
                <w:color w:val="auto"/>
              </w:rPr>
            </w:pPr>
          </w:p>
        </w:tc>
        <w:tc>
          <w:tcPr>
            <w:tcW w:w="2980" w:type="dxa"/>
            <w:vAlign w:val="bottom"/>
          </w:tcPr>
          <w:p>
            <w:pPr>
              <w:spacing w:after="0"/>
              <w:rPr>
                <w:sz w:val="12"/>
                <w:szCs w:val="12"/>
                <w:color w:val="auto"/>
              </w:rPr>
            </w:pPr>
          </w:p>
        </w:tc>
      </w:tr>
      <w:tr>
        <w:trPr>
          <w:trHeight w:val="200"/>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within 120 days of the fiscal year ended December 31, 2022</w:t>
            </w:r>
          </w:p>
        </w:tc>
        <w:tc>
          <w:tcPr>
            <w:tcW w:w="17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98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Part III of Form 10-K</w:t>
            </w:r>
          </w:p>
        </w:tc>
      </w:tr>
      <w:tr>
        <w:trPr>
          <w:trHeight w:val="243"/>
        </w:trPr>
        <w:tc>
          <w:tcPr>
            <w:tcW w:w="1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Auditor Firm Id:</w:t>
            </w:r>
          </w:p>
        </w:tc>
        <w:tc>
          <w:tcPr>
            <w:tcW w:w="2060" w:type="dxa"/>
            <w:vAlign w:val="bottom"/>
          </w:tcPr>
          <w:p>
            <w:pPr>
              <w:jc w:val="right"/>
              <w:ind w:right="1548"/>
              <w:spacing w:after="0"/>
              <w:rPr>
                <w:sz w:val="20"/>
                <w:szCs w:val="20"/>
                <w:color w:val="auto"/>
              </w:rPr>
            </w:pPr>
            <w:r>
              <w:rPr>
                <w:rFonts w:ascii="Times New Roman" w:cs="Times New Roman" w:eastAsia="Times New Roman" w:hAnsi="Times New Roman"/>
                <w:sz w:val="14"/>
                <w:szCs w:val="14"/>
                <w:color w:val="auto"/>
              </w:rPr>
              <w:t>185</w:t>
            </w:r>
          </w:p>
        </w:tc>
        <w:tc>
          <w:tcPr>
            <w:tcW w:w="1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Auditor Name:</w:t>
            </w:r>
          </w:p>
        </w:tc>
        <w:tc>
          <w:tcPr>
            <w:tcW w:w="1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KPMG LLP</w:t>
            </w:r>
          </w:p>
        </w:tc>
        <w:tc>
          <w:tcPr>
            <w:tcW w:w="20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Auditor Location:</w:t>
            </w:r>
          </w:p>
        </w:tc>
        <w:tc>
          <w:tcPr>
            <w:tcW w:w="2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Irvine, California</w:t>
            </w:r>
          </w:p>
        </w:tc>
      </w:tr>
      <w:tr>
        <w:trPr>
          <w:trHeight w:val="93"/>
        </w:trPr>
        <w:tc>
          <w:tcPr>
            <w:tcW w:w="12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r>
        <w:trPr>
          <w:trHeight w:val="325"/>
        </w:trPr>
        <w:tc>
          <w:tcPr>
            <w:tcW w:w="1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CVB FINANCIAL CORP.</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2022 ANNUAL REPORT ON FORM 10-K</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9"/>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680" w:type="dxa"/>
            <w:vAlign w:val="bottom"/>
          </w:tcPr>
          <w:p>
            <w:pPr>
              <w:spacing w:after="0"/>
              <w:rPr>
                <w:sz w:val="20"/>
                <w:szCs w:val="20"/>
                <w:color w:val="auto"/>
              </w:rPr>
            </w:pPr>
          </w:p>
        </w:tc>
      </w:tr>
      <w:tr>
        <w:trPr>
          <w:trHeight w:val="566"/>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9"/>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9"/>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680" w:type="dxa"/>
            <w:vAlign w:val="bottom"/>
          </w:tcPr>
          <w:p>
            <w:pPr>
              <w:spacing w:after="0"/>
              <w:rPr>
                <w:sz w:val="24"/>
                <w:szCs w:val="24"/>
                <w:color w:val="auto"/>
              </w:rPr>
            </w:pPr>
          </w:p>
        </w:tc>
      </w:tr>
      <w:tr>
        <w:trPr>
          <w:trHeight w:val="566"/>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STOCKHO10-LDER MATTERS AND ISSUER</w:t>
            </w:r>
          </w:p>
        </w:tc>
        <w:tc>
          <w:tcPr>
            <w:tcW w:w="68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34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6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CRITICAL ACCOUNTING POLICIES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OVERVIEW</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ANALYSIS OF THE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ANALYSIS OF FINANCIAL CONDITION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MANAGEMENT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39"/>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20" w:type="dxa"/>
            <w:vAlign w:val="bottom"/>
            <w:tcBorders>
              <w:top w:val="single" w:sz="8" w:color="0000FF"/>
            </w:tcBorders>
            <w:gridSpan w:val="5"/>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246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r>
      <w:tr>
        <w:trPr>
          <w:trHeight w:val="566"/>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STOCKHOLDER</w:t>
            </w:r>
          </w:p>
        </w:tc>
        <w:tc>
          <w:tcPr>
            <w:tcW w:w="68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34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FF"/>
              </w:rPr>
              <w:t>MATTERS</w:t>
            </w:r>
          </w:p>
        </w:tc>
        <w:tc>
          <w:tcPr>
            <w:tcW w:w="6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6"/>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39"/>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80" w:type="dxa"/>
            <w:vAlign w:val="bottom"/>
            <w:gridSpan w:val="9"/>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680" w:type="dxa"/>
            <w:vAlign w:val="bottom"/>
          </w:tcPr>
          <w:p>
            <w:pPr>
              <w:spacing w:after="0"/>
              <w:rPr>
                <w:sz w:val="24"/>
                <w:szCs w:val="24"/>
                <w:color w:val="auto"/>
              </w:rPr>
            </w:pPr>
          </w:p>
        </w:tc>
      </w:tr>
      <w:tr>
        <w:trPr>
          <w:trHeight w:val="566"/>
        </w:trPr>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6"/>
            <w:shd w:val="clear" w:color="auto" w:fill="0000FF"/>
          </w:tcPr>
          <w:p>
            <w:pPr>
              <w:spacing w:after="0" w:line="20" w:lineRule="exact"/>
              <w:rPr>
                <w:sz w:val="1"/>
                <w:szCs w:val="1"/>
                <w:color w:val="auto"/>
              </w:rPr>
            </w:pPr>
          </w:p>
        </w:tc>
        <w:tc>
          <w:tcPr>
            <w:tcW w:w="2540" w:type="dxa"/>
            <w:vAlign w:val="bottom"/>
            <w:tcBorders>
              <w:left w:val="single" w:sz="8" w:color="0000FF"/>
            </w:tcBorders>
            <w:gridSpan w:val="9"/>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6"/>
            <w:shd w:val="clear" w:color="auto" w:fill="0000FF"/>
          </w:tcPr>
          <w:p>
            <w:pPr>
              <w:spacing w:after="0" w:line="20" w:lineRule="exact"/>
              <w:rPr>
                <w:sz w:val="1"/>
                <w:szCs w:val="1"/>
                <w:color w:val="auto"/>
              </w:rPr>
            </w:pPr>
          </w:p>
        </w:tc>
        <w:tc>
          <w:tcPr>
            <w:tcW w:w="7520" w:type="dxa"/>
            <w:vAlign w:val="bottom"/>
            <w:tcBorders>
              <w:left w:val="single" w:sz="8" w:color="0000FF"/>
            </w:tcBorders>
            <w:gridSpan w:val="1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573"/>
        </w:trPr>
        <w:tc>
          <w:tcPr>
            <w:tcW w:w="1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600" w:type="dxa"/>
            <w:vAlign w:val="bottom"/>
            <w:gridSpan w:val="16"/>
          </w:tcPr>
          <w:p>
            <w:pPr>
              <w:jc w:val="center"/>
              <w:ind w:left="4110"/>
              <w:spacing w:after="0"/>
              <w:rPr>
                <w:sz w:val="20"/>
                <w:szCs w:val="20"/>
                <w:color w:val="auto"/>
              </w:rPr>
            </w:pPr>
            <w:r>
              <w:rPr>
                <w:rFonts w:ascii="Times New Roman" w:cs="Times New Roman" w:eastAsia="Times New Roman" w:hAnsi="Times New Roman"/>
                <w:sz w:val="18"/>
                <w:szCs w:val="18"/>
                <w:color w:val="auto"/>
                <w:w w:val="88"/>
              </w:rPr>
              <w:t>1</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 Safe Harbor</w:t>
      </w:r>
    </w:p>
    <w:p>
      <w:pPr>
        <w:spacing w:after="0" w:line="80"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our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and goals, and statements about the Company’s outlook regarding revenue and asset growth, financial performance and profitability, loan and deposit growth, yields and returns, loan diversification and credit management, stockholder value creation, tax rates, and the impact of acquisitions we have made or may make. Such statements involve inherent risks and uncertainties, many of which are difficult to predict and may be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08" w:lineRule="exact"/>
        <w:rPr>
          <w:sz w:val="20"/>
          <w:szCs w:val="20"/>
          <w:color w:val="auto"/>
        </w:rPr>
      </w:pPr>
    </w:p>
    <w:p>
      <w:pPr>
        <w:ind w:right="40" w:firstLine="637"/>
        <w:spacing w:after="0" w:line="251" w:lineRule="auto"/>
        <w:rPr>
          <w:sz w:val="20"/>
          <w:szCs w:val="20"/>
          <w:color w:val="auto"/>
        </w:rPr>
      </w:pPr>
      <w:r>
        <w:rPr>
          <w:rFonts w:ascii="Times New Roman" w:cs="Times New Roman" w:eastAsia="Times New Roman" w:hAnsi="Times New Roman"/>
          <w:sz w:val="18"/>
          <w:szCs w:val="18"/>
          <w:color w:val="auto"/>
        </w:rPr>
        <w:t>General risks and uncertainties include, but are not limited to, the following: changes in the U.S. economy in general and in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compliance and insurance, and the application thereof by regulatory bodies; the effectiveness of our risk management framework and quantitative models; changes in the levels of our nonperforming assets and charge-offs; the transition away from USD LIBOR and uncertainties regarding potential alternative reference rates, including SOFR;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securities held by us; possible impairment charges to goodwill; changes in business or consumer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including alternative forms of payment or currency that could result in the disintermediation of traditional banks;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such as the COVID-19 pandemic, and their effects on the economic, business and regulatory environments in which we operate, including on our credit quality and business operations, and on our customers, employees and managers, as well as the impact on general economic and financial market conditions; cybersecurity and fraud threats and the costs of defending against them, including the costs of compliance with existing and potential legislation to combat cybersecurity and fraud threats at a state, national, or global level; our ability to remain in compliance with federal and state laws and regulations involving customer and employee privacy; our ability to recruit and retain key executives, board members and other managers and employees, and changes in employment laws and regulations; unanticipated or ongoing regulatory or legal proceedings; and our ability to manage the risks involved in the foregoing.</w:t>
      </w:r>
    </w:p>
    <w:p>
      <w:pPr>
        <w:spacing w:after="0" w:line="100" w:lineRule="exact"/>
        <w:rPr>
          <w:sz w:val="20"/>
          <w:szCs w:val="20"/>
          <w:color w:val="auto"/>
        </w:rPr>
      </w:pPr>
    </w:p>
    <w:p>
      <w:pPr>
        <w:ind w:right="120" w:firstLine="637"/>
        <w:spacing w:after="0" w:line="261" w:lineRule="auto"/>
        <w:rPr>
          <w:sz w:val="20"/>
          <w:szCs w:val="20"/>
          <w:color w:val="auto"/>
        </w:rPr>
      </w:pPr>
      <w:r>
        <w:rPr>
          <w:rFonts w:ascii="Times New Roman" w:cs="Times New Roman" w:eastAsia="Times New Roman" w:hAnsi="Times New Roman"/>
          <w:sz w:val="18"/>
          <w:szCs w:val="18"/>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CVB Financial Corp.</w:t>
      </w:r>
    </w:p>
    <w:p>
      <w:pPr>
        <w:spacing w:after="0" w:line="188"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CVB Financial Corp. (referred to herein on an unconsolidated basis as “CVB” and on a consolidated basis as “we”, “our” or the “Company”) is a bank holding company incorporated in California on April 27, 1981 and registered with the Board of Governors of the Federal Reserve System (“Federal Reserve”) under the Bank Holding Company Act of 1956, as amended (the “Bank Holding Company Act”). The Company commenced business on December 30, 1981 when, pursuant to a reorganization, it acquired all of the voting stock of Chino Valley Bank. On March 29, 1996, Chino Valley Bank changed its name to Citizens Business Bank (“CBB” or the “Bank”). The Bank is our principal asset. The Company has one inactive subsidiary, Chino Valley Bancorp.</w:t>
      </w:r>
    </w:p>
    <w:p>
      <w:pPr>
        <w:spacing w:after="0" w:line="145"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 xml:space="preserve">CVB’s principal business is to serve as a holding company for the Bank and for other banking or banking related subsidiaries, which the Company may establish or acquire. CVB has not engaged in any other material activities to date. As a legal entity separate and distinct from its subsidiaries, CVB’s principal source of funds is, and will continue to be, dividends paid by and other funds advanced from the Bank and capital raised directly by CVB. Legal limitations are imposed on the amount of dividends that may be paid and loans that may be made by the Bank to CVB. See “Item 1. </w:t>
      </w:r>
      <w:r>
        <w:rPr>
          <w:rFonts w:ascii="Times New Roman" w:cs="Times New Roman" w:eastAsia="Times New Roman" w:hAnsi="Times New Roman"/>
          <w:sz w:val="18"/>
          <w:szCs w:val="18"/>
          <w:i w:val="1"/>
          <w:iCs w:val="1"/>
          <w:color w:val="auto"/>
        </w:rPr>
        <w:t>Business —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Supervision — Dividends</w:t>
      </w:r>
      <w:r>
        <w:rPr>
          <w:rFonts w:ascii="Times New Roman" w:cs="Times New Roman" w:eastAsia="Times New Roman" w:hAnsi="Times New Roman"/>
          <w:sz w:val="18"/>
          <w:szCs w:val="18"/>
          <w:color w:val="auto"/>
        </w:rPr>
        <w:t>.” As of December 31, 2022, the Company had $16.48 billion in total consolidated assets, $8.99 billion in net loans, $12.84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in deposits, and $1.95 billion in shareholders’ equity.</w:t>
      </w:r>
    </w:p>
    <w:p>
      <w:pPr>
        <w:spacing w:after="0" w:line="159"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The principal executive offices of CVB and the Bank are located at 701 North Haven Avenue, Suite 350, Ontario, California. Our phone number is (909) 980-4030.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Citizens Business Bank</w:t>
      </w:r>
    </w:p>
    <w:p>
      <w:pPr>
        <w:spacing w:after="0" w:line="188" w:lineRule="exact"/>
        <w:rPr>
          <w:sz w:val="20"/>
          <w:szCs w:val="20"/>
          <w:color w:val="auto"/>
        </w:rPr>
      </w:pPr>
    </w:p>
    <w:p>
      <w:pPr>
        <w:ind w:right="380" w:firstLine="637"/>
        <w:spacing w:after="0" w:line="265" w:lineRule="auto"/>
        <w:rPr>
          <w:sz w:val="20"/>
          <w:szCs w:val="20"/>
          <w:color w:val="auto"/>
        </w:rPr>
      </w:pPr>
      <w:r>
        <w:rPr>
          <w:rFonts w:ascii="Times New Roman" w:cs="Times New Roman" w:eastAsia="Times New Roman" w:hAnsi="Times New Roman"/>
          <w:sz w:val="18"/>
          <w:szCs w:val="18"/>
          <w:color w:val="auto"/>
        </w:rPr>
        <w:t>The Bank commenced operations as a California state-chartered bank on August 9, 1974. The Bank’s deposit accounts are insured under the Federal Deposit Insurance Act up to applicable limits. The Bank is not a member of the Federal Reserve System. At December 31, 2022, the Bank had $16.47 billion in assets, $8.99 billion in net loans, $12.88 billion in deposits, and $1.93 billion in total equity.</w:t>
      </w:r>
    </w:p>
    <w:p>
      <w:pPr>
        <w:spacing w:after="0" w:line="150" w:lineRule="exact"/>
        <w:rPr>
          <w:sz w:val="20"/>
          <w:szCs w:val="20"/>
          <w:color w:val="auto"/>
        </w:rPr>
      </w:pPr>
    </w:p>
    <w:p>
      <w:pPr>
        <w:ind w:right="160" w:firstLine="637"/>
        <w:spacing w:after="0" w:line="281" w:lineRule="auto"/>
        <w:rPr>
          <w:sz w:val="20"/>
          <w:szCs w:val="20"/>
          <w:color w:val="auto"/>
        </w:rPr>
      </w:pPr>
      <w:r>
        <w:rPr>
          <w:rFonts w:ascii="Times New Roman" w:cs="Times New Roman" w:eastAsia="Times New Roman" w:hAnsi="Times New Roman"/>
          <w:sz w:val="18"/>
          <w:szCs w:val="18"/>
          <w:color w:val="auto"/>
        </w:rPr>
        <w:t>As of December 31, 2022, the Bank had 62 Banking Centers (“Centers”) located in the Inland Empire, Los Angeles County, Orange County, San Diego County, Ventura County, Santa Barbara County, and the Central Valley area of California.</w:t>
      </w:r>
    </w:p>
    <w:p>
      <w:pPr>
        <w:spacing w:after="0" w:line="122" w:lineRule="exact"/>
        <w:rPr>
          <w:sz w:val="20"/>
          <w:szCs w:val="20"/>
          <w:color w:val="auto"/>
        </w:rPr>
      </w:pPr>
    </w:p>
    <w:p>
      <w:pPr>
        <w:ind w:right="80" w:firstLine="637"/>
        <w:spacing w:after="0" w:line="271" w:lineRule="auto"/>
        <w:rPr>
          <w:sz w:val="20"/>
          <w:szCs w:val="20"/>
          <w:color w:val="auto"/>
        </w:rPr>
      </w:pPr>
      <w:r>
        <w:rPr>
          <w:rFonts w:ascii="Times New Roman" w:cs="Times New Roman" w:eastAsia="Times New Roman" w:hAnsi="Times New Roman"/>
          <w:sz w:val="17"/>
          <w:szCs w:val="17"/>
          <w:color w:val="auto"/>
        </w:rPr>
        <w:t>On January 7, 2022 we completed the acquisition of Suncrest Bank ("Suncrest"), in Visalia, California with approximately $1.4 billion in total assets, acquired at fair value. Total assets at the time of the acquisition, included $765.9 million of acquired net loans at fair value, $131.1 million of investment securities, and $9 million in Bank-Owned Life Insurance ("BOLI"). The acquisition resulted in $102.1 million of goodwill and $3.9 million in core deposit premium. Net cash proceeds were used to fund the $39.6 million in cash paid to the former shareholders of Suncrest as part of the merger consideration. The total fair value of liabilities assumed included $1.2 billion in total deposits. In connection with the acquisition, the Bank acquired seven Centers and two loan production offices in California’s Central Valley and the Sacramento area. Of the seven acquired centers, two centers, that were each within two miles of the Bank's existing centers, were consolidated into existing Citizens Business Bank centers during the second quarter of 2022. Refer to Note 4 – Business Combinations of the notes to the unaudited condensed consolidated financial statements of this report for additional information.</w:t>
      </w:r>
    </w:p>
    <w:p>
      <w:pPr>
        <w:spacing w:after="0" w:line="135" w:lineRule="exact"/>
        <w:rPr>
          <w:sz w:val="20"/>
          <w:szCs w:val="20"/>
          <w:color w:val="auto"/>
        </w:rPr>
      </w:pPr>
    </w:p>
    <w:p>
      <w:pPr>
        <w:ind w:right="180" w:firstLine="637"/>
        <w:spacing w:after="0" w:line="281" w:lineRule="auto"/>
        <w:rPr>
          <w:sz w:val="20"/>
          <w:szCs w:val="20"/>
          <w:color w:val="auto"/>
        </w:rPr>
      </w:pPr>
      <w:r>
        <w:rPr>
          <w:rFonts w:ascii="Times New Roman" w:cs="Times New Roman" w:eastAsia="Times New Roman" w:hAnsi="Times New Roman"/>
          <w:sz w:val="18"/>
          <w:szCs w:val="18"/>
          <w:color w:val="auto"/>
        </w:rPr>
        <w:t>We also have four trust offices located in Ontario, Newport Beach, Pasadena, and Bakersfield. These offices serve as sales offices for the Bank’s wealth management, trust and investment products.</w:t>
      </w:r>
    </w:p>
    <w:p>
      <w:pPr>
        <w:spacing w:after="0" w:line="136" w:lineRule="exact"/>
        <w:rPr>
          <w:sz w:val="20"/>
          <w:szCs w:val="20"/>
          <w:color w:val="auto"/>
        </w:rPr>
      </w:pPr>
    </w:p>
    <w:p>
      <w:pPr>
        <w:ind w:right="340" w:firstLine="637"/>
        <w:spacing w:after="0" w:line="265" w:lineRule="auto"/>
        <w:rPr>
          <w:sz w:val="20"/>
          <w:szCs w:val="20"/>
          <w:color w:val="auto"/>
        </w:rPr>
      </w:pPr>
      <w:r>
        <w:rPr>
          <w:rFonts w:ascii="Times New Roman" w:cs="Times New Roman" w:eastAsia="Times New Roman" w:hAnsi="Times New Roman"/>
          <w:sz w:val="18"/>
          <w:szCs w:val="18"/>
          <w:color w:val="auto"/>
        </w:rPr>
        <w:t>Through our network of Centers, we emphasize personalized service combined with a wide range of banking and trust services for businesses, professionals and individuals located in the service areas of our Centers. Although we focus the marketing of our services to small-and medium-sized businesses, a wide range of banking, investment and trust services are made available to the markets we serve.</w:t>
      </w:r>
    </w:p>
    <w:p>
      <w:pPr>
        <w:spacing w:after="0" w:line="137" w:lineRule="exact"/>
        <w:rPr>
          <w:sz w:val="20"/>
          <w:szCs w:val="20"/>
          <w:color w:val="auto"/>
        </w:rPr>
      </w:pPr>
    </w:p>
    <w:p>
      <w:pPr>
        <w:ind w:right="80" w:firstLine="637"/>
        <w:spacing w:after="0" w:line="265" w:lineRule="auto"/>
        <w:rPr>
          <w:sz w:val="20"/>
          <w:szCs w:val="20"/>
          <w:color w:val="auto"/>
        </w:rPr>
      </w:pPr>
      <w:r>
        <w:rPr>
          <w:rFonts w:ascii="Times New Roman" w:cs="Times New Roman" w:eastAsia="Times New Roman" w:hAnsi="Times New Roman"/>
          <w:sz w:val="18"/>
          <w:szCs w:val="18"/>
          <w:color w:val="auto"/>
        </w:rPr>
        <w:t>We offer a wide range of bank deposit instruments. These include checking, savings, money market and time certificates of deposit for both business and personal accounts, municipalities and districts, and specialized deposit products for title and escrow. We also serve as a federal tax depository for our business customers.</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jc w:val="both"/>
        <w:ind w:firstLine="637"/>
        <w:spacing w:after="0" w:line="272" w:lineRule="auto"/>
        <w:rPr>
          <w:sz w:val="20"/>
          <w:szCs w:val="20"/>
          <w:color w:val="auto"/>
        </w:rPr>
      </w:pPr>
      <w:r>
        <w:rPr>
          <w:rFonts w:ascii="Times New Roman" w:cs="Times New Roman" w:eastAsia="Times New Roman" w:hAnsi="Times New Roman"/>
          <w:sz w:val="17"/>
          <w:szCs w:val="17"/>
          <w:color w:val="auto"/>
        </w:rPr>
        <w:t>We provide a full complement of lending products, including commercial, agribusiness, consumer, SBA loans, real estate loans, construction loans and equipment and vehicle leasing. Commercial products include lines of credit and other working capital financing, accounts receivable lending and letters of credit. Agribusiness products are loans to finance the operating needs of wholesale dairy farm operations, cattle feeders, livestock raisers, and farmers.</w:t>
      </w:r>
    </w:p>
    <w:p>
      <w:pPr>
        <w:spacing w:after="0" w:line="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provide bank qualified lease financing for municipal governments. Commercial real estate and construction loans are secured by a range of property types and include both owner-occupied and investor owned properties. We also offer borrowers the ability to enter into interest rate swaps. Financing products for consumers include automobile leasing and financing, lines of credit, credit cards, home mortgages, and home equity loans and lines of credit.</w:t>
      </w:r>
    </w:p>
    <w:p>
      <w:pPr>
        <w:spacing w:after="0" w:line="141" w:lineRule="exact"/>
        <w:rPr>
          <w:sz w:val="20"/>
          <w:szCs w:val="20"/>
          <w:color w:val="auto"/>
        </w:rPr>
      </w:pPr>
    </w:p>
    <w:p>
      <w:pPr>
        <w:ind w:right="80" w:firstLine="637"/>
        <w:spacing w:after="0" w:line="258" w:lineRule="auto"/>
        <w:rPr>
          <w:sz w:val="20"/>
          <w:szCs w:val="20"/>
          <w:color w:val="auto"/>
        </w:rPr>
      </w:pPr>
      <w:r>
        <w:rPr>
          <w:rFonts w:ascii="Times New Roman" w:cs="Times New Roman" w:eastAsia="Times New Roman" w:hAnsi="Times New Roman"/>
          <w:sz w:val="18"/>
          <w:szCs w:val="18"/>
          <w:color w:val="auto"/>
        </w:rPr>
        <w:t>We also offer a wide range of specialized services designed for the needs of our commercial customers. These services include treasury management systems for monitoring and managing cash flow, a merchant card processing program, armored pick-up and delivery, payroll services, remote deposit capture, electronic funds transfers, domestic and international wires and automated clearinghouse, and on-line account access. We make available investment products offered by other providers to our customers, including mutual funds, a full array of fixed income vehicles and a program to diversify our customers’ funds in federally insured time certificates of deposit of other institutions.</w:t>
      </w:r>
    </w:p>
    <w:p>
      <w:pPr>
        <w:spacing w:after="0" w:line="141" w:lineRule="exact"/>
        <w:rPr>
          <w:sz w:val="20"/>
          <w:szCs w:val="20"/>
          <w:color w:val="auto"/>
        </w:rPr>
      </w:pPr>
    </w:p>
    <w:p>
      <w:pPr>
        <w:ind w:right="420" w:firstLine="637"/>
        <w:spacing w:after="0" w:line="281" w:lineRule="auto"/>
        <w:rPr>
          <w:sz w:val="20"/>
          <w:szCs w:val="20"/>
          <w:color w:val="auto"/>
        </w:rPr>
      </w:pPr>
      <w:r>
        <w:rPr>
          <w:rFonts w:ascii="Times New Roman" w:cs="Times New Roman" w:eastAsia="Times New Roman" w:hAnsi="Times New Roman"/>
          <w:sz w:val="18"/>
          <w:szCs w:val="18"/>
          <w:color w:val="auto"/>
        </w:rPr>
        <w:t>In addition, we offer a wide range of financial services and trust services through our CitizensTrust division. These services include fiduciary services, mutual funds, annuities, 401(k) plans and individual investment accounts.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00" w:lineRule="exact"/>
        <w:rPr>
          <w:sz w:val="20"/>
          <w:szCs w:val="20"/>
          <w:color w:val="auto"/>
        </w:rPr>
      </w:pPr>
    </w:p>
    <w:p>
      <w:pPr>
        <w:ind w:right="480" w:firstLine="637"/>
        <w:spacing w:after="0" w:line="267" w:lineRule="auto"/>
        <w:rPr>
          <w:sz w:val="20"/>
          <w:szCs w:val="20"/>
          <w:color w:val="auto"/>
        </w:rPr>
      </w:pPr>
      <w:r>
        <w:rPr>
          <w:rFonts w:ascii="Times New Roman" w:cs="Times New Roman" w:eastAsia="Times New Roman" w:hAnsi="Times New Roman"/>
          <w:sz w:val="18"/>
          <w:szCs w:val="18"/>
          <w:color w:val="auto"/>
        </w:rPr>
        <w:t xml:space="preserve">We are a community bank with one reportable operating segment. See the sections captioned “Business Segments” in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and Note 3 —</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Business Segments </w:t>
      </w:r>
      <w:r>
        <w:rPr>
          <w:rFonts w:ascii="Times New Roman" w:cs="Times New Roman" w:eastAsia="Times New Roman" w:hAnsi="Times New Roman"/>
          <w:sz w:val="18"/>
          <w:szCs w:val="18"/>
          <w:color w:val="auto"/>
        </w:rPr>
        <w:t>of the notes to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8" w:lineRule="exact"/>
        <w:rPr>
          <w:sz w:val="20"/>
          <w:szCs w:val="20"/>
          <w:color w:val="auto"/>
        </w:rPr>
      </w:pPr>
    </w:p>
    <w:p>
      <w:pPr>
        <w:ind w:right="120" w:firstLine="637"/>
        <w:spacing w:after="0" w:line="258" w:lineRule="auto"/>
        <w:rPr>
          <w:sz w:val="20"/>
          <w:szCs w:val="20"/>
          <w:color w:val="auto"/>
        </w:rPr>
      </w:pPr>
      <w:r>
        <w:rPr>
          <w:rFonts w:ascii="Times New Roman" w:cs="Times New Roman" w:eastAsia="Times New Roman" w:hAnsi="Times New Roman"/>
          <w:sz w:val="18"/>
          <w:szCs w:val="18"/>
          <w:color w:val="auto"/>
        </w:rPr>
        <w:t>We employed 1,072 associates as of December 31, 2022. This was a 5.6% increase from 1,015 associates at December 31, 2021. Our Code of Personal and Business Conduct and Ethics (“Code”) addresses both business and social relationships that may present legal and ethical concerns and also sets forth a code of conduct to guide the members of the Board of Directors and associates. Our associates acknowledge annually they have read and understood their responsibility to conduct business in accordance with the highest ethical standards in order to merit and maintain the confidence and trust of our customers and the public in general.</w:t>
      </w:r>
    </w:p>
    <w:p>
      <w:pPr>
        <w:spacing w:after="0" w:line="155" w:lineRule="exact"/>
        <w:rPr>
          <w:sz w:val="20"/>
          <w:szCs w:val="20"/>
          <w:color w:val="auto"/>
        </w:rPr>
      </w:pPr>
    </w:p>
    <w:p>
      <w:pPr>
        <w:ind w:right="480" w:firstLine="637"/>
        <w:spacing w:after="0" w:line="281" w:lineRule="auto"/>
        <w:rPr>
          <w:sz w:val="20"/>
          <w:szCs w:val="20"/>
          <w:color w:val="auto"/>
        </w:rPr>
      </w:pPr>
      <w:r>
        <w:rPr>
          <w:rFonts w:ascii="Times New Roman" w:cs="Times New Roman" w:eastAsia="Times New Roman" w:hAnsi="Times New Roman"/>
          <w:sz w:val="18"/>
          <w:szCs w:val="18"/>
          <w:color w:val="auto"/>
        </w:rPr>
        <w:t>The Company promotes Five Core Values that we believe provides a continuing commitment and direction to our business activities and our underlying culture. These core values are fundamental to the Company’s performance and strategy.</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Five Core Values are:</w:t>
      </w:r>
    </w:p>
    <w:p>
      <w:pPr>
        <w:spacing w:after="0" w:line="184" w:lineRule="exact"/>
        <w:rPr>
          <w:sz w:val="20"/>
          <w:szCs w:val="20"/>
          <w:color w:val="auto"/>
        </w:rPr>
      </w:pPr>
    </w:p>
    <w:p>
      <w:pPr>
        <w:ind w:left="1100" w:hanging="2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Strength;</w:t>
      </w:r>
    </w:p>
    <w:p>
      <w:pPr>
        <w:spacing w:after="0" w:line="27" w:lineRule="exact"/>
        <w:rPr>
          <w:rFonts w:ascii="Times New Roman" w:cs="Times New Roman" w:eastAsia="Times New Roman" w:hAnsi="Times New Roman"/>
          <w:sz w:val="18"/>
          <w:szCs w:val="18"/>
          <w:color w:val="auto"/>
        </w:rPr>
      </w:pPr>
    </w:p>
    <w:p>
      <w:pPr>
        <w:ind w:left="1100" w:hanging="2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People;</w:t>
      </w:r>
    </w:p>
    <w:p>
      <w:pPr>
        <w:spacing w:after="0" w:line="8" w:lineRule="exact"/>
        <w:rPr>
          <w:rFonts w:ascii="Times New Roman" w:cs="Times New Roman" w:eastAsia="Times New Roman" w:hAnsi="Times New Roman"/>
          <w:sz w:val="18"/>
          <w:szCs w:val="18"/>
          <w:color w:val="auto"/>
        </w:rPr>
      </w:pPr>
    </w:p>
    <w:p>
      <w:pPr>
        <w:ind w:left="1100" w:hanging="2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Focus;</w:t>
      </w:r>
    </w:p>
    <w:p>
      <w:pPr>
        <w:spacing w:after="0" w:line="8" w:lineRule="exact"/>
        <w:rPr>
          <w:rFonts w:ascii="Times New Roman" w:cs="Times New Roman" w:eastAsia="Times New Roman" w:hAnsi="Times New Roman"/>
          <w:sz w:val="18"/>
          <w:szCs w:val="18"/>
          <w:color w:val="auto"/>
        </w:rPr>
      </w:pPr>
    </w:p>
    <w:p>
      <w:pPr>
        <w:ind w:left="1100" w:hanging="2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Operation; and</w:t>
      </w:r>
    </w:p>
    <w:p>
      <w:pPr>
        <w:spacing w:after="0" w:line="8" w:lineRule="exact"/>
        <w:rPr>
          <w:rFonts w:ascii="Times New Roman" w:cs="Times New Roman" w:eastAsia="Times New Roman" w:hAnsi="Times New Roman"/>
          <w:sz w:val="18"/>
          <w:szCs w:val="18"/>
          <w:color w:val="auto"/>
        </w:rPr>
      </w:pPr>
    </w:p>
    <w:p>
      <w:pPr>
        <w:ind w:left="1100" w:hanging="2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Fun.</w:t>
      </w:r>
    </w:p>
    <w:p>
      <w:pPr>
        <w:spacing w:after="0" w:line="179" w:lineRule="exact"/>
        <w:rPr>
          <w:sz w:val="20"/>
          <w:szCs w:val="20"/>
          <w:color w:val="auto"/>
        </w:rPr>
      </w:pPr>
    </w:p>
    <w:p>
      <w:pPr>
        <w:ind w:right="40" w:firstLine="637"/>
        <w:spacing w:after="0" w:line="260" w:lineRule="auto"/>
        <w:rPr>
          <w:sz w:val="20"/>
          <w:szCs w:val="20"/>
          <w:color w:val="auto"/>
        </w:rPr>
      </w:pPr>
      <w:r>
        <w:rPr>
          <w:rFonts w:ascii="Times New Roman" w:cs="Times New Roman" w:eastAsia="Times New Roman" w:hAnsi="Times New Roman"/>
          <w:sz w:val="18"/>
          <w:szCs w:val="18"/>
          <w:color w:val="auto"/>
        </w:rPr>
        <w:t>The Company’s Citizens Experience Service Awards and Recognition Program resulted in 439 nominations of associates who were recognized for exemplifying our Five Core Values in 2022, representing an 11% increase over 2021. Of those nominations, 280 received service awards. In addition, the Company has a long held tradition of an annual awards program that recognizes outstanding job performance. In December of 2022, we held our annual awards ceremony that recognized 38 associates, who stood out for their commitment to our high standards of performance.</w:t>
      </w:r>
    </w:p>
    <w:p>
      <w:pPr>
        <w:spacing w:after="0" w:line="14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Company is committed to supporting the physical and financial wellness of our associates and their families. We offer a comprehensive set of health insurance and retirement benefits, as well as wellness programs and resources. As of December 2022, 68% of our associates were enrolled in our medical insurance plans and 65% of our associates participated in at least one wellness activity during 2022. The Company makes an annual 401(k) retirement contribution to all eligible associates, which includes a profit sharing component. For 2022, the combined Company 401(k) contribution was 6% of associate’s eligible salary. In addition, 93% of our associates made individual participant contributions to the 401(k) plan during 2022.</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5" w:name="page6"/>
    <w:bookmarkEnd w:id="5"/>
    <w:p>
      <w:pPr>
        <w:ind w:right="40" w:firstLine="637"/>
        <w:spacing w:after="0" w:line="258" w:lineRule="auto"/>
        <w:rPr>
          <w:sz w:val="20"/>
          <w:szCs w:val="20"/>
          <w:color w:val="auto"/>
        </w:rPr>
      </w:pPr>
      <w:r>
        <w:rPr>
          <w:rFonts w:ascii="Times New Roman" w:cs="Times New Roman" w:eastAsia="Times New Roman" w:hAnsi="Times New Roman"/>
          <w:sz w:val="18"/>
          <w:szCs w:val="18"/>
          <w:color w:val="auto"/>
        </w:rPr>
        <w:t>Recruiting, training and development, and retention of key associates is vital to the Company’s strategy and success. The Company promotes leadership and associate development through various programs, including succession planning, top talent program, and leadership essentials training. At December 31, 2022, we had approximately 137 positions within the Company designated as “leadership” positions. This represents approximately 13% of our total associates. The average tenure at the Company among our leadership group at the end of 2022 was greater than 10 years. In 2022, turnover among our leadership group was 9% and during the year we promoted 4 associates and hired 10 new associates into our leadership group.</w:t>
      </w:r>
    </w:p>
    <w:p>
      <w:pPr>
        <w:spacing w:after="0" w:line="74" w:lineRule="exact"/>
        <w:rPr>
          <w:sz w:val="20"/>
          <w:szCs w:val="20"/>
          <w:color w:val="auto"/>
        </w:rPr>
      </w:pPr>
    </w:p>
    <w:p>
      <w:pPr>
        <w:ind w:right="40" w:firstLine="637"/>
        <w:spacing w:after="0" w:line="252" w:lineRule="auto"/>
        <w:rPr>
          <w:sz w:val="20"/>
          <w:szCs w:val="20"/>
          <w:color w:val="auto"/>
        </w:rPr>
      </w:pPr>
      <w:r>
        <w:rPr>
          <w:rFonts w:ascii="Times New Roman" w:cs="Times New Roman" w:eastAsia="Times New Roman" w:hAnsi="Times New Roman"/>
          <w:sz w:val="18"/>
          <w:szCs w:val="18"/>
          <w:color w:val="auto"/>
        </w:rPr>
        <w:t>The Company’s Diversity and Inclusion Program is designed to invest in the professional development of our associates and values an inclusive and diverse workplace. We strive to reward talent, with a commitment to equal opportunity. Oversight is provided by the Company’s Diversity and Inclusion Committee, which is guided by our Diversity and Inclusion Policy. The Policy provides a framework which we use to create and strengthen our diversity policies and practices, including our organizational commitment to diversity, positive workforce and employment practices, sound procurement and business practices, and practices to promote transparency of organizational diversity and inclusion. The Diversity and Inclusion Committee is co-chaired by our Chief Operating Officer and Human Resources Director and includes our Chief Financial Officer, Chief Risk Officer, and General Counsel. In 2021, the Company launched a Diversity, Engagement, and Inclusion ("DEI") Council to continue our commitment to fostering, cultivating, and preserving a culture of diversity and inclusion. The DEI Council is led by our Director of Human Resources and the Associate Engagement Manager, as well as an additional member of our Senior Leadership team. Members of the Council represent a cross section of our associates across numerous departments. The DEI Council discusses ways to encourage diversity and inclusion among associates and serve as ambassadors when it comes to implementing our Core Values regarding diversity and inclusion. We monitor progress in enhancing diversity throughout our organization, including the percentage of our total associates who are female and racially or ethnically diverse. Our Human Resources Director provides updates on our progress to the Board of Directors on a regular basis. The following represents the Company’s diversity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272415</wp:posOffset>
            </wp:positionV>
            <wp:extent cx="5651500" cy="2046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1500"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38% of our Board of Directors are female or ethnically diverse.</w:t>
      </w:r>
    </w:p>
    <w:p>
      <w:pPr>
        <w:spacing w:after="0" w:line="184"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Board of Directors oversees executive compensation, as well as the Company’s compensation and benefit plans, through the Board’s Compensation Committee. The Management Compensation Compliance Committee, under the direction of the Compensation Committee, identifies, assesses, and manages exposure to and compliance with applicable compensation laws, regulations, and other related issues. In general, the Management Compensation Compliance Committee is responsible for ensuring that the Company has designed and implemented risk management processes that (1) evaluate the nature of inherent risks in compensation programs; (2) are consistent with the Company’s strategic plan; and (3) foster a culture of risk-awareness and risk-adjusted decision making throughout the Company. All of our associates are eligible for incentive compensation awards. For 2022, 94% of our associates earned an incentive bonus, which compares to 92% in 2021.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jc w:val="both"/>
        <w:ind w:right="20" w:firstLine="637"/>
        <w:spacing w:after="0" w:line="265" w:lineRule="auto"/>
        <w:rPr>
          <w:sz w:val="20"/>
          <w:szCs w:val="20"/>
          <w:color w:val="auto"/>
        </w:rPr>
      </w:pPr>
      <w:r>
        <w:rPr>
          <w:rFonts w:ascii="Times New Roman" w:cs="Times New Roman" w:eastAsia="Times New Roman" w:hAnsi="Times New Roman"/>
          <w:sz w:val="18"/>
          <w:szCs w:val="18"/>
          <w:color w:val="auto"/>
        </w:rPr>
        <w:t>The banking and financial services business is highly competitive. The competitive environment faced by banks is a result primarily of changes in laws and regulations, changes in technology and product delivery systems, and the ongoing consolidation among insured financial institutions. We compete for loans, deposits, and customers with other commercial</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6" w:name="page7"/>
    <w:bookmarkEnd w:id="6"/>
    <w:p>
      <w:pPr>
        <w:ind w:right="140"/>
        <w:spacing w:after="0" w:line="258" w:lineRule="auto"/>
        <w:rPr>
          <w:sz w:val="20"/>
          <w:szCs w:val="20"/>
          <w:color w:val="auto"/>
        </w:rPr>
      </w:pPr>
      <w:r>
        <w:rPr>
          <w:rFonts w:ascii="Times New Roman" w:cs="Times New Roman" w:eastAsia="Times New Roman" w:hAnsi="Times New Roman"/>
          <w:sz w:val="18"/>
          <w:szCs w:val="18"/>
          <w:color w:val="auto"/>
        </w:rPr>
        <w:t>banks, savings and loan associations, savings banks, securities and brokerage companies, mortgage companies, insurance companies, finance companies, blockchain and cryptocurrency companies, money market funds, credit unions, and other nonbank financial service providers, including online banks and “peer-to-peer” or “marketplace” payment processors, FinTech companies, lenders and other small business and consumer lenders. Many competitors are much larger in total assets and capitalization, have greater access to capital markets and/or offer a broader range of financial products and services. Additionally, some smaller competitors, including non-bank entities, may be more nimble and responsive to customer preferences or requirements.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Conditions/Government Policies</w:t>
      </w:r>
    </w:p>
    <w:p>
      <w:pPr>
        <w:spacing w:after="0" w:line="188" w:lineRule="exact"/>
        <w:rPr>
          <w:sz w:val="20"/>
          <w:szCs w:val="20"/>
          <w:color w:val="auto"/>
        </w:rPr>
      </w:pPr>
    </w:p>
    <w:p>
      <w:pPr>
        <w:ind w:firstLine="637"/>
        <w:spacing w:after="0" w:line="258" w:lineRule="auto"/>
        <w:rPr>
          <w:sz w:val="20"/>
          <w:szCs w:val="20"/>
          <w:color w:val="auto"/>
        </w:rPr>
      </w:pPr>
      <w:r>
        <w:rPr>
          <w:rFonts w:ascii="Times New Roman" w:cs="Times New Roman" w:eastAsia="Times New Roman" w:hAnsi="Times New Roman"/>
          <w:sz w:val="18"/>
          <w:szCs w:val="18"/>
          <w:color w:val="auto"/>
        </w:rPr>
        <w:t>Our profitability, like most financial institutions, is primarily dependent on interest rate spreads and noninterest income. In general, the difference between the interest rates paid by the Bank on interest-bearing liabilities, such as deposits and borrowings, and the interest rates received by the Bank on interest-earning assets, such as loans extended to customers and securities held in the investment portfolio, will comprise the major portion of our earnings. These rates are highly sensitive to many factors that are beyond our control, such as inflation, recession and unemployment, government monetary and other policies, and the impact which future changes in domestic and foreign economic conditions might have on us cannot be predicted.</w:t>
      </w:r>
    </w:p>
    <w:p>
      <w:pPr>
        <w:spacing w:after="0" w:line="141" w:lineRule="exact"/>
        <w:rPr>
          <w:sz w:val="20"/>
          <w:szCs w:val="20"/>
          <w:color w:val="auto"/>
        </w:rPr>
      </w:pPr>
    </w:p>
    <w:p>
      <w:pPr>
        <w:jc w:val="both"/>
        <w:ind w:right="300" w:firstLine="637"/>
        <w:spacing w:after="0" w:line="260" w:lineRule="auto"/>
        <w:rPr>
          <w:sz w:val="20"/>
          <w:szCs w:val="20"/>
          <w:color w:val="auto"/>
        </w:rPr>
      </w:pPr>
      <w:r>
        <w:rPr>
          <w:rFonts w:ascii="Times New Roman" w:cs="Times New Roman" w:eastAsia="Times New Roman" w:hAnsi="Times New Roman"/>
          <w:sz w:val="18"/>
          <w:szCs w:val="18"/>
          <w:color w:val="auto"/>
        </w:rPr>
        <w:t>Opportunity for banks to earn fees and other noninterest income have also been limited by restrictions imposed by the Dodd-Frank Wall Street Reform and Consumer Protection Act (“Dodd-Frank”) and other government regulations. As the following sections indicate, the impact of current and future changes in government laws and regulations on our ability to maintain current levels of fees and other noninterest income could be material and cannot be predicted.</w:t>
      </w:r>
    </w:p>
    <w:p>
      <w:pPr>
        <w:spacing w:after="0" w:line="155" w:lineRule="exact"/>
        <w:rPr>
          <w:sz w:val="20"/>
          <w:szCs w:val="20"/>
          <w:color w:val="auto"/>
        </w:rPr>
      </w:pPr>
    </w:p>
    <w:p>
      <w:pPr>
        <w:ind w:right="40" w:firstLine="637"/>
        <w:spacing w:after="0" w:line="253" w:lineRule="auto"/>
        <w:rPr>
          <w:sz w:val="20"/>
          <w:szCs w:val="20"/>
          <w:color w:val="auto"/>
        </w:rPr>
      </w:pPr>
      <w:r>
        <w:rPr>
          <w:rFonts w:ascii="Times New Roman" w:cs="Times New Roman" w:eastAsia="Times New Roman" w:hAnsi="Times New Roman"/>
          <w:sz w:val="18"/>
          <w:szCs w:val="18"/>
          <w:color w:val="auto"/>
        </w:rPr>
        <w:t>Our business is also influenced by the monetary and fiscal policies of the federal government and the policies of regulatory agencies, particularly the Federal Reserve. The Federal Reserve implements national monetary policies (with objectives such as curbing inflation, increasing employment and combating recession) through its open-market operations in U.S. Government securities by buying and selling treasury and mortgage-backed securities, by adjusting the required level of reserves for depository institutions subject to its reserve requirements, and by varying the target federal funds and discount rates applicable to borrowings by depository institutions. The actions of the Federal Reserve in these areas influence the growth and performance of bank loans, investments, and deposits and also affect interest earned on interest-earning assets and paid on interest-bearing liabilities. In recent years, the impact of the Federal Reserve’s actions and policies have tended to assume even greater importance and impact on the lending and securities markets, and these actions and policies are continuing to evolve and change based on political and economic events and incoming data. Government fiscal and budgetary policies, including deficit spending, can also have a significant impact on the capital markets and interest rates. The nature and impact of any future changes in monetary and fiscal policies on us cannot be predicted.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Supervision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right="20" w:firstLine="637"/>
        <w:spacing w:after="0" w:line="255" w:lineRule="auto"/>
        <w:rPr>
          <w:sz w:val="20"/>
          <w:szCs w:val="20"/>
          <w:color w:val="auto"/>
        </w:rPr>
      </w:pPr>
      <w:r>
        <w:rPr>
          <w:rFonts w:ascii="Times New Roman" w:cs="Times New Roman" w:eastAsia="Times New Roman" w:hAnsi="Times New Roman"/>
          <w:sz w:val="18"/>
          <w:szCs w:val="18"/>
          <w:color w:val="auto"/>
        </w:rPr>
        <w:t>The Bank is subject to significant regulation and restrictions under applicable federal and state laws and by various regulatory agencies. These regulations and restrictions are intended primarily for the protection of depositors and the Federal Deposit Insurance Corporation (“FDIC”) Deposit Insurance Fund (“DIF”) and for the protection of borrowers, and secondarily for the stability of the U.S. banking system. The following discussion of statutes and regulations is a summary and does not purport to be complete nor does it address all applicable statutes and regulations. This discussion is qualified in its entirety by reference to the statutes and regulations referred to in this discussion. From time to time, federal and state legislation is enacted and implemented by regulations which may have the effect of materially increasing the cost of doing business, limiting or expanding permissible activities, or affecting the competitive balance between banks and other financial services providers.</w:t>
      </w:r>
    </w:p>
    <w:p>
      <w:pPr>
        <w:spacing w:after="0" w:line="146"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We cannot predict whether or when other legislation or new regulations may be enacted, and if enacted, the effect that new legislation or any implemented regulations and supervisory policies would have on our financial condition and results of operations. Such developments may further alter the structure, regulation, and competitive relationship among financial institutions, may limit the types or pricing of the products and services we offer, and may subject us to increased regulation, disclosure, and reporting requirements.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Legislation and Regulatory Developments</w:t>
      </w:r>
    </w:p>
    <w:p>
      <w:pPr>
        <w:spacing w:after="0" w:line="202" w:lineRule="exact"/>
        <w:rPr>
          <w:sz w:val="20"/>
          <w:szCs w:val="20"/>
          <w:color w:val="auto"/>
        </w:rPr>
      </w:pPr>
    </w:p>
    <w:p>
      <w:pPr>
        <w:ind w:right="20" w:firstLine="637"/>
        <w:spacing w:after="0" w:line="281" w:lineRule="auto"/>
        <w:rPr>
          <w:sz w:val="20"/>
          <w:szCs w:val="20"/>
          <w:color w:val="auto"/>
        </w:rPr>
      </w:pPr>
      <w:r>
        <w:rPr>
          <w:rFonts w:ascii="Times New Roman" w:cs="Times New Roman" w:eastAsia="Times New Roman" w:hAnsi="Times New Roman"/>
          <w:sz w:val="18"/>
          <w:szCs w:val="18"/>
          <w:color w:val="auto"/>
        </w:rPr>
        <w:t>The federal banking agencies continue to promulgate regulations and guidelines intended to assure the financial strength and safety and soundness of banks and the stability of the U.S. banking system. We continue to believe there will be</w:t>
      </w:r>
    </w:p>
    <w:p>
      <w:pPr>
        <w:spacing w:after="0" w:line="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increased focus on perceived regulatory gaps, regulatory compliance, supervision and examination during the remainder of President Biden’s term.</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Capital Adequacy Requirements</w:t>
      </w:r>
    </w:p>
    <w:p>
      <w:pPr>
        <w:spacing w:after="0" w:line="188" w:lineRule="exact"/>
        <w:rPr>
          <w:sz w:val="20"/>
          <w:szCs w:val="20"/>
          <w:color w:val="auto"/>
        </w:rPr>
      </w:pPr>
    </w:p>
    <w:p>
      <w:pPr>
        <w:ind w:right="120" w:firstLine="637"/>
        <w:spacing w:after="0" w:line="253" w:lineRule="auto"/>
        <w:rPr>
          <w:sz w:val="20"/>
          <w:szCs w:val="20"/>
          <w:color w:val="auto"/>
        </w:rPr>
      </w:pPr>
      <w:r>
        <w:rPr>
          <w:rFonts w:ascii="Times New Roman" w:cs="Times New Roman" w:eastAsia="Times New Roman" w:hAnsi="Times New Roman"/>
          <w:sz w:val="18"/>
          <w:szCs w:val="18"/>
          <w:color w:val="auto"/>
        </w:rPr>
        <w:t>Bank holding companies and banks are subject to similar regulatory capital requirements administered by state and federal banking agencies. The current capital rules adopted by the federal bank regulatory agencies have been fully phased in. The risk-based capital guidelines for bank holding companies, and additionally for banks, require capital ratios that vary based on the perceived degree of risk associated with a banking organization’s operations, both for transactions reported on the balance sheet as assets, such as loans, and for those recorded as off-balance sheet items, such as commitments, letters of credit and recourse arrangements. The risk-based capital ratio is determined by classifying assets and certain off-balance sheet financial instruments into weighted categories, with higher levels of capital being required for those categories perceived as representing greater risks, and with the applicable ratios calculated by dividing qualifying capital by total risk-adjusted assets and off-balance sheet items. Capital amounts and classifications are also subject to qualitative judgments by regulators about components, risk weighting and other factors. Bank holding companies and banks engaged in significant trading activity may also be subject to the market risk capital guidelines and be required to incorporate additional market and interest rate risk components into their risk-based capital standards. Bank holding companies are also required to act as a source of financial strength to their subsidiary banks. Under this policy, the Company must commit resources to support the Bank even when the Company may not be in a financial position to provide it.</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Regulatory Capital and Risk-weighted Assets</w:t>
      </w:r>
    </w:p>
    <w:p>
      <w:pPr>
        <w:spacing w:after="0" w:line="200" w:lineRule="exact"/>
        <w:rPr>
          <w:sz w:val="20"/>
          <w:szCs w:val="20"/>
          <w:color w:val="auto"/>
        </w:rPr>
      </w:pPr>
    </w:p>
    <w:p>
      <w:pPr>
        <w:ind w:right="100" w:firstLine="637"/>
        <w:spacing w:after="0" w:line="258" w:lineRule="auto"/>
        <w:rPr>
          <w:sz w:val="20"/>
          <w:szCs w:val="20"/>
          <w:color w:val="auto"/>
        </w:rPr>
      </w:pPr>
      <w:r>
        <w:rPr>
          <w:rFonts w:ascii="Times New Roman" w:cs="Times New Roman" w:eastAsia="Times New Roman" w:hAnsi="Times New Roman"/>
          <w:sz w:val="18"/>
          <w:szCs w:val="18"/>
          <w:color w:val="auto"/>
        </w:rPr>
        <w:t>The Federal Reserve monitors our capital adequacy on a consolidated basis, and the FDIC and the California Department of Financial Protection and Innovation (“DFPI”) monitor the capital adequacy of our Bank. These rules implement the Basel III international regulatory capital standards in the United States, as well as certain provisions of the Dodd-Frank Act. These quantitative calculations are minimums, and the Federal Reserve, FDIC or DFPI may determine that a banking organization, based on its size, complexity or risk profile, must maintain a higher level of capital in order to operate in a safe and sound manner.</w:t>
      </w:r>
    </w:p>
    <w:p>
      <w:pPr>
        <w:spacing w:after="0" w:line="141" w:lineRule="exact"/>
        <w:rPr>
          <w:sz w:val="20"/>
          <w:szCs w:val="20"/>
          <w:color w:val="auto"/>
        </w:rPr>
      </w:pPr>
    </w:p>
    <w:p>
      <w:pPr>
        <w:ind w:right="160" w:firstLine="637"/>
        <w:spacing w:after="0" w:line="265" w:lineRule="auto"/>
        <w:rPr>
          <w:sz w:val="20"/>
          <w:szCs w:val="20"/>
          <w:color w:val="auto"/>
        </w:rPr>
      </w:pPr>
      <w:r>
        <w:rPr>
          <w:rFonts w:ascii="Times New Roman" w:cs="Times New Roman" w:eastAsia="Times New Roman" w:hAnsi="Times New Roman"/>
          <w:sz w:val="18"/>
          <w:szCs w:val="18"/>
          <w:color w:val="auto"/>
        </w:rPr>
        <w:t>Under the Basel III Capital Rules, the Company’s and the Bank’s assets, exposures and certain off-balance sheet items are subject to risk weights used to determine the institutions’ risk-weighted assets. These risk-weighted assets are used to calculate the following minimum capital ratios for the Company and the Bank:</w:t>
      </w:r>
    </w:p>
    <w:p>
      <w:pPr>
        <w:spacing w:after="0" w:line="133" w:lineRule="exact"/>
        <w:rPr>
          <w:sz w:val="20"/>
          <w:szCs w:val="20"/>
          <w:color w:val="auto"/>
        </w:rPr>
      </w:pPr>
    </w:p>
    <w:p>
      <w:pPr>
        <w:ind w:left="1140" w:right="240" w:hanging="369"/>
        <w:spacing w:after="0" w:line="263"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Tier 1 Leverage Ratio</w:t>
      </w:r>
      <w:r>
        <w:rPr>
          <w:rFonts w:ascii="Times New Roman" w:cs="Times New Roman" w:eastAsia="Times New Roman" w:hAnsi="Times New Roman"/>
          <w:sz w:val="18"/>
          <w:szCs w:val="18"/>
          <w:color w:val="auto"/>
        </w:rPr>
        <w:t>, equal to the ratio of Tier 1 capital to quarterly average assets (net of goodwill, certain other intangible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other deductions).</w:t>
      </w:r>
    </w:p>
    <w:p>
      <w:pPr>
        <w:ind w:left="1140" w:hanging="369"/>
        <w:spacing w:after="0" w:line="25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CET1 Risk-Based Capital Ratio</w:t>
      </w:r>
      <w:r>
        <w:rPr>
          <w:rFonts w:ascii="Times New Roman" w:cs="Times New Roman" w:eastAsia="Times New Roman" w:hAnsi="Times New Roman"/>
          <w:sz w:val="18"/>
          <w:szCs w:val="18"/>
          <w:color w:val="auto"/>
        </w:rPr>
        <w:t>, equal to the ratio of CET1 capital to risk-weighted assets. CET1 capital primarily includes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equity subject to certain regulatory adjustments and deductions, including with respect to goodwill, intangible assets and certain deferred tax assets. Although the Company repaid and retired its trust preferred securities in 2021, hybrid securities, such as trust preferred securities, generally are excluded from being counted as Tier 1 capital. In addition, because we are not an advanced approach banking organization, we were permitted to make a one-time permanent election to exclude accumulated other comprehensive income items from regulatory capital. We made this election in order to avoid significant variations in our levels of capital depending upon the impact of interest rate fluctuations on the fair value of our Bank’s available-for-sale securities portfolio.</w:t>
      </w:r>
    </w:p>
    <w:p>
      <w:pPr>
        <w:ind w:left="1140" w:right="80" w:hanging="369"/>
        <w:spacing w:after="0" w:line="25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Tier 1 Risk-Based Capital Ratio</w:t>
      </w:r>
      <w:r>
        <w:rPr>
          <w:rFonts w:ascii="Times New Roman" w:cs="Times New Roman" w:eastAsia="Times New Roman" w:hAnsi="Times New Roman"/>
          <w:sz w:val="18"/>
          <w:szCs w:val="18"/>
          <w:color w:val="auto"/>
        </w:rPr>
        <w:t>, equal to the ratio of Tier 1 capital to risk-weighted assets. Tier 1 capital is primarily comprised of CET1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perpetual preferred stock and certain qualifying capital instruments.</w:t>
      </w:r>
    </w:p>
    <w:p>
      <w:pPr>
        <w:ind w:left="1140" w:right="40" w:hanging="369"/>
        <w:spacing w:after="0" w:line="255"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Risk-Based Capital Ratio</w:t>
      </w:r>
      <w:r>
        <w:rPr>
          <w:rFonts w:ascii="Times New Roman" w:cs="Times New Roman" w:eastAsia="Times New Roman" w:hAnsi="Times New Roman"/>
          <w:sz w:val="18"/>
          <w:szCs w:val="18"/>
          <w:color w:val="auto"/>
        </w:rPr>
        <w:t>, equal to the ratio of total capital, including CET1 capital, Tier 1 capital and Tier 2 capital, to risk-weighted assets. Tier 2 capital primarily includes qualifying subordinated debt and qualifying allowance for credit losses. Tier 2 capital also includes, among other things, certain trust preferred securities.</w:t>
      </w:r>
    </w:p>
    <w:p>
      <w:pPr>
        <w:spacing w:after="0" w:line="266" w:lineRule="exact"/>
        <w:rPr>
          <w:sz w:val="20"/>
          <w:szCs w:val="20"/>
          <w:color w:val="auto"/>
        </w:rPr>
      </w:pPr>
    </w:p>
    <w:p>
      <w:pPr>
        <w:ind w:right="200" w:firstLine="637"/>
        <w:spacing w:after="0" w:line="260" w:lineRule="auto"/>
        <w:rPr>
          <w:sz w:val="20"/>
          <w:szCs w:val="20"/>
          <w:color w:val="auto"/>
        </w:rPr>
      </w:pPr>
      <w:r>
        <w:rPr>
          <w:rFonts w:ascii="Times New Roman" w:cs="Times New Roman" w:eastAsia="Times New Roman" w:hAnsi="Times New Roman"/>
          <w:sz w:val="18"/>
          <w:szCs w:val="18"/>
          <w:color w:val="auto"/>
        </w:rPr>
        <w:t>The total minimum regulatory capital ratios and well-capitalized minimum ratios are reflected in the charts below. For purposes of the Federal Reserve’s Regulation Y, including determining whether a bank holding company meets the requirements to be a financial holding company, bank holding companies, such as the Company, must maintain a Tier 1 Risk-Based Capital Ratio of 6.0% or greater and a Total Risk-Based Capital Ratio of 10.0% or greater.</w:t>
      </w:r>
    </w:p>
    <w:p>
      <w:pPr>
        <w:spacing w:after="0" w:line="141" w:lineRule="exact"/>
        <w:rPr>
          <w:sz w:val="20"/>
          <w:szCs w:val="20"/>
          <w:color w:val="auto"/>
        </w:rPr>
      </w:pPr>
    </w:p>
    <w:p>
      <w:pPr>
        <w:ind w:right="240" w:firstLine="637"/>
        <w:spacing w:after="0" w:line="265" w:lineRule="auto"/>
        <w:rPr>
          <w:sz w:val="20"/>
          <w:szCs w:val="20"/>
          <w:color w:val="auto"/>
        </w:rPr>
      </w:pPr>
      <w:r>
        <w:rPr>
          <w:rFonts w:ascii="Times New Roman" w:cs="Times New Roman" w:eastAsia="Times New Roman" w:hAnsi="Times New Roman"/>
          <w:sz w:val="18"/>
          <w:szCs w:val="18"/>
          <w:color w:val="auto"/>
        </w:rPr>
        <w:t>Failure to be well-capitalized or to meet minimum capital requirements could result in certain mandatory and possible additional discretionary actions by regulators that, if undertaken, could have a material adverse effect on our operations or financial condition. Failure to be well-capitalized or to meet minimum capital requirements could also result in restrictions 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Company’s or the Bank’s ability to pay dividends or otherwise distribute capital or to receive regulatory approval of applications.</w:t>
      </w:r>
    </w:p>
    <w:p>
      <w:pPr>
        <w:spacing w:after="0" w:line="198" w:lineRule="exact"/>
        <w:rPr>
          <w:sz w:val="20"/>
          <w:szCs w:val="20"/>
          <w:color w:val="auto"/>
        </w:rPr>
      </w:pPr>
    </w:p>
    <w:p>
      <w:pPr>
        <w:ind w:right="380" w:firstLine="637"/>
        <w:spacing w:after="0" w:line="260" w:lineRule="auto"/>
        <w:rPr>
          <w:sz w:val="20"/>
          <w:szCs w:val="20"/>
          <w:color w:val="auto"/>
        </w:rPr>
      </w:pPr>
      <w:r>
        <w:rPr>
          <w:rFonts w:ascii="Times New Roman" w:cs="Times New Roman" w:eastAsia="Times New Roman" w:hAnsi="Times New Roman"/>
          <w:sz w:val="18"/>
          <w:szCs w:val="18"/>
          <w:color w:val="auto"/>
        </w:rPr>
        <w:t>In addition to meeting the minimum capital requirements, under the Basel III Capital Rules, the Company and the Bank must also maintain the required Capital Conservation Buffer to avoid becoming subject to restrictions on capital distributions and certain discretionary bonus payments to management. The Capital Conservation Buffer is calculated as a ratio of CET1 capital to risk-weighted assets, and it effectively increases the required minimum risk-based capital ratios. The Capital Conservation Buffer is now at its fully phased-in level of 2.5%.</w:t>
      </w:r>
    </w:p>
    <w:p>
      <w:pPr>
        <w:spacing w:after="0" w:line="141" w:lineRule="exact"/>
        <w:rPr>
          <w:sz w:val="20"/>
          <w:szCs w:val="20"/>
          <w:color w:val="auto"/>
        </w:rPr>
      </w:pPr>
    </w:p>
    <w:p>
      <w:pPr>
        <w:ind w:right="160" w:firstLine="637"/>
        <w:spacing w:after="0" w:line="281" w:lineRule="auto"/>
        <w:rPr>
          <w:sz w:val="20"/>
          <w:szCs w:val="20"/>
          <w:color w:val="auto"/>
        </w:rPr>
      </w:pPr>
      <w:r>
        <w:rPr>
          <w:rFonts w:ascii="Times New Roman" w:cs="Times New Roman" w:eastAsia="Times New Roman" w:hAnsi="Times New Roman"/>
          <w:sz w:val="18"/>
          <w:szCs w:val="18"/>
          <w:color w:val="auto"/>
        </w:rPr>
        <w:t>The Tier 1 Leverage Ratio is not impacted by the Capital Conservation Buffer, and a banking institution may be considered well-capitalized while remaining out of compliance with the Capital Conservation Buffer.</w:t>
      </w:r>
    </w:p>
    <w:p>
      <w:pPr>
        <w:spacing w:after="0" w:line="122" w:lineRule="exact"/>
        <w:rPr>
          <w:sz w:val="20"/>
          <w:szCs w:val="20"/>
          <w:color w:val="auto"/>
        </w:rPr>
      </w:pPr>
    </w:p>
    <w:p>
      <w:pPr>
        <w:ind w:right="160" w:firstLine="637"/>
        <w:spacing w:after="0" w:line="281" w:lineRule="auto"/>
        <w:rPr>
          <w:sz w:val="20"/>
          <w:szCs w:val="20"/>
          <w:color w:val="auto"/>
        </w:rPr>
      </w:pPr>
      <w:r>
        <w:rPr>
          <w:rFonts w:ascii="Times New Roman" w:cs="Times New Roman" w:eastAsia="Times New Roman" w:hAnsi="Times New Roman"/>
          <w:sz w:val="18"/>
          <w:szCs w:val="18"/>
          <w:color w:val="auto"/>
        </w:rPr>
        <w:t>The table below summarizes the capital requirements that the Company and the Bank must satisfy to avoid limitations on capital distributions and certain discretionary bonus payments (i.e., the required minimum capital ratios plus the Capital Conservation Buffer):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32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Minimum Basel III Regulatory</w:t>
            </w:r>
          </w:p>
        </w:tc>
      </w:tr>
      <w:tr>
        <w:trPr>
          <w:trHeight w:val="216"/>
        </w:trPr>
        <w:tc>
          <w:tcPr>
            <w:tcW w:w="8020" w:type="dxa"/>
            <w:vAlign w:val="bottom"/>
          </w:tcPr>
          <w:p>
            <w:pPr>
              <w:spacing w:after="0"/>
              <w:rPr>
                <w:sz w:val="18"/>
                <w:szCs w:val="18"/>
                <w:color w:val="auto"/>
              </w:rPr>
            </w:pPr>
          </w:p>
        </w:tc>
        <w:tc>
          <w:tcPr>
            <w:tcW w:w="32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Capital Ratio Plus Capital</w:t>
            </w:r>
          </w:p>
        </w:tc>
      </w:tr>
      <w:tr>
        <w:trPr>
          <w:trHeight w:val="245"/>
        </w:trPr>
        <w:tc>
          <w:tcPr>
            <w:tcW w:w="8020" w:type="dxa"/>
            <w:vAlign w:val="bottom"/>
          </w:tcPr>
          <w:p>
            <w:pPr>
              <w:spacing w:after="0"/>
              <w:rPr>
                <w:sz w:val="21"/>
                <w:szCs w:val="21"/>
                <w:color w:val="auto"/>
              </w:rPr>
            </w:pPr>
          </w:p>
        </w:tc>
        <w:tc>
          <w:tcPr>
            <w:tcW w:w="32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Conservation Buffer</w:t>
            </w:r>
          </w:p>
        </w:tc>
      </w:tr>
      <w:tr>
        <w:trPr>
          <w:trHeight w:val="238"/>
        </w:trPr>
        <w:tc>
          <w:tcPr>
            <w:tcW w:w="8020" w:type="dxa"/>
            <w:vAlign w:val="bottom"/>
          </w:tcPr>
          <w:p>
            <w:pPr>
              <w:spacing w:after="0"/>
              <w:rPr>
                <w:sz w:val="20"/>
                <w:szCs w:val="20"/>
                <w:color w:val="auto"/>
              </w:rPr>
            </w:pPr>
          </w:p>
        </w:tc>
        <w:tc>
          <w:tcPr>
            <w:tcW w:w="3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January 1, 2019</w:t>
            </w:r>
          </w:p>
        </w:tc>
        <w:tc>
          <w:tcPr>
            <w:tcW w:w="160" w:type="dxa"/>
            <w:vAlign w:val="bottom"/>
          </w:tcPr>
          <w:p>
            <w:pPr>
              <w:spacing w:after="0"/>
              <w:rPr>
                <w:sz w:val="20"/>
                <w:szCs w:val="20"/>
                <w:color w:val="auto"/>
              </w:rPr>
            </w:pPr>
          </w:p>
        </w:tc>
      </w:tr>
      <w:tr>
        <w:trPr>
          <w:trHeight w:val="23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CET1 risk-based capital ratio</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risk-based capital ratio</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risk-based capital ratio</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ind w:right="60" w:firstLine="637"/>
        <w:spacing w:after="0" w:line="281" w:lineRule="auto"/>
        <w:rPr>
          <w:sz w:val="20"/>
          <w:szCs w:val="20"/>
          <w:color w:val="auto"/>
        </w:rPr>
      </w:pPr>
      <w:r>
        <w:rPr>
          <w:rFonts w:ascii="Times New Roman" w:cs="Times New Roman" w:eastAsia="Times New Roman" w:hAnsi="Times New Roman"/>
          <w:sz w:val="18"/>
          <w:szCs w:val="18"/>
          <w:color w:val="auto"/>
        </w:rPr>
        <w:t xml:space="preserve">As of December 31, 2022 the Company and the Bank are well-capitalized for regulatory purposes. For a tabular presentation of the Company’s and Bank’s capital ratios as of December 31, 2022, see Note 18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of the notes to the consolidated financial statements.</w:t>
      </w:r>
    </w:p>
    <w:p>
      <w:pPr>
        <w:spacing w:after="0" w:line="122" w:lineRule="exact"/>
        <w:rPr>
          <w:sz w:val="20"/>
          <w:szCs w:val="20"/>
          <w:color w:val="auto"/>
        </w:rPr>
      </w:pPr>
    </w:p>
    <w:p>
      <w:pPr>
        <w:ind w:right="100" w:firstLine="637"/>
        <w:spacing w:after="0" w:line="255" w:lineRule="auto"/>
        <w:rPr>
          <w:sz w:val="20"/>
          <w:szCs w:val="20"/>
          <w:color w:val="auto"/>
        </w:rPr>
      </w:pPr>
      <w:r>
        <w:rPr>
          <w:rFonts w:ascii="Times New Roman" w:cs="Times New Roman" w:eastAsia="Times New Roman" w:hAnsi="Times New Roman"/>
          <w:sz w:val="18"/>
          <w:szCs w:val="18"/>
          <w:color w:val="auto"/>
        </w:rPr>
        <w:t>In December 2017, the Basel Committee published standards that it described as the finalization of the Basel III post-crisis regulatory reforms (the standards are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will generally be effective on January 1, 2023, with an aggregate output floor phasing in through January 1, 2028. Under the current U.S. capital rules, operational risk capital requirements and a capital floor apply only to advanced approaches institutions, and not to the Company and the Bank. The impact of Basel IV on us will depend on the manner in which it is implemented by the federal bank regulators.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Prompt Corrective Action Provisions</w:t>
      </w:r>
    </w:p>
    <w:p>
      <w:pPr>
        <w:spacing w:after="0" w:line="186" w:lineRule="exact"/>
        <w:rPr>
          <w:sz w:val="20"/>
          <w:szCs w:val="20"/>
          <w:color w:val="auto"/>
        </w:rPr>
      </w:pPr>
    </w:p>
    <w:p>
      <w:pPr>
        <w:ind w:right="60" w:firstLine="637"/>
        <w:spacing w:after="0" w:line="254" w:lineRule="auto"/>
        <w:rPr>
          <w:sz w:val="20"/>
          <w:szCs w:val="20"/>
          <w:color w:val="auto"/>
        </w:rPr>
      </w:pPr>
      <w:r>
        <w:rPr>
          <w:rFonts w:ascii="Times New Roman" w:cs="Times New Roman" w:eastAsia="Times New Roman" w:hAnsi="Times New Roman"/>
          <w:sz w:val="18"/>
          <w:szCs w:val="18"/>
          <w:color w:val="auto"/>
        </w:rPr>
        <w:t>The Federal Deposit Insurance Act requires the federal bank regulatory agencies to take “prompt corrective action” with respect to a depository institution if that institution does not meet certain capital adequacy standards, including requiring the prompt submission of an acceptable capital restoration plan. Depending on the bank’s capital ratios, the agencies’ regulations define five categories in which an insured depository institution will be placed: well-capitalized, adequately capitalized, undercapitalized, significantly undercapitalized, and critically undercapitalized. At each successive lower capital category, an insured bank is subject to more restrictions, including restrictions on the bank’s activities, operational practices or the ability to pay dividends or executive bonuses. Based upon its capital levels, a bank that is classified as well-capitalized, adequately capitalized, or undercapitalized may be treated as though it were in the next lower capital category if the appropriate federal banking agency, after notice and opportunity for hearing, determines that an unsafe or unsound condition, or an unsafe or unsound practice, warrants such treatment.</w:t>
      </w:r>
    </w:p>
    <w:p>
      <w:pPr>
        <w:spacing w:after="0" w:line="149" w:lineRule="exact"/>
        <w:rPr>
          <w:sz w:val="20"/>
          <w:szCs w:val="20"/>
          <w:color w:val="auto"/>
        </w:rPr>
      </w:pPr>
    </w:p>
    <w:p>
      <w:pPr>
        <w:ind w:right="80" w:firstLine="637"/>
        <w:spacing w:after="0" w:line="265" w:lineRule="auto"/>
        <w:rPr>
          <w:sz w:val="20"/>
          <w:szCs w:val="20"/>
          <w:color w:val="auto"/>
        </w:rPr>
      </w:pPr>
      <w:r>
        <w:rPr>
          <w:rFonts w:ascii="Times New Roman" w:cs="Times New Roman" w:eastAsia="Times New Roman" w:hAnsi="Times New Roman"/>
          <w:sz w:val="18"/>
          <w:szCs w:val="18"/>
          <w:color w:val="auto"/>
        </w:rPr>
        <w:t>The prompt corrective action standards were changed to conform with the New Capital Rules. Under the new standards, in order to be considered well-capitalized, the bank will be required to meet the new common equity Tier 1 ratio of 6.5%, an increased Tier 1 ratio of 8% (increased from 6%), a total capital ratio of 10% (unchanged) and a leverage ratio of 5% (unchanged).</w:t>
      </w:r>
    </w:p>
    <w:p>
      <w:pPr>
        <w:spacing w:after="0" w:line="150" w:lineRule="exact"/>
        <w:rPr>
          <w:sz w:val="20"/>
          <w:szCs w:val="20"/>
          <w:color w:val="auto"/>
        </w:rPr>
      </w:pPr>
    </w:p>
    <w:p>
      <w:pPr>
        <w:ind w:right="220" w:firstLine="637"/>
        <w:spacing w:after="0" w:line="265" w:lineRule="auto"/>
        <w:rPr>
          <w:sz w:val="20"/>
          <w:szCs w:val="20"/>
          <w:color w:val="auto"/>
        </w:rPr>
      </w:pPr>
      <w:r>
        <w:rPr>
          <w:rFonts w:ascii="Times New Roman" w:cs="Times New Roman" w:eastAsia="Times New Roman" w:hAnsi="Times New Roman"/>
          <w:sz w:val="18"/>
          <w:szCs w:val="18"/>
          <w:color w:val="auto"/>
        </w:rPr>
        <w:t>The federal banking agencies also may require banks and bank holding companies subject to enforcement actions to maintain capital ratios in excess of the minimum ratios otherwise required to be deemed well capitalized, in which case institutions may no longer be deemed to be well capitalized and may therefore be subject to certain restrictions such as taking brokered deposits.</w:t>
      </w:r>
    </w:p>
    <w:p>
      <w:pPr>
        <w:spacing w:after="0" w:line="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Coronavirus Aid, Relief, and Economic Security Act (CARES Act)</w:t>
      </w:r>
    </w:p>
    <w:p>
      <w:pPr>
        <w:spacing w:after="0" w:line="202" w:lineRule="exact"/>
        <w:rPr>
          <w:sz w:val="20"/>
          <w:szCs w:val="20"/>
          <w:color w:val="auto"/>
        </w:rPr>
      </w:pPr>
    </w:p>
    <w:p>
      <w:pPr>
        <w:ind w:firstLine="637"/>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the CARES Act was signed into law on March 27, 2020 to provide national emergency economic relief measures. Many of the CARES Act’s programs were dependent upon the direct involvement of U.S. financial institutions, such as the Company and the Bank, and have been implemented through rules and guidance adopted by federal departments and agencies, including the U.S. Department of Treasury, the Federal Reserve and other federal banking agencies, including those with direct supervisory jurisdiction over the Company and the Bank. Furthermore, as the on-going COVID-19 pandemic evolves, federal regulatory authorities continue to issue additional guidance with respect to the implementation, lifecycle, and eligibility requirements for the various CARES Act programs as well as industry-specific recovery procedures for COVID-19. On December 21, 2020, Congress passed, and on December 27, 2020 the President signed, a $900 billion aid package which provided additional funds for the PPP and extended the time of the PPP to March 31, 2021. This legislation also permitted second PPP loans to certain entities which are subject to forgiveness subject to meeting certain required criteria.</w:t>
      </w:r>
    </w:p>
    <w:p>
      <w:pPr>
        <w:spacing w:after="0" w:line="143"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Paycheck Protection Program. </w:t>
      </w:r>
      <w:r>
        <w:rPr>
          <w:rFonts w:ascii="Times New Roman" w:cs="Times New Roman" w:eastAsia="Times New Roman" w:hAnsi="Times New Roman"/>
          <w:sz w:val="18"/>
          <w:szCs w:val="18"/>
          <w:color w:val="auto"/>
        </w:rPr>
        <w:t>The CARES Act amended the SBA’s loan program, in which the Bank participates, to create a guaranteed,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loan program, the PPP, to fund operational costs of eligible businesses, organizations and self-employed persons during COVID-19. In June 2020, the Paycheck Protection Program Flexibility Act was enacted, which among other things, gave borrowers additional time and flexibility to use PPP loan proceeds. The PPP Second Draw loan program was authorized by the Economic Aid Act enacted on December 27, 2020. Further, on January 13, 2021, the SBA reopened the PPP for Second Draw loans to small businesses and non-profit organizations that did receive a loan through the initial PPP phase. The Company had less than $10 million in outstanding PPP loans as of December 31, 2022.</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Volcker Rule</w:t>
      </w:r>
    </w:p>
    <w:p>
      <w:pPr>
        <w:spacing w:after="0" w:line="200" w:lineRule="exact"/>
        <w:rPr>
          <w:sz w:val="20"/>
          <w:szCs w:val="20"/>
          <w:color w:val="auto"/>
        </w:rPr>
      </w:pPr>
    </w:p>
    <w:p>
      <w:pPr>
        <w:ind w:right="100" w:firstLine="637"/>
        <w:spacing w:after="0" w:line="255" w:lineRule="auto"/>
        <w:rPr>
          <w:sz w:val="20"/>
          <w:szCs w:val="20"/>
          <w:color w:val="auto"/>
        </w:rPr>
      </w:pPr>
      <w:r>
        <w:rPr>
          <w:rFonts w:ascii="Times New Roman" w:cs="Times New Roman" w:eastAsia="Times New Roman" w:hAnsi="Times New Roman"/>
          <w:sz w:val="18"/>
          <w:szCs w:val="18"/>
          <w:color w:val="auto"/>
        </w:rPr>
        <w:t>In December 2013, the federal bank regulatory agencies adopted final rules that implement a part of the Dodd-Frank Act commonly referred to as the “Volcker Rule.” Under these rules and subject to certain exceptions, banking entities are restricted from engaging in activities that are considered proprietary trading and from sponsoring or investing in certain entities, including hedge or private equity funds that are considered “covered funds.” These rules became effective on April 1, 2014, although certain provisions are subject to delayed effectiveness under rules promulgated by the FRB. The Company and the Bank held no investment positions at December 31, 2022 which were subject to the final rule. Therefore, while these new rules may require us to conduct certain internal analysis and reporting to ensure continued compliance, they did not require any material changes in our operations or business.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Brokered Deposits</w:t>
      </w:r>
    </w:p>
    <w:p>
      <w:pPr>
        <w:spacing w:after="0" w:line="188" w:lineRule="exact"/>
        <w:rPr>
          <w:sz w:val="20"/>
          <w:szCs w:val="20"/>
          <w:color w:val="auto"/>
        </w:rPr>
      </w:pPr>
    </w:p>
    <w:p>
      <w:pPr>
        <w:ind w:right="260" w:firstLine="637"/>
        <w:spacing w:after="0" w:line="265" w:lineRule="auto"/>
        <w:rPr>
          <w:sz w:val="20"/>
          <w:szCs w:val="20"/>
          <w:color w:val="auto"/>
        </w:rPr>
      </w:pPr>
      <w:r>
        <w:rPr>
          <w:rFonts w:ascii="Times New Roman" w:cs="Times New Roman" w:eastAsia="Times New Roman" w:hAnsi="Times New Roman"/>
          <w:sz w:val="18"/>
          <w:szCs w:val="18"/>
          <w:color w:val="auto"/>
        </w:rPr>
        <w:t>The FDIC limits the ability to accept brokered deposits to those insured depository institutions that are well capitalized. Institutions that are less than well capitalized cannot accept, renew or roll over any brokered deposit unless they have applied for and been granted a waiver by the FDIC. As of December 31, 2022, the Bank had no deposit liabilities categorized as brokered deposits.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Bank Holding Company Regulation</w:t>
      </w:r>
    </w:p>
    <w:p>
      <w:pPr>
        <w:spacing w:after="0" w:line="188" w:lineRule="exact"/>
        <w:rPr>
          <w:sz w:val="20"/>
          <w:szCs w:val="20"/>
          <w:color w:val="auto"/>
        </w:rPr>
      </w:pPr>
    </w:p>
    <w:p>
      <w:pPr>
        <w:ind w:right="60" w:firstLine="637"/>
        <w:spacing w:after="0" w:line="265" w:lineRule="auto"/>
        <w:rPr>
          <w:sz w:val="20"/>
          <w:szCs w:val="20"/>
          <w:color w:val="auto"/>
        </w:rPr>
      </w:pPr>
      <w:r>
        <w:rPr>
          <w:rFonts w:ascii="Times New Roman" w:cs="Times New Roman" w:eastAsia="Times New Roman" w:hAnsi="Times New Roman"/>
          <w:sz w:val="18"/>
          <w:szCs w:val="18"/>
          <w:color w:val="auto"/>
        </w:rPr>
        <w:t>Bank holding companies and their subsidiaries are subject to significant regulation and restrictions by Federal and State laws and regulatory agencies, which may affect the cost of doing business, and may limit permissible activities and expansion or impact the competitive balance between banks and other financial services providers.</w:t>
      </w:r>
    </w:p>
    <w:p>
      <w:pPr>
        <w:spacing w:after="0" w:line="137" w:lineRule="exact"/>
        <w:rPr>
          <w:sz w:val="20"/>
          <w:szCs w:val="20"/>
          <w:color w:val="auto"/>
        </w:rPr>
      </w:pPr>
    </w:p>
    <w:p>
      <w:pPr>
        <w:ind w:right="180" w:firstLine="637"/>
        <w:spacing w:after="0" w:line="281" w:lineRule="auto"/>
        <w:rPr>
          <w:sz w:val="20"/>
          <w:szCs w:val="20"/>
          <w:color w:val="auto"/>
        </w:rPr>
      </w:pPr>
      <w:r>
        <w:rPr>
          <w:rFonts w:ascii="Times New Roman" w:cs="Times New Roman" w:eastAsia="Times New Roman" w:hAnsi="Times New Roman"/>
          <w:sz w:val="18"/>
          <w:szCs w:val="18"/>
          <w:color w:val="auto"/>
        </w:rPr>
        <w:t>A wide range of requirements and restrictions are contained in both federal and state banking laws, which together with implementing regulatory authority:</w:t>
      </w:r>
    </w:p>
    <w:p>
      <w:pPr>
        <w:spacing w:after="0" w:line="136" w:lineRule="exact"/>
        <w:rPr>
          <w:sz w:val="20"/>
          <w:szCs w:val="20"/>
          <w:color w:val="auto"/>
        </w:rPr>
      </w:pPr>
    </w:p>
    <w:p>
      <w:pPr>
        <w:ind w:left="1140" w:hanging="369"/>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periodic reports and such additional reports of information as the Federal Reserve may require;</w:t>
      </w:r>
    </w:p>
    <w:p>
      <w:pPr>
        <w:spacing w:after="0" w:line="2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bank holding companies to meet or exceed increased levels of capital (See “Capital Adequacy Requirements”);</w:t>
      </w:r>
    </w:p>
    <w:p>
      <w:pPr>
        <w:spacing w:after="0" w:line="8" w:lineRule="exact"/>
        <w:rPr>
          <w:rFonts w:ascii="Times New Roman" w:cs="Times New Roman" w:eastAsia="Times New Roman" w:hAnsi="Times New Roman"/>
          <w:sz w:val="18"/>
          <w:szCs w:val="18"/>
          <w:color w:val="auto"/>
        </w:rPr>
      </w:pPr>
    </w:p>
    <w:p>
      <w:pPr>
        <w:ind w:left="1140" w:right="260" w:hanging="369"/>
        <w:spacing w:after="0" w:line="25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bank holding companies serve as a source of financial and managerial strength to subsidiary banks and commit resources as necessary to support each subsidiary bank;</w:t>
      </w:r>
    </w:p>
    <w:p>
      <w:pPr>
        <w:ind w:left="1140" w:right="40" w:hanging="369"/>
        <w:spacing w:after="0" w:line="255"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of dividends payable to shareholders and restrict the ability of bank holding companies to obtain dividends or other distributions from their subsidiary banks. The Company’s ability to pay dividends is subject to legal and regulatory restrictions. Substantially all of CVB’s funds to pay dividends or to pay principal and interest on our debt obligations are derived from dividends paid by the Bank to CVB;</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0" w:name="page11"/>
    <w:bookmarkEnd w:id="10"/>
    <w:p>
      <w:pPr>
        <w:ind w:left="1140" w:right="460" w:hanging="369"/>
        <w:spacing w:after="0" w:line="25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bank holding company to terminate an activity or terminate control of or liquidate or divest certain subsidiaries, affiliates or investments if the Federal Reserve believes the activity or the control of the subsidiary or affiliate constitutes a significant risk to the financial safety, soundness or stability of any bank subsidiary;</w:t>
      </w:r>
    </w:p>
    <w:p>
      <w:pPr>
        <w:ind w:left="1140" w:right="120" w:hanging="369"/>
        <w:spacing w:after="0" w:line="25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prior approval of senior executive officer or director changes and prohibit golden parachute payments, including change in control agreements, or new employment agreements with such payment terms, which are contingent upon termination if an institution is in “troubled condition”;</w:t>
      </w:r>
    </w:p>
    <w:p>
      <w:pPr>
        <w:ind w:left="1140" w:right="160" w:hanging="369"/>
        <w:spacing w:after="0" w:line="25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provisions of certain bank holding company debt, including the authority to impose interest ceilings and reserve requirements on such debt and require prior approval to purchase or redeem securities in certain situations;</w:t>
      </w:r>
    </w:p>
    <w:p>
      <w:pPr>
        <w:ind w:left="1140" w:hanging="369"/>
        <w:spacing w:after="0" w:line="25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prior approval for the acquisition of 5% or more of the voting stock of a bank or bank holding company by bank holding companies or other acquisitions and mergers with banks and consider certain competitive, management, financial, anti-money-laundering compliance, potential impact on U.S. financial stability or other factors in granting these approvals, in addition to similar California or other state banking agency approvals which may also be required; and</w:t>
      </w:r>
    </w:p>
    <w:p>
      <w:pPr>
        <w:ind w:left="1140" w:right="40" w:hanging="369"/>
        <w:spacing w:after="0" w:line="26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prior notice and/or prior approval of the acquisition of control of a bank or a bank holding company by a shareholder or individuals acting in concert with ownership or control of certain percentage thresholds of the voting stock being a presumption of control.</w:t>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Change in Bank Control</w:t>
      </w:r>
    </w:p>
    <w:p>
      <w:pPr>
        <w:spacing w:after="0" w:line="200" w:lineRule="exact"/>
        <w:rPr>
          <w:sz w:val="20"/>
          <w:szCs w:val="20"/>
          <w:color w:val="auto"/>
        </w:rPr>
      </w:pPr>
    </w:p>
    <w:p>
      <w:pPr>
        <w:ind w:right="80" w:firstLine="637"/>
        <w:spacing w:after="0" w:line="256" w:lineRule="auto"/>
        <w:rPr>
          <w:sz w:val="20"/>
          <w:szCs w:val="20"/>
          <w:color w:val="auto"/>
        </w:rPr>
      </w:pPr>
      <w:r>
        <w:rPr>
          <w:rFonts w:ascii="Times New Roman" w:cs="Times New Roman" w:eastAsia="Times New Roman" w:hAnsi="Times New Roman"/>
          <w:sz w:val="18"/>
          <w:szCs w:val="18"/>
          <w:color w:val="auto"/>
        </w:rPr>
        <w:t>Federal law and regulation set forth the types of transactions that require prior notice under the Change in Bank Control Act (“CIBCA”). Pursuant to CIBCA and Regulation Y, any person (acting directly or indirectly) that seeks to acquire control of a bank or its holding company must provide prior notice to the Federal Reserve. A “person” includes an individual, bank, corporation, partnership, trust, association, joint venture, pool, syndicate, sole proprietorship, unincorporated organization, or any other form of entity. A person acquires “control” of a banking organization whenever the person acquires ownership, control, or the power to vote 25 percent or more of any class of voting securities of the institution. The applicable regulations also provide for certain other “rebuttable” presumptions of control.</w:t>
      </w:r>
    </w:p>
    <w:p>
      <w:pPr>
        <w:spacing w:after="0" w:line="145" w:lineRule="exact"/>
        <w:rPr>
          <w:sz w:val="20"/>
          <w:szCs w:val="20"/>
          <w:color w:val="auto"/>
        </w:rPr>
      </w:pPr>
    </w:p>
    <w:p>
      <w:pPr>
        <w:ind w:right="100" w:firstLine="637"/>
        <w:spacing w:after="0" w:line="258" w:lineRule="auto"/>
        <w:rPr>
          <w:sz w:val="20"/>
          <w:szCs w:val="20"/>
          <w:color w:val="auto"/>
        </w:rPr>
      </w:pPr>
      <w:r>
        <w:rPr>
          <w:rFonts w:ascii="Times New Roman" w:cs="Times New Roman" w:eastAsia="Times New Roman" w:hAnsi="Times New Roman"/>
          <w:sz w:val="18"/>
          <w:szCs w:val="18"/>
          <w:color w:val="auto"/>
        </w:rPr>
        <w:t>In April 2020, the Federal Reserve adopted a final rule to revise its regulations related to determinations of whether a company has the ability to exercise a controlling influence over another company for purposes of the BHCA. The final rule expands and codifies the presumptions for use in such determinations. By codifying the presumptions, the final rule provides greater transparency on the types of relationships that the Federal Reserve generally views as supporting a facts-and-circumstances determination that one company controls another company. The Federal Reserve’s final rule applies to questions of control under the BHCA, but does not extend to CIBCA or applicable provisions of California law.</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Restrictions on the Company’s Activities</w:t>
      </w:r>
    </w:p>
    <w:p>
      <w:pPr>
        <w:spacing w:after="0" w:line="200"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Subject to prior notice or Federal Reserve approval, bank holding companies may generally engage in, or acquire shares of companies engaged in, activities determined by the Federal Reserve to be so closely related to banking or managing or controlling banks as to be a proper incident thereto. Bank holding companies which elect and retain “financial holding company” status pursuant to the Gramm-Leach-Bliley Act of 1999 (“GLBA”) may engage in these nonbanking activities and broader securities, insurance, merchant banking and other activities that are determined to be “financial in nature” or are incidental or complementary to activities that are financial in nature without prior Federal Reserve approval. Pursuant to GLBA and Dodd-Frank, in order to elect and retain financial holding company status, a bank holding company and all depository institution subsidiaries of a bank holding company must be considered well capitalized and well managed, and, except in limited circumstances, depository subsidiaries must be in satisfactory compliance with the Community Reinvestment Act (“CRA”), which requires banks to help meet the credit needs of the communities in which they operate. Failure to sustain compliance with these requirements or correct any non-compliance within a fixed time period could lead to divestiture of subsidiary banks or require all activities to conform to those permissible for a bank holding company. CVB has not elected financial holding company status and neither CVB nor the Bank has engaged in any activities determined by the Federal Reserve to be financial in nature or incidental or complementary to activities that are financial in nature.</w:t>
      </w:r>
    </w:p>
    <w:p>
      <w:pPr>
        <w:spacing w:after="0" w:line="146" w:lineRule="exact"/>
        <w:rPr>
          <w:sz w:val="20"/>
          <w:szCs w:val="20"/>
          <w:color w:val="auto"/>
        </w:rPr>
      </w:pPr>
    </w:p>
    <w:p>
      <w:pPr>
        <w:ind w:right="220" w:firstLine="637"/>
        <w:spacing w:after="0" w:line="265" w:lineRule="auto"/>
        <w:rPr>
          <w:sz w:val="20"/>
          <w:szCs w:val="20"/>
          <w:color w:val="auto"/>
        </w:rPr>
      </w:pPr>
      <w:r>
        <w:rPr>
          <w:rFonts w:ascii="Times New Roman" w:cs="Times New Roman" w:eastAsia="Times New Roman" w:hAnsi="Times New Roman"/>
          <w:sz w:val="18"/>
          <w:szCs w:val="18"/>
          <w:color w:val="auto"/>
        </w:rPr>
        <w:t>CVB is also a bank holding company within the meaning of Section 3700 of the California Financial Code. Therefore, CVB and any of its subsidiaries are subject to examination by, and may be required to file reports with, the California DFPI. DFPI approvals may also be required for certain mergers and acquisitions.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8"/>
          <w:szCs w:val="18"/>
          <w:i w:val="1"/>
          <w:iCs w:val="1"/>
          <w:color w:val="auto"/>
        </w:rPr>
        <w:t>Securities Exchange Act of 1934</w:t>
      </w:r>
    </w:p>
    <w:p>
      <w:pPr>
        <w:spacing w:after="0" w:line="200" w:lineRule="exact"/>
        <w:rPr>
          <w:sz w:val="20"/>
          <w:szCs w:val="20"/>
          <w:color w:val="auto"/>
        </w:rPr>
      </w:pPr>
    </w:p>
    <w:p>
      <w:pPr>
        <w:ind w:right="220" w:firstLine="637"/>
        <w:spacing w:after="0" w:line="265" w:lineRule="auto"/>
        <w:rPr>
          <w:sz w:val="20"/>
          <w:szCs w:val="20"/>
          <w:color w:val="auto"/>
        </w:rPr>
      </w:pPr>
      <w:r>
        <w:rPr>
          <w:rFonts w:ascii="Times New Roman" w:cs="Times New Roman" w:eastAsia="Times New Roman" w:hAnsi="Times New Roman"/>
          <w:sz w:val="18"/>
          <w:szCs w:val="18"/>
          <w:color w:val="auto"/>
        </w:rPr>
        <w:t>CVB’s common stock is publicly held and listed on the NASDAQ Stock Market (“NASDAQ”), and CVB is subject to the periodic reporting, information, proxy solicitation, insider trading, corporate governance and other requirements and restrictions of the Securities Exchange Act of 1934 and the regulations of the Securities and Exchange Commission (“SEC”) promulgated thereunder as well as listing requirements of NASDAQ.</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Sarbanes-Oxley Act</w:t>
      </w:r>
    </w:p>
    <w:p>
      <w:pPr>
        <w:spacing w:after="0" w:line="186" w:lineRule="exact"/>
        <w:rPr>
          <w:sz w:val="20"/>
          <w:szCs w:val="20"/>
          <w:color w:val="auto"/>
        </w:rPr>
      </w:pPr>
    </w:p>
    <w:p>
      <w:pPr>
        <w:ind w:right="60" w:firstLine="637"/>
        <w:spacing w:after="0" w:line="265" w:lineRule="auto"/>
        <w:rPr>
          <w:sz w:val="20"/>
          <w:szCs w:val="20"/>
          <w:color w:val="auto"/>
        </w:rPr>
      </w:pPr>
      <w:r>
        <w:rPr>
          <w:rFonts w:ascii="Times New Roman" w:cs="Times New Roman" w:eastAsia="Times New Roman" w:hAnsi="Times New Roman"/>
          <w:sz w:val="18"/>
          <w:szCs w:val="18"/>
          <w:color w:val="auto"/>
        </w:rPr>
        <w:t>The Company is subject to the accounting oversight and corporate governance requirements of the Sarbanes-Oxley Act of 2002, including, among other things, required executive certification of financial presentations, requirements for board audit committees and their members, and disclosure of controls and procedures and internal control over financial reporting.</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Bank Regulation</w:t>
      </w:r>
    </w:p>
    <w:p>
      <w:pPr>
        <w:spacing w:after="0" w:line="188"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As a California commercial bank whose deposits are insured by the FDIC, the Bank is subject to regulation, supervision, and regular examination by the DFPI and by the FDIC, as the Bank’s primary Federal regulator, and must additionally comply with certain applicable regulations of the Federal Reserve. Specific federal and state laws and regulations which are applicable to banks regulate, among other things, the scope of their business, their investments, their reserves against deposits, the timing of the availability of deposited funds, their activities relating to dividends, investments, loans, the nature and amount of and collateral for certain loans, servicing and foreclosing on loans, borrowings, capital requirements, certain check-clearing activities, branching, and mergers and acquisitions. California banks are also subject to statutes and regulations including Federal Reserve Regulation O and Federal Reserve Act Sections 23A and 23B and Regulation W, which restrict or limit loans or extensions of credit to “insiders”, including officers, directors, and principal shareholders, and loans or extension of credit by banks to affiliates or purchases of assets from affiliates, including parent bank holding companies, except pursuant to certain exceptions and only on terms and conditions at least as favorable to those prevailing for comparable transactions with unaffiliated parties. Failure to comply with applicable bank regulation or adverse results from any examinations of the Bank could affect the cost of doing business, and may limit or impede otherwise permissible activities and expansion activities by the Bank.</w:t>
      </w:r>
    </w:p>
    <w:p>
      <w:pPr>
        <w:spacing w:after="0" w:line="148"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Pursuant to the Federal Deposit Insurance Act (“FDI Act”) and the California Financial Code, California state chartered commercial banks may generally engage in any activity permissible for national banks. Therefore, the Bank may form subsidiaries to engage in the many so-called “closely related to banking” or “nonbanking” activities commonly conducted by national banks in operating subsidiaries or in subsidiaries of bank holding companies. Further, California banks may conduct certain “financial” activities permitted under GLBA in a “financial subsidiary” to the same extent as may a national bank, provided the bank is and remains “well-capitalized,” “well-managed” and in satisfactory compliance with the CRA. The Bank currently has no financial subsidiaries.</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FDIC and DFPI Enforcement Authority</w:t>
      </w:r>
    </w:p>
    <w:p>
      <w:pPr>
        <w:spacing w:after="0" w:line="186" w:lineRule="exact"/>
        <w:rPr>
          <w:sz w:val="20"/>
          <w:szCs w:val="20"/>
          <w:color w:val="auto"/>
        </w:rPr>
      </w:pPr>
    </w:p>
    <w:p>
      <w:pPr>
        <w:ind w:right="40" w:firstLine="637"/>
        <w:spacing w:after="0" w:line="253" w:lineRule="auto"/>
        <w:rPr>
          <w:sz w:val="20"/>
          <w:szCs w:val="20"/>
          <w:color w:val="auto"/>
        </w:rPr>
      </w:pPr>
      <w:r>
        <w:rPr>
          <w:rFonts w:ascii="Times New Roman" w:cs="Times New Roman" w:eastAsia="Times New Roman" w:hAnsi="Times New Roman"/>
          <w:sz w:val="18"/>
          <w:szCs w:val="18"/>
          <w:color w:val="auto"/>
        </w:rPr>
        <w:t>The federal and California regulatory structure gives the bank regulatory agencies extensive discretion in connection with their supervisory and enforcement activities and examination policies, including policies with respect to the classification of assets and the establishment of appropriate loan loss reserves for regulatory purposes. The regulatory agencies have adopted guidelines to assist in identifying and addressing potential safety and soundness concerns before an institution’s capital becomes impaired. The guidelines establish operational and managerial standards generally relating to: (1) internal controls, information systems, and internal audit systems; (2) loan documentation; (3) credit underwriting; (4) interest-rate exposure; (5) asset growth and asset quality; and (6) compensation, fees, and benefits. Further, the regulatory agencies have adopted safety and soundness guidelines for asset quality and for evaluating and monitoring earnings to ensure that earnings are sufficient for the maintenance of adequate capital and reserves. If, as a result of an examination, the DFPI or the FDIC should determine that the financial condition, capital resources, asset quality, earnings prospects, management, liquidity, or other aspects of the Bank’s operations are unsatisfactory or that the Bank or its management is violating or has violated any law or regulation, the DFPI and the FDIC, and separately the FDIC as insurer of the Bank’s deposits, have residual authority to:</w:t>
      </w:r>
    </w:p>
    <w:p>
      <w:pPr>
        <w:spacing w:after="0" w:line="151" w:lineRule="exact"/>
        <w:rPr>
          <w:sz w:val="20"/>
          <w:szCs w:val="20"/>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affirmative action to correct any conditions resulting from any violation or practice;</w:t>
      </w:r>
    </w:p>
    <w:p>
      <w:pPr>
        <w:spacing w:after="0" w:line="27" w:lineRule="exact"/>
        <w:rPr>
          <w:rFonts w:ascii="Times New Roman" w:cs="Times New Roman" w:eastAsia="Times New Roman" w:hAnsi="Times New Roman"/>
          <w:sz w:val="18"/>
          <w:szCs w:val="18"/>
          <w:color w:val="auto"/>
        </w:rPr>
      </w:pPr>
    </w:p>
    <w:p>
      <w:pPr>
        <w:ind w:left="1140" w:right="360" w:hanging="369"/>
        <w:spacing w:after="0" w:line="250"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 increase in capital and the maintenance of higher specific minimum capital ratios, which could preclude the Bank from being deemed well capitalized and restrict its ability to accept certain brokered deposits;</w:t>
      </w:r>
    </w:p>
    <w:p>
      <w:pPr>
        <w:ind w:left="1140" w:right="900" w:hanging="369"/>
        <w:spacing w:after="0" w:line="260"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Bank’s growth geographically, by products and services, or by mergers and acquisitions, including bidding in FDIC receiverships for failed banks;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12" w:name="page13"/>
    <w:bookmarkEnd w:id="12"/>
    <w:p>
      <w:pPr>
        <w:ind w:left="1140" w:right="160" w:hanging="369"/>
        <w:spacing w:after="0" w:line="257"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issue informal or formal enforcement actions, including required Board resolutions, Matters Requiring Board Attention (MRBA), written agreements and consent or cease and desist orders or prompt corrective action orders to take corrective action and cease unsafe and unsound practices;</w:t>
      </w:r>
    </w:p>
    <w:p>
      <w:pPr>
        <w:ind w:left="1140" w:right="280" w:hanging="369"/>
        <w:spacing w:after="0" w:line="25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prior approval of senior executive officer or director changes; remove officers and directors and assess civil monetary penalties; and</w:t>
      </w:r>
    </w:p>
    <w:p>
      <w:pPr>
        <w:ind w:left="1140" w:hanging="36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FDIC insurance, revoke the charter and/or take possession of and close and liquidate the Bank or appoint the FDIC as receiver.</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Mergers and Acquisitions</w:t>
      </w:r>
    </w:p>
    <w:p>
      <w:pPr>
        <w:spacing w:after="0" w:line="186"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On July 9, 2021, President Biden signed an “Executive Order on Promoting Competition in the American Economy.” Included within the order is a sweeping recommendation that the Attorney General, in consultation with the heads of the FRB, FDIC and OCC review current practices and adopt a plan within 180 days for the “revitalization” of bank merger oversight to provide more extensive scrutiny of mergers. In 2021 and 2022, various bank regulatory agencies have sought public comments and requested additional information regarding laws, regulations and policies regarding merger transactions involving financial institutions. We will continue to evaluate the impact of any changes to the regulations implementing this executive order and their impact to our financial condition, results of operations and/or business strategies, which cannot be predicted at this time.</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Deposit Insurance</w:t>
      </w:r>
    </w:p>
    <w:p>
      <w:pPr>
        <w:spacing w:after="0" w:line="200" w:lineRule="exact"/>
        <w:rPr>
          <w:sz w:val="20"/>
          <w:szCs w:val="20"/>
          <w:color w:val="auto"/>
        </w:rPr>
      </w:pPr>
    </w:p>
    <w:p>
      <w:pPr>
        <w:ind w:right="40" w:firstLine="637"/>
        <w:spacing w:after="0" w:line="254" w:lineRule="auto"/>
        <w:rPr>
          <w:sz w:val="20"/>
          <w:szCs w:val="20"/>
          <w:color w:val="auto"/>
        </w:rPr>
      </w:pPr>
      <w:r>
        <w:rPr>
          <w:rFonts w:ascii="Times New Roman" w:cs="Times New Roman" w:eastAsia="Times New Roman" w:hAnsi="Times New Roman"/>
          <w:sz w:val="18"/>
          <w:szCs w:val="18"/>
          <w:color w:val="auto"/>
        </w:rPr>
        <w:t>The FDIC is an independent federal agency that insures deposits, up to prescribed statutory limits, of federally insured banks and savings institutions and safeguards the safety and soundness of the banking and savings industries. The FDIC insures our customer deposits through the DIF up to prescribed limits for each depositor. The Dodd-Frank Act revised the FDIC’s DIF management authority by setting requirements for the Designated Reserve Ratio (the DIF balance divided by estimated insured deposits) and redefining the assessment base, which is used to calculate banks’ quarterly assessments. The amount of FDIC assessments paid by each DIF member institution is based on its asset size and relative risk of default as measured by regulatory capital ratios and other supervisory factors. The FDIC may terminate a depository institution’s deposit insurance upon a finding that the institution’s financial condition is unsafe or unsound or that the institution has engaged in unsafe or unsound practices that pose a risk to the DIF or that may prejudice the interest of the bank’s depositors. The termination of deposit insurance for a bank would also result in the revocation of the bank’s charter by the DFPI.</w:t>
      </w:r>
    </w:p>
    <w:p>
      <w:pPr>
        <w:spacing w:after="0" w:line="145" w:lineRule="exact"/>
        <w:rPr>
          <w:sz w:val="20"/>
          <w:szCs w:val="20"/>
          <w:color w:val="auto"/>
        </w:rPr>
      </w:pPr>
    </w:p>
    <w:p>
      <w:pPr>
        <w:ind w:right="80" w:firstLine="637"/>
        <w:spacing w:after="0" w:line="255" w:lineRule="auto"/>
        <w:rPr>
          <w:sz w:val="20"/>
          <w:szCs w:val="20"/>
          <w:color w:val="auto"/>
        </w:rPr>
      </w:pPr>
      <w:r>
        <w:rPr>
          <w:rFonts w:ascii="Times New Roman" w:cs="Times New Roman" w:eastAsia="Times New Roman" w:hAnsi="Times New Roman"/>
          <w:sz w:val="18"/>
          <w:szCs w:val="18"/>
          <w:color w:val="auto"/>
        </w:rPr>
        <w:t>We are generally unable to control the amount of premiums that we are required to pay for FDIC insurance, which can be affected by the cost of bank failures to the FDIC among other factors. The FDIC is an independent federal agency that insures deposits through the DIF up to prescribed statutory limits of federally insured banks and savings institutions and safeguards the safety and soundness of the banking and savings industries. The Dodd-Frank Act revised the FDIC’s DIF management authority by setting requirements for the Designated Reserve Ratio (the “DRR”, calculated as the DIF balance divided by estimated insured deposits) and redefining the assessment base which is used to calculate banks’ quarterly assessments. The amount of FDIC assessments paid by each DIF member institution is based on its asset size and its relative risk of default as measured by regulatory capital ratios and other supervisory factors.</w:t>
      </w:r>
    </w:p>
    <w:p>
      <w:pPr>
        <w:spacing w:after="0" w:line="146"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FDIC has set the DRR at 2.00%. In October 2022, in order to increase the likelihood that the reserve ratio would be restored to at least 1.35% by the statutory deadline of September 30, 2029, the FDIC increased in the initial base deposit insurance assessment rate schedules uniformly by two (2) basis points. The increase in assessment rates is effective as of January 1, 2023 and is applicable beginning with the first quarterly assessment period of 2023. The FDIC will, at least semi-annually, update its income and loss projections for the Deposit Insurance Fund and, if necessary, propose rules to further increase assessment rates. Any future increases in FDIC insurance premiums may have a material and adverse effect on our earnings and could have a material adverse effect on the value of, or market for, our common stock.</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8" w:lineRule="exact"/>
        <w:rPr>
          <w:sz w:val="20"/>
          <w:szCs w:val="20"/>
          <w:color w:val="auto"/>
        </w:rPr>
      </w:pPr>
    </w:p>
    <w:p>
      <w:pPr>
        <w:ind w:right="20" w:firstLine="637"/>
        <w:spacing w:after="0" w:line="256" w:lineRule="auto"/>
        <w:rPr>
          <w:sz w:val="20"/>
          <w:szCs w:val="20"/>
          <w:color w:val="auto"/>
        </w:rPr>
      </w:pPr>
      <w:r>
        <w:rPr>
          <w:rFonts w:ascii="Times New Roman" w:cs="Times New Roman" w:eastAsia="Times New Roman" w:hAnsi="Times New Roman"/>
          <w:sz w:val="18"/>
          <w:szCs w:val="18"/>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The Federal Reserve also discourages dividend payment ratios that are at maximum allowable levels unless both asset quality and capital are very strong. In addition, a bank holding company may be unable to pay dividends on its common stock if it fails to maintain an adequate capital conservation buffer under current capital rules. There can be no assurance of the amount of</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dividends that the Company will pay to its shareholders in the future or that the Company will continue to pay dividends to its shareholders at all.</w:t>
      </w:r>
    </w:p>
    <w:p>
      <w:pPr>
        <w:spacing w:after="0" w:line="198" w:lineRule="exact"/>
        <w:rPr>
          <w:sz w:val="20"/>
          <w:szCs w:val="20"/>
          <w:color w:val="auto"/>
        </w:rPr>
      </w:pPr>
    </w:p>
    <w:p>
      <w:pPr>
        <w:ind w:right="40" w:firstLine="637"/>
        <w:spacing w:after="0" w:line="265" w:lineRule="auto"/>
        <w:rPr>
          <w:sz w:val="20"/>
          <w:szCs w:val="20"/>
          <w:color w:val="auto"/>
        </w:rPr>
      </w:pPr>
      <w:r>
        <w:rPr>
          <w:rFonts w:ascii="Times New Roman" w:cs="Times New Roman" w:eastAsia="Times New Roman" w:hAnsi="Times New Roman"/>
          <w:sz w:val="18"/>
          <w:szCs w:val="18"/>
          <w:color w:val="auto"/>
        </w:rPr>
        <w:t>The Federal Reserve also maintains a policy that redemptions of instruments included in regulatory capital and repurchases of common stock from investors be consistent with an organization’s current and prospective capital needs. We consult with the Federal Reserve regarding our plans for common stock repurchases.</w:t>
      </w:r>
    </w:p>
    <w:p>
      <w:pPr>
        <w:spacing w:after="0" w:line="137"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The Bank is a legal entity that is separate and distinct from its holding company. CVB relies on dividends received from the Bank for use in the operation of the Company and the ability of CVB to pay dividends to shareholders. Future cash dividends by the Bank will also depend upon management’s assessment of future capital requirements, contractual restrictions, and other factors. Current capital rules may restrict dividends by the Bank if the additional capital conservation buffer is not achieved. See “Capital Adequacy Requirements”.</w:t>
      </w:r>
    </w:p>
    <w:p>
      <w:pPr>
        <w:spacing w:after="0" w:line="141" w:lineRule="exact"/>
        <w:rPr>
          <w:sz w:val="20"/>
          <w:szCs w:val="20"/>
          <w:color w:val="auto"/>
        </w:rPr>
      </w:pPr>
    </w:p>
    <w:p>
      <w:pPr>
        <w:ind w:right="180" w:firstLine="637"/>
        <w:spacing w:after="0" w:line="260" w:lineRule="auto"/>
        <w:rPr>
          <w:sz w:val="20"/>
          <w:szCs w:val="20"/>
          <w:color w:val="auto"/>
        </w:rPr>
      </w:pPr>
      <w:r>
        <w:rPr>
          <w:rFonts w:ascii="Times New Roman" w:cs="Times New Roman" w:eastAsia="Times New Roman" w:hAnsi="Times New Roman"/>
          <w:sz w:val="18"/>
          <w:szCs w:val="18"/>
          <w:color w:val="auto"/>
        </w:rPr>
        <w:t>The ability of the Bank to declare a cash dividend to CVB is subject to California law, which restricts the amount available for cash dividends to the lesser of a bank’s retained earnings or net income for its last three fiscal years (less any distributions to shareholders made during such period). Where the above test is not met, cash dividends may still be paid, with the prior approval of the DFPI, in an amount not exceeding the greatest of (1) retained earnings of the bank; (2) the net income of the bank for its last fiscal year; or (3) the net income of the bank for its current fiscal year.</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188" w:lineRule="exact"/>
        <w:rPr>
          <w:sz w:val="20"/>
          <w:szCs w:val="20"/>
          <w:color w:val="auto"/>
        </w:rPr>
      </w:pPr>
    </w:p>
    <w:p>
      <w:pPr>
        <w:jc w:val="both"/>
        <w:ind w:right="140" w:firstLine="637"/>
        <w:spacing w:after="0" w:line="272" w:lineRule="auto"/>
        <w:rPr>
          <w:sz w:val="20"/>
          <w:szCs w:val="20"/>
          <w:color w:val="auto"/>
        </w:rPr>
      </w:pPr>
      <w:r>
        <w:rPr>
          <w:rFonts w:ascii="Times New Roman" w:cs="Times New Roman" w:eastAsia="Times New Roman" w:hAnsi="Times New Roman"/>
          <w:sz w:val="17"/>
          <w:szCs w:val="17"/>
          <w:color w:val="auto"/>
        </w:rPr>
        <w:t>Under regulatory guidance applicable to all banking organizations, incentive compensation policies must be consistent with safety and soundness principles. Under this guidance, financial institutions must review their compensation programs to ensure that they: (i) provide employees with incentives that appropriately balance risk and reward and that do not encourage imprudent risk, (ii) are compatible with effective controls and risk management, and</w:t>
      </w:r>
    </w:p>
    <w:p>
      <w:pPr>
        <w:spacing w:after="0" w:line="1" w:lineRule="exact"/>
        <w:rPr>
          <w:sz w:val="20"/>
          <w:szCs w:val="20"/>
          <w:color w:val="auto"/>
        </w:rPr>
      </w:pPr>
    </w:p>
    <w:p>
      <w:pPr>
        <w:ind w:right="220" w:firstLine="8"/>
        <w:spacing w:after="0" w:line="273" w:lineRule="auto"/>
        <w:tabs>
          <w:tab w:leader="none" w:pos="31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supported by strong corporate governance, including active and effective oversight by the banking organization’s board of directors. Monitoring methods and processes used by a banking organization should be commensurate with the size and complexity of the organization and its use of incentive compensation. During 2016, as required by the Dodd-Frank Act, the federal bank regulatory agencies and the SEC proposed revised rules on incentive-based payment arrangements at specified regulated entities having at least $1 billion of total assets (including the Company and Citizens Business Bank).</w:t>
      </w:r>
    </w:p>
    <w:p>
      <w:pPr>
        <w:spacing w:after="0" w:line="130" w:lineRule="exact"/>
        <w:rPr>
          <w:sz w:val="20"/>
          <w:szCs w:val="20"/>
          <w:color w:val="auto"/>
        </w:rPr>
      </w:pPr>
    </w:p>
    <w:p>
      <w:pPr>
        <w:ind w:right="80" w:firstLine="637"/>
        <w:spacing w:after="0" w:line="255" w:lineRule="auto"/>
        <w:rPr>
          <w:sz w:val="20"/>
          <w:szCs w:val="20"/>
          <w:color w:val="auto"/>
        </w:rPr>
      </w:pPr>
      <w:r>
        <w:rPr>
          <w:rFonts w:ascii="Times New Roman" w:cs="Times New Roman" w:eastAsia="Times New Roman" w:hAnsi="Times New Roman"/>
          <w:sz w:val="18"/>
          <w:szCs w:val="18"/>
          <w:color w:val="auto"/>
        </w:rPr>
        <w:t>In October 2022, the SEC adopted final rules implementing the incentive-based compensation recovery (clawback) provisions of the Dodd-Frank Act. The final rule requires the stock exchanges to, among other things, establish listing standards for listed companies which must develop and implement policies for the recovery of erroneously awarded incentive-based compensation received by former or current executive officers. The SEC's final rules became effective on January 27, 2023, and the Nasdaq Stock Market has until February 26, 2023 to propose new clawback listing standards which must become effective by November 28, 2023. A listed issuer will then have 60 days to adopt a clawback policy that is compliant with the new SEC rules and Nasdaq listing standards. The Company currently has a compensation clawback policy in place and we expect to make any necessary modifications to our existing policy once the applicable listing standards become effective.</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Data Breaches</w:t>
      </w:r>
    </w:p>
    <w:p>
      <w:pPr>
        <w:spacing w:after="0" w:line="188" w:lineRule="exact"/>
        <w:rPr>
          <w:sz w:val="20"/>
          <w:szCs w:val="20"/>
          <w:color w:val="auto"/>
        </w:rPr>
      </w:pPr>
    </w:p>
    <w:p>
      <w:pPr>
        <w:ind w:right="40" w:firstLine="637"/>
        <w:spacing w:after="0" w:line="253" w:lineRule="auto"/>
        <w:rPr>
          <w:sz w:val="20"/>
          <w:szCs w:val="20"/>
          <w:color w:val="auto"/>
        </w:rPr>
      </w:pPr>
      <w:r>
        <w:rPr>
          <w:rFonts w:ascii="Times New Roman" w:cs="Times New Roman" w:eastAsia="Times New Roman" w:hAnsi="Times New Roman"/>
          <w:sz w:val="18"/>
          <w:szCs w:val="18"/>
          <w:color w:val="auto"/>
        </w:rPr>
        <w:t>Federal regulators have issued multiple statements regarding cybersecurity and that financial institutions need to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In addition, a financial institution’s management is expected to maintain sufficient business continuity planning processes to ensure the rapid recovery, resumption and maintenance of the institution’s operations in the event of a cyber-attack. A financial institution is also expected to develop appropriate processes to enable recovery of data and business operations and address rebuilding network capabilities and restoring data if the institution or one of its critical service providers fall victim to a cyber-attack. In November 2021, the federal banking agencies adopted a final rule, with compliance required by May 1, 2022, that requires banking organizations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If we fail to observe the regulatory guidance, we could be subject to various regulatory sanctions, including financial penalties.</w:t>
      </w:r>
    </w:p>
    <w:p>
      <w:pPr>
        <w:spacing w:after="0" w:line="148" w:lineRule="exact"/>
        <w:rPr>
          <w:sz w:val="20"/>
          <w:szCs w:val="20"/>
          <w:color w:val="auto"/>
        </w:rPr>
      </w:pPr>
    </w:p>
    <w:p>
      <w:pPr>
        <w:ind w:right="160" w:firstLine="637"/>
        <w:spacing w:after="0" w:line="281" w:lineRule="auto"/>
        <w:rPr>
          <w:sz w:val="20"/>
          <w:szCs w:val="20"/>
          <w:color w:val="auto"/>
        </w:rPr>
      </w:pPr>
      <w:r>
        <w:rPr>
          <w:rFonts w:ascii="Times New Roman" w:cs="Times New Roman" w:eastAsia="Times New Roman" w:hAnsi="Times New Roman"/>
          <w:sz w:val="18"/>
          <w:szCs w:val="18"/>
          <w:color w:val="auto"/>
        </w:rPr>
        <w:t>State regulators have also been increasingly active in implementing privacy and cybersecurity standards and regulations. Recently, several states, notably including California where we conduct substantially all our banking business,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4" w:name="page15"/>
    <w:bookmarkEnd w:id="14"/>
    <w:p>
      <w:pPr>
        <w:ind w:right="40"/>
        <w:spacing w:after="0" w:line="260" w:lineRule="auto"/>
        <w:rPr>
          <w:sz w:val="20"/>
          <w:szCs w:val="20"/>
          <w:color w:val="auto"/>
        </w:rPr>
      </w:pPr>
      <w:r>
        <w:rPr>
          <w:rFonts w:ascii="Times New Roman" w:cs="Times New Roman" w:eastAsia="Times New Roman" w:hAnsi="Times New Roman"/>
          <w:sz w:val="18"/>
          <w:szCs w:val="18"/>
          <w:color w:val="auto"/>
        </w:rPr>
        <w:t>have adopted laws and/or regulations requiring certain financial institutions to implement cybersecurity programs and providing detailed requirements with respect to these programs, including data encryption requirements. Many such states have also implemented or modified their data breach notification and data privacy requirements including California and New York. We expect this trend of state-level activity in those areas to continue, and we continue to monitor relevant legislative and regulatory developments in California where nearly all our customers are located.</w:t>
      </w:r>
    </w:p>
    <w:p>
      <w:pPr>
        <w:spacing w:after="0" w:line="155" w:lineRule="exact"/>
        <w:rPr>
          <w:sz w:val="20"/>
          <w:szCs w:val="20"/>
          <w:color w:val="auto"/>
        </w:rPr>
      </w:pPr>
    </w:p>
    <w:p>
      <w:pPr>
        <w:ind w:right="20" w:firstLine="637"/>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rely on electronic communications and information systems to conduct our operations and to store sensitive data. We employ a layered, defensive approach that leverages people, processes and technology to manage and maintain cybersecurity controls. We employ a variety of preventative and detective tools to monitor, block, and provide alerts regarding suspicious activity, as well as to report on any suspected advanced persistent threats. Notwithstanding the strength of our defensive measures, the threat from cyber-attacks is severe, attacks are sophisticated and increasing in volume, and attackers respond rapidly to changes in defensive measures. While to date we have not detected a significant compromise, significant data loss or any material financial losses related to cybersecurity attacks, our systems and those of our customers and third-party service providers are under constant threat and it is possible that we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us and our customers. In addition, to the extent we experience any data breaches, we may become subject to governmental fines or enforcement actions as well as potential liability arising out of governmental or private litigation. See Item 1A. Risk Factors for a further discussion of risks related to cybersecurity and data breaches.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Operations and Consumer Compliance Laws</w:t>
      </w:r>
    </w:p>
    <w:p>
      <w:pPr>
        <w:spacing w:after="0" w:line="188" w:lineRule="exact"/>
        <w:rPr>
          <w:sz w:val="20"/>
          <w:szCs w:val="20"/>
          <w:color w:val="auto"/>
        </w:rPr>
      </w:pPr>
    </w:p>
    <w:p>
      <w:pPr>
        <w:ind w:right="20" w:firstLine="637"/>
        <w:spacing w:after="0" w:line="254" w:lineRule="auto"/>
        <w:rPr>
          <w:sz w:val="20"/>
          <w:szCs w:val="20"/>
          <w:color w:val="auto"/>
        </w:rPr>
      </w:pPr>
      <w:r>
        <w:rPr>
          <w:rFonts w:ascii="Times New Roman" w:cs="Times New Roman" w:eastAsia="Times New Roman" w:hAnsi="Times New Roman"/>
          <w:sz w:val="18"/>
          <w:szCs w:val="18"/>
          <w:color w:val="auto"/>
        </w:rPr>
        <w:t>The Bank must comply with numerous federal and state anti-money laundering and consumer protection statutes and implementing regulations, including the USA PATRIOT Act of 2001, the Bank Secrecy Act, the Foreign Account Tax Compliance Act, the CRA, the California Consumer Privacy Act, the Fair Debt Collection Practices Act, the Fair Credit Reporting Act, the Equal Credit Opportunity Act, the Truth in Lending Act, the Fair Housing Act, the Home Mortgage Disclosure Act, the Real Estate Settlement Procedures Act, the National Flood Insurance Act, the California Homeowner Bill of Rights and various federal and state privacy protection laws, including the Telephone Consumer Protection Act, CAN-SPAM Act. Noncompliance with any of these laws could subject the Bank to compliance enforcement actions as well as lawsuits and could also result in administrative penalties, including, fines and reimbursements. The Bank and the Company are also subject to federal and state laws prohibiting unfair or fraudulent business practices, untrue or misleading advertising and unfair competition.</w:t>
      </w:r>
    </w:p>
    <w:p>
      <w:pPr>
        <w:spacing w:after="0" w:line="162" w:lineRule="exact"/>
        <w:rPr>
          <w:sz w:val="20"/>
          <w:szCs w:val="20"/>
          <w:color w:val="auto"/>
        </w:rPr>
      </w:pPr>
    </w:p>
    <w:p>
      <w:pPr>
        <w:ind w:right="180" w:firstLine="644"/>
        <w:spacing w:after="0" w:line="260" w:lineRule="auto"/>
        <w:rPr>
          <w:sz w:val="20"/>
          <w:szCs w:val="20"/>
          <w:color w:val="auto"/>
        </w:rPr>
      </w:pPr>
      <w:r>
        <w:rPr>
          <w:rFonts w:ascii="Times New Roman" w:cs="Times New Roman" w:eastAsia="Times New Roman" w:hAnsi="Times New Roman"/>
          <w:sz w:val="18"/>
          <w:szCs w:val="18"/>
          <w:color w:val="auto"/>
        </w:rPr>
        <w:t>These laws and regulations mandate certain disclosure and reporting requirements and regulate the manner in which financial institutions must deal with customers when taking deposits, making loans, servicing, collecting and foreclosure of loans, and providing other services. Failure to comply with these laws and regulations can subject the Bank and the Company to various penalties, including but not limited to enforcement actions, injunctions, fines or criminal penalties, punitive damages to consumers, and the loss of certain contractual rights.</w:t>
      </w:r>
    </w:p>
    <w:p>
      <w:pPr>
        <w:spacing w:after="0" w:line="141" w:lineRule="exact"/>
        <w:rPr>
          <w:sz w:val="20"/>
          <w:szCs w:val="20"/>
          <w:color w:val="auto"/>
        </w:rPr>
      </w:pPr>
    </w:p>
    <w:p>
      <w:pPr>
        <w:ind w:right="60" w:firstLine="637"/>
        <w:spacing w:after="0" w:line="258" w:lineRule="auto"/>
        <w:rPr>
          <w:sz w:val="20"/>
          <w:szCs w:val="20"/>
          <w:color w:val="auto"/>
        </w:rPr>
      </w:pPr>
      <w:r>
        <w:rPr>
          <w:rFonts w:ascii="Times New Roman" w:cs="Times New Roman" w:eastAsia="Times New Roman" w:hAnsi="Times New Roman"/>
          <w:sz w:val="18"/>
          <w:szCs w:val="18"/>
          <w:color w:val="auto"/>
        </w:rPr>
        <w:t>The Anti-Money Laundering Act of 2020 (“AMLA”), which amends the Bank Secrecy Act of 1970 (“BSA”), was enacted in January 2021. The AMLA is intended to be a comprehensive reform and modernization to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w:t>
      </w:r>
    </w:p>
    <w:p>
      <w:pPr>
        <w:spacing w:after="0" w:line="141" w:lineRule="exact"/>
        <w:rPr>
          <w:sz w:val="20"/>
          <w:szCs w:val="20"/>
          <w:color w:val="auto"/>
        </w:rPr>
      </w:pPr>
    </w:p>
    <w:p>
      <w:pPr>
        <w:ind w:right="360" w:firstLine="637"/>
        <w:spacing w:after="0" w:line="265" w:lineRule="auto"/>
        <w:rPr>
          <w:sz w:val="20"/>
          <w:szCs w:val="20"/>
          <w:color w:val="auto"/>
        </w:rPr>
      </w:pPr>
      <w:r>
        <w:rPr>
          <w:rFonts w:ascii="Times New Roman" w:cs="Times New Roman" w:eastAsia="Times New Roman" w:hAnsi="Times New Roman"/>
          <w:sz w:val="18"/>
          <w:szCs w:val="18"/>
          <w:color w:val="auto"/>
        </w:rPr>
        <w:t>The Bank received an overall “Satisfactory” rating in its most recent FDIC CRA performance evaluation, which measures how financial institutions support their communities in the areas of lending, investment and service tests. The Bank received a “High Satisfactory” rating for both the lending and the investment tests and an “Outstanding” rating for the service test.</w:t>
      </w:r>
    </w:p>
    <w:p>
      <w:pPr>
        <w:spacing w:after="0" w:line="110"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color w:val="auto"/>
        </w:rPr>
        <w:t>In May 2022, the FDIC, the FRB and the Office of the Comptroller of the Currency (“OCC”) jointly proposed rules that would significantly change existing CRA regulations. The proposed rules are intended to increase bank activity in low- and moderate-income communities where there is significant need for credit, more responsible lending, greater access to banking services, and improvements to critical infrastructure. The proposals are intended to modernize and strengthen the rules that implement the CRA by (i) expanding access to credit, investment and basic banking services in the low-and moderate-income (LMI) communities; (ii) adapting changes in the banking industry, including mobile and internet banking by modernizing assessment areas while maintaining a focus on branch-based areas; (iii) providing greater clarity, consistent and transparency in the application of the regulations through the use of standardized metrics as part of CRA evaluation and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15" w:name="page16"/>
    <w:bookmarkEnd w:id="15"/>
    <w:p>
      <w:pPr>
        <w:ind w:right="40"/>
        <w:spacing w:after="0" w:line="258" w:lineRule="auto"/>
        <w:rPr>
          <w:sz w:val="20"/>
          <w:szCs w:val="20"/>
          <w:color w:val="auto"/>
        </w:rPr>
      </w:pPr>
      <w:r>
        <w:rPr>
          <w:rFonts w:ascii="Times New Roman" w:cs="Times New Roman" w:eastAsia="Times New Roman" w:hAnsi="Times New Roman"/>
          <w:sz w:val="18"/>
          <w:szCs w:val="18"/>
          <w:color w:val="auto"/>
        </w:rPr>
        <w:t>clarifying eligible CRA activities focused on LMI communities and under-served rural communities; (iv) tailoring CRA rules and data collection to bank size and business model; and (v) maintaining a unified approach among the regulators. In particular, the proposed rules would generally apply four tests for banks over $2 billion in assets, including our Bank; a retail lending test; a retail services and products test; a community development financing test and a community development services test. We will continue to evaluate the impact of any changes to the regulations implementing the CRA and their impact to our financial condition, results of operations, and/or liquidity, which cannot be predicted at this time.</w:t>
      </w:r>
    </w:p>
    <w:p>
      <w:pPr>
        <w:spacing w:after="0" w:line="141" w:lineRule="exact"/>
        <w:rPr>
          <w:sz w:val="20"/>
          <w:szCs w:val="20"/>
          <w:color w:val="auto"/>
        </w:rPr>
      </w:pPr>
    </w:p>
    <w:p>
      <w:pPr>
        <w:ind w:firstLine="637"/>
        <w:spacing w:after="0" w:line="258" w:lineRule="auto"/>
        <w:rPr>
          <w:sz w:val="20"/>
          <w:szCs w:val="20"/>
          <w:color w:val="auto"/>
        </w:rPr>
      </w:pPr>
      <w:r>
        <w:rPr>
          <w:rFonts w:ascii="Times New Roman" w:cs="Times New Roman" w:eastAsia="Times New Roman" w:hAnsi="Times New Roman"/>
          <w:sz w:val="18"/>
          <w:szCs w:val="18"/>
          <w:color w:val="auto"/>
        </w:rPr>
        <w:t>The Dodd-Frank Act provided for the creation of the Bureau of Consumer Finance Protection (“CFPB”) as an independent entity within the Federal Reserve with broad rulemaking, supervisory and enforcement authority over consumer financial products and services, including deposit products, residential mortgages, home-equity loans and credit cards. The CFPB’s functions include investigating consumer complaints, conducting market research, rulemaking, and enforcing rules related to consumer financial products and services. CFPB regulations and guidance apply to all covered persons and banks with $10 billion or more in assets, such as the Bank. Accordingly, the Bank is subject to CFPB supervision including examination by the CFPB.</w:t>
      </w:r>
    </w:p>
    <w:p>
      <w:pPr>
        <w:spacing w:after="0" w:line="141" w:lineRule="exact"/>
        <w:rPr>
          <w:sz w:val="20"/>
          <w:szCs w:val="20"/>
          <w:color w:val="auto"/>
        </w:rPr>
      </w:pPr>
    </w:p>
    <w:p>
      <w:pPr>
        <w:ind w:right="60" w:firstLine="637"/>
        <w:spacing w:after="0" w:line="254" w:lineRule="auto"/>
        <w:rPr>
          <w:sz w:val="20"/>
          <w:szCs w:val="20"/>
          <w:color w:val="auto"/>
        </w:rPr>
      </w:pPr>
      <w:r>
        <w:rPr>
          <w:rFonts w:ascii="Times New Roman" w:cs="Times New Roman" w:eastAsia="Times New Roman" w:hAnsi="Times New Roman"/>
          <w:sz w:val="18"/>
          <w:szCs w:val="18"/>
          <w:color w:val="auto"/>
        </w:rPr>
        <w:t>The CFPB has finalized a number of significant rules which impact nearly every aspect of the lifecycle of a residential mortgage loan. These rules implement the Dodd-Frank Act amendments to the Equal Credit Opportunity Act, the Truth in Lending Act and the Real Estate Settlement Procedures Act. Among other things, the rules adopted by the CFPB require covered persons including banks making residential mortgage loans to: (i) develop and implement procedures to ensure compliance with an “ability-to-repay” test and identify whether a loan meets a new definition for a “qualified mortgage”, in which case a rebuttable presumption exists that the creditor extending the loan has satisfied the ability-to-repay test; (ii) implement new or revised disclosures, policies and procedures for originating and servicing mortgages including, but not limited to, pre-loan counseling, early intervention with delinquent borrowers and specific loss mitigation procedures for loans secured by a borrower’s principal residence; (iii) comply with additional restrictions on mortgage loan originator hiring and compensation; (iv) comply with new disclosure requirements and standards for appraisals and certain financial products; and (v) maintain escrow accounts for higher-priced mortgage loans for a longer period of time.</w:t>
      </w:r>
    </w:p>
    <w:p>
      <w:pPr>
        <w:spacing w:after="0" w:line="159" w:lineRule="exact"/>
        <w:rPr>
          <w:sz w:val="20"/>
          <w:szCs w:val="20"/>
          <w:color w:val="auto"/>
        </w:rPr>
      </w:pPr>
    </w:p>
    <w:p>
      <w:pPr>
        <w:ind w:right="160" w:firstLine="637"/>
        <w:spacing w:after="0" w:line="254" w:lineRule="auto"/>
        <w:rPr>
          <w:sz w:val="20"/>
          <w:szCs w:val="20"/>
          <w:color w:val="auto"/>
        </w:rPr>
      </w:pPr>
      <w:r>
        <w:rPr>
          <w:rFonts w:ascii="Times New Roman" w:cs="Times New Roman" w:eastAsia="Times New Roman" w:hAnsi="Times New Roman"/>
          <w:sz w:val="18"/>
          <w:szCs w:val="18"/>
          <w:color w:val="auto"/>
        </w:rPr>
        <w:t>The review of products and practices to prevent unfair, deceptive or abusive acts or practices (“UDAAP”)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violations of UDAAP and other legal requirements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the Bank’s business, financial condition or results of operations.</w:t>
      </w:r>
    </w:p>
    <w:p>
      <w:pPr>
        <w:spacing w:after="0" w:line="145" w:lineRule="exact"/>
        <w:rPr>
          <w:sz w:val="20"/>
          <w:szCs w:val="20"/>
          <w:color w:val="auto"/>
        </w:rPr>
      </w:pPr>
    </w:p>
    <w:p>
      <w:pPr>
        <w:ind w:right="220" w:firstLine="637"/>
        <w:spacing w:after="0" w:line="255" w:lineRule="auto"/>
        <w:rPr>
          <w:sz w:val="20"/>
          <w:szCs w:val="20"/>
          <w:color w:val="auto"/>
        </w:rPr>
      </w:pPr>
      <w:r>
        <w:rPr>
          <w:rFonts w:ascii="Times New Roman" w:cs="Times New Roman" w:eastAsia="Times New Roman" w:hAnsi="Times New Roman"/>
          <w:sz w:val="18"/>
          <w:szCs w:val="18"/>
          <w:color w:val="auto"/>
        </w:rPr>
        <w:t>The federal bank regulators have adopted rules limiting the ability of banks and other financial institutions to disclose non-public information about consumers to unaffiliated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46" w:lineRule="exact"/>
        <w:rPr>
          <w:sz w:val="20"/>
          <w:szCs w:val="20"/>
          <w:color w:val="auto"/>
        </w:rPr>
      </w:pPr>
    </w:p>
    <w:p>
      <w:pPr>
        <w:ind w:right="140" w:firstLine="637"/>
        <w:spacing w:after="0" w:line="265" w:lineRule="auto"/>
        <w:rPr>
          <w:sz w:val="20"/>
          <w:szCs w:val="20"/>
          <w:color w:val="auto"/>
        </w:rPr>
      </w:pPr>
      <w:r>
        <w:rPr>
          <w:rFonts w:ascii="Times New Roman" w:cs="Times New Roman" w:eastAsia="Times New Roman" w:hAnsi="Times New Roman"/>
          <w:sz w:val="18"/>
          <w:szCs w:val="18"/>
          <w:color w:val="auto"/>
        </w:rPr>
        <w:t>Under the Durbin Amendment to the Dodd-Frank Act, the Federal Reserve adopted rules establishing standards for assessing whether the interchange fees that may be charged with respect to certain electronic debit transactions are “reasonable and proportional” to the costs incurred by issuers for processing such transactions.</w:t>
      </w:r>
    </w:p>
    <w:p>
      <w:pPr>
        <w:spacing w:after="0" w:line="150" w:lineRule="exact"/>
        <w:rPr>
          <w:sz w:val="20"/>
          <w:szCs w:val="20"/>
          <w:color w:val="auto"/>
        </w:rPr>
      </w:pPr>
    </w:p>
    <w:p>
      <w:pPr>
        <w:ind w:right="40" w:firstLine="637"/>
        <w:spacing w:after="0" w:line="258" w:lineRule="auto"/>
        <w:rPr>
          <w:sz w:val="20"/>
          <w:szCs w:val="20"/>
          <w:color w:val="auto"/>
        </w:rPr>
      </w:pPr>
      <w:r>
        <w:rPr>
          <w:rFonts w:ascii="Times New Roman" w:cs="Times New Roman" w:eastAsia="Times New Roman" w:hAnsi="Times New Roman"/>
          <w:sz w:val="18"/>
          <w:szCs w:val="18"/>
          <w:color w:val="auto"/>
        </w:rPr>
        <w:t>Interchange fees, or “swipe” fees, are charges that merchants pay to us and other card-issuing banks for processing electronic payment transactions. Under the final rules, the maximum permissible interchange fee is equal to no more than 21 cents plus 5 basis points of the transaction value for many types of debit interchange transactions. The Federal Reserve also adopted a rule to allow a debit card issuer to recover one cent per transaction for fraud prevention purposes if the issuer complies with certain fraud-related requirements required by the Federal Reserve. The Federal Reserve also has rules governing routing and exclusivity that require issuers to offer two unaffiliated networks for routing transactions on each debit or prepaid product.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Concentration Limits</w:t>
      </w:r>
    </w:p>
    <w:p>
      <w:pPr>
        <w:spacing w:after="0" w:line="202" w:lineRule="exact"/>
        <w:rPr>
          <w:sz w:val="20"/>
          <w:szCs w:val="20"/>
          <w:color w:val="auto"/>
        </w:rPr>
      </w:pPr>
    </w:p>
    <w:p>
      <w:pPr>
        <w:ind w:firstLine="637"/>
        <w:spacing w:after="0" w:line="254" w:lineRule="auto"/>
        <w:rPr>
          <w:sz w:val="20"/>
          <w:szCs w:val="20"/>
          <w:color w:val="auto"/>
        </w:rPr>
      </w:pPr>
      <w:r>
        <w:rPr>
          <w:rFonts w:ascii="Times New Roman" w:cs="Times New Roman" w:eastAsia="Times New Roman" w:hAnsi="Times New Roman"/>
          <w:sz w:val="18"/>
          <w:szCs w:val="18"/>
          <w:color w:val="auto"/>
        </w:rPr>
        <w:t>In December 2006, the federal banking regulators issued guidance entitled “Concentrations in Commercial Real Estate Lending, Sound Risk Management Practices” to address increased concentrations in commercial real estate, or CRE,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 (iv) total CRE loans (which excludes owner-occupied CRE loans) representing 300% or more of the institution’s capital, and the outstanding balance of the institutions CRE portfolio has increased by 50% or more in the prior 36 months, may be identified for further supervisory analysis of the level and nature of its CRE concentration risk. As of December 31, 2022, the Bank’s total CRE loan concentration based on total outstanding loans is 283% of risk-based capital.</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Office of Foreign Assets Control Regulation</w:t>
      </w:r>
    </w:p>
    <w:p>
      <w:pPr>
        <w:spacing w:after="0" w:line="188"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color w:val="auto"/>
        </w:rPr>
        <w:t>The U.S. Treasury Department’s Office of Foreign Assets Control (“OFAC”), administers and enforces economic and trade sanctions against targeted foreign countries and regimes, under authority of various laws, including designated foreign countries, nationals and others. OFAC publishes lists of specially designated targets and countries. We are responsible for, among other things, blocking accounts of, and transactions with, such targets and countries, prohibiting unlicensed trade and financial transactions with them and reporting blocked transactions after their occurrence. Failure to comply with these sanctions could have serious financial, legal and reputational consequences,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violating these obligations.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Federal, State, or Local Tax Laws</w:t>
      </w:r>
    </w:p>
    <w:p>
      <w:pPr>
        <w:spacing w:after="0" w:line="188" w:lineRule="exact"/>
        <w:rPr>
          <w:sz w:val="20"/>
          <w:szCs w:val="20"/>
          <w:color w:val="auto"/>
        </w:rPr>
      </w:pPr>
    </w:p>
    <w:p>
      <w:pPr>
        <w:ind w:right="60" w:firstLine="637"/>
        <w:spacing w:after="0" w:line="258" w:lineRule="auto"/>
        <w:rPr>
          <w:sz w:val="20"/>
          <w:szCs w:val="20"/>
          <w:color w:val="auto"/>
        </w:rPr>
      </w:pPr>
      <w:r>
        <w:rPr>
          <w:rFonts w:ascii="Times New Roman" w:cs="Times New Roman" w:eastAsia="Times New Roman" w:hAnsi="Times New Roman"/>
          <w:sz w:val="18"/>
          <w:szCs w:val="18"/>
          <w:color w:val="auto"/>
        </w:rPr>
        <w:t>We are subject to changes in federal and applicable state tax laws and regulations that may impact our effective tax rates. Changes in these tax laws may be retroactive to previous periods and as a result could negatively impact our current and future financial performance. For example, the Tax Cuts and Jobs Act of 2017 resulted in a reduction of our federal tax rate from a minimum of 35% in 2017 to 21% in 2018, which had a favorable impact on our earnings. Conversely, this legislation also enacted limitations on certain deductions, including the deduction of FDIC deposit insurance premiums, which partially offset the expected increase in net earnings from the lower tax rate.</w:t>
      </w:r>
    </w:p>
    <w:p>
      <w:pPr>
        <w:spacing w:after="0" w:line="141" w:lineRule="exact"/>
        <w:rPr>
          <w:sz w:val="20"/>
          <w:szCs w:val="20"/>
          <w:color w:val="auto"/>
        </w:rPr>
      </w:pPr>
    </w:p>
    <w:p>
      <w:pPr>
        <w:ind w:right="160" w:firstLine="637"/>
        <w:spacing w:after="0" w:line="312" w:lineRule="auto"/>
        <w:rPr>
          <w:sz w:val="20"/>
          <w:szCs w:val="20"/>
          <w:color w:val="auto"/>
        </w:rPr>
      </w:pPr>
      <w:r>
        <w:rPr>
          <w:rFonts w:ascii="Times New Roman" w:cs="Times New Roman" w:eastAsia="Times New Roman" w:hAnsi="Times New Roman"/>
          <w:sz w:val="17"/>
          <w:szCs w:val="17"/>
          <w:color w:val="auto"/>
        </w:rPr>
        <w:t>On August 16, 2022, the Inflation Reduction Act of 2022 (the “IRA”) was enacted into law. The IRA imposes a non-deductible 1% excise tax on the aggregate fair market value of stock repurchased by certain public companies, including CVB Financial Corp., occurring after December 31, 2022.</w:t>
      </w:r>
    </w:p>
    <w:p>
      <w:pPr>
        <w:spacing w:after="0" w:line="112" w:lineRule="exact"/>
        <w:rPr>
          <w:sz w:val="20"/>
          <w:szCs w:val="20"/>
          <w:color w:val="auto"/>
        </w:rPr>
      </w:pPr>
    </w:p>
    <w:p>
      <w:pPr>
        <w:ind w:right="260" w:firstLine="637"/>
        <w:spacing w:after="0" w:line="281" w:lineRule="auto"/>
        <w:rPr>
          <w:sz w:val="20"/>
          <w:szCs w:val="20"/>
          <w:color w:val="auto"/>
        </w:rPr>
      </w:pPr>
      <w:r>
        <w:rPr>
          <w:rFonts w:ascii="Times New Roman" w:cs="Times New Roman" w:eastAsia="Times New Roman" w:hAnsi="Times New Roman"/>
          <w:sz w:val="18"/>
          <w:szCs w:val="18"/>
          <w:color w:val="auto"/>
        </w:rPr>
        <w:t xml:space="preserve">The foregoing description of the impact of changes in federal and applicable state tax laws on us should be read in conjunction with Note 11 —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of the notes to consolidated financial statements for more information.</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Future Legislation and Regulation</w:t>
      </w:r>
    </w:p>
    <w:p>
      <w:pPr>
        <w:spacing w:after="0" w:line="188" w:lineRule="exact"/>
        <w:rPr>
          <w:sz w:val="20"/>
          <w:szCs w:val="20"/>
          <w:color w:val="auto"/>
        </w:rPr>
      </w:pPr>
    </w:p>
    <w:p>
      <w:pPr>
        <w:ind w:right="260" w:firstLine="637"/>
        <w:spacing w:after="0" w:line="254" w:lineRule="auto"/>
        <w:rPr>
          <w:sz w:val="20"/>
          <w:szCs w:val="20"/>
          <w:color w:val="auto"/>
        </w:rPr>
      </w:pPr>
      <w:r>
        <w:rPr>
          <w:rFonts w:ascii="Times New Roman" w:cs="Times New Roman" w:eastAsia="Times New Roman" w:hAnsi="Times New Roman"/>
          <w:sz w:val="18"/>
          <w:szCs w:val="18"/>
          <w:color w:val="auto"/>
        </w:rPr>
        <w:t>Congress may enact, modify or repeal legislation from time to time that affects the regulation of the financial services industry, and state legislatures may enact, modify or repeal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The substance or impact of pending or future legislation or regulation, or the application thereof, cannot be predicted, although enactment of proposed legislation (or modification or repeal of existing legislation) could impact the regulatory structure under which the Company and Bank operate and may significantly increase its costs, impede the efficiency of its internal business processes, require the Bank to increase its regulatory capital and modify its business strategy, and limit its ability to pursue business opportunities in an efficient manner. The Company’s business, financial condition, results of operations or prospects may be adversely affected, perhaps materially.</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88" w:lineRule="exact"/>
        <w:rPr>
          <w:sz w:val="20"/>
          <w:szCs w:val="20"/>
          <w:color w:val="auto"/>
        </w:rPr>
      </w:pPr>
    </w:p>
    <w:p>
      <w:pPr>
        <w:ind w:right="140" w:firstLine="637"/>
        <w:spacing w:after="0" w:line="265" w:lineRule="auto"/>
        <w:rPr>
          <w:sz w:val="20"/>
          <w:szCs w:val="20"/>
          <w:color w:val="auto"/>
        </w:rPr>
      </w:pPr>
      <w:r>
        <w:rPr>
          <w:rFonts w:ascii="Times New Roman" w:cs="Times New Roman" w:eastAsia="Times New Roman" w:hAnsi="Times New Roman"/>
          <w:sz w:val="18"/>
          <w:szCs w:val="18"/>
          <w:color w:val="auto"/>
        </w:rPr>
        <w:t>Reports filed with the SEC include our proxy statements, annual reports on Form 10-K, quarterly reports on Form 10-Q and current reports on Form 8-K. The SEC maintains a website that contains the reports, proxy and information statements and other information we file with them. The address of the site is http://www.sec.gov. The Company also maintains an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17" w:name="page18"/>
    <w:bookmarkEnd w:id="17"/>
    <w:p>
      <w:pPr>
        <w:ind w:right="280"/>
        <w:spacing w:after="0" w:line="265" w:lineRule="auto"/>
        <w:rPr>
          <w:sz w:val="20"/>
          <w:szCs w:val="20"/>
          <w:color w:val="auto"/>
        </w:rPr>
      </w:pPr>
      <w:r>
        <w:rPr>
          <w:rFonts w:ascii="Times New Roman" w:cs="Times New Roman" w:eastAsia="Times New Roman" w:hAnsi="Times New Roman"/>
          <w:sz w:val="18"/>
          <w:szCs w:val="18"/>
          <w:color w:val="auto"/>
        </w:rPr>
        <w:t>Internet website at http://www.cbbank.com. We make available, free of charge through our website, our Proxy Statement, Annual Report on Form 10-K, Quarterly Reports on Form 10-Q, and Current Reports on Form 8-K, and any amendments thereto, as soon as reasonably practicable after we file such reports with the SEC. None of the information contained in or hyperlinked from our website is incorporated into this Form 10-K.</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Company</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sets forth certain information regarding our executive officers, their positions and their ages.</w:t>
      </w:r>
    </w:p>
    <w:p>
      <w:pPr>
        <w:spacing w:after="0" w:line="200" w:lineRule="exact"/>
        <w:rPr>
          <w:sz w:val="20"/>
          <w:szCs w:val="20"/>
          <w:color w:val="auto"/>
        </w:rPr>
      </w:pPr>
    </w:p>
    <w:p>
      <w:pPr>
        <w:spacing w:after="0" w:line="2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spacing w:after="0"/>
              <w:rPr>
                <w:sz w:val="15"/>
                <w:szCs w:val="15"/>
                <w:color w:val="auto"/>
              </w:rPr>
            </w:pPr>
          </w:p>
        </w:tc>
        <w:tc>
          <w:tcPr>
            <w:tcW w:w="7840" w:type="dxa"/>
            <w:vAlign w:val="bottom"/>
            <w:tcBorders>
              <w:bottom w:val="single" w:sz="8" w:color="auto"/>
            </w:tcBorders>
          </w:tcPr>
          <w:p>
            <w:pPr>
              <w:ind w:left="376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220" w:type="dxa"/>
            <w:vAlign w:val="bottom"/>
          </w:tcPr>
          <w:p>
            <w:pPr>
              <w:spacing w:after="0"/>
              <w:rPr>
                <w:sz w:val="15"/>
                <w:szCs w:val="15"/>
                <w:color w:val="auto"/>
              </w:rPr>
            </w:pPr>
          </w:p>
        </w:tc>
        <w:tc>
          <w:tcPr>
            <w:tcW w:w="7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Age</w:t>
            </w:r>
          </w:p>
        </w:tc>
        <w:tc>
          <w:tcPr>
            <w:tcW w:w="0" w:type="dxa"/>
            <w:vAlign w:val="bottom"/>
          </w:tcPr>
          <w:p>
            <w:pPr>
              <w:spacing w:after="0"/>
              <w:rPr>
                <w:sz w:val="1"/>
                <w:szCs w:val="1"/>
                <w:color w:val="auto"/>
              </w:rPr>
            </w:pPr>
          </w:p>
        </w:tc>
      </w:tr>
      <w:tr>
        <w:trPr>
          <w:trHeight w:val="43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Brager</w:t>
            </w:r>
          </w:p>
        </w:tc>
        <w:tc>
          <w:tcPr>
            <w:tcW w:w="180" w:type="dxa"/>
            <w:vAlign w:val="bottom"/>
          </w:tcPr>
          <w:p>
            <w:pPr>
              <w:spacing w:after="0"/>
              <w:rPr>
                <w:sz w:val="24"/>
                <w:szCs w:val="24"/>
                <w:color w:val="auto"/>
              </w:rPr>
            </w:pPr>
          </w:p>
        </w:tc>
        <w:tc>
          <w:tcPr>
            <w:tcW w:w="7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 of the Company and the Bank</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 Allen Nicholson</w:t>
            </w:r>
          </w:p>
        </w:tc>
        <w:tc>
          <w:tcPr>
            <w:tcW w:w="180" w:type="dxa"/>
            <w:vAlign w:val="bottom"/>
          </w:tcPr>
          <w:p>
            <w:pPr>
              <w:spacing w:after="0"/>
              <w:rPr>
                <w:sz w:val="19"/>
                <w:szCs w:val="19"/>
                <w:color w:val="auto"/>
              </w:rPr>
            </w:pPr>
          </w:p>
        </w:tc>
        <w:tc>
          <w:tcPr>
            <w:tcW w:w="7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of the Company and Executive Vice President and Chief Financial Officer of the</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F. Farnsworth</w:t>
            </w:r>
          </w:p>
        </w:tc>
        <w:tc>
          <w:tcPr>
            <w:tcW w:w="180" w:type="dxa"/>
            <w:vAlign w:val="bottom"/>
          </w:tcPr>
          <w:p>
            <w:pPr>
              <w:spacing w:after="0"/>
              <w:rPr>
                <w:sz w:val="21"/>
                <w:szCs w:val="21"/>
                <w:color w:val="auto"/>
              </w:rPr>
            </w:pPr>
          </w:p>
        </w:tc>
        <w:tc>
          <w:tcPr>
            <w:tcW w:w="7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Credit Officer of the Bank</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C. Harvey</w:t>
            </w:r>
          </w:p>
        </w:tc>
        <w:tc>
          <w:tcPr>
            <w:tcW w:w="180" w:type="dxa"/>
            <w:vAlign w:val="bottom"/>
          </w:tcPr>
          <w:p>
            <w:pPr>
              <w:spacing w:after="0"/>
              <w:rPr>
                <w:sz w:val="21"/>
                <w:szCs w:val="21"/>
                <w:color w:val="auto"/>
              </w:rPr>
            </w:pPr>
          </w:p>
        </w:tc>
        <w:tc>
          <w:tcPr>
            <w:tcW w:w="7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Operating Officer of the Bank</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H. Wohl</w:t>
            </w:r>
          </w:p>
        </w:tc>
        <w:tc>
          <w:tcPr>
            <w:tcW w:w="180" w:type="dxa"/>
            <w:vAlign w:val="bottom"/>
          </w:tcPr>
          <w:p>
            <w:pPr>
              <w:spacing w:after="0"/>
              <w:rPr>
                <w:sz w:val="21"/>
                <w:szCs w:val="21"/>
                <w:color w:val="auto"/>
              </w:rPr>
            </w:pPr>
          </w:p>
        </w:tc>
        <w:tc>
          <w:tcPr>
            <w:tcW w:w="7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Yamynn DeAngelis</w:t>
            </w:r>
          </w:p>
        </w:tc>
        <w:tc>
          <w:tcPr>
            <w:tcW w:w="180" w:type="dxa"/>
            <w:vAlign w:val="bottom"/>
          </w:tcPr>
          <w:p>
            <w:pPr>
              <w:spacing w:after="0"/>
              <w:rPr>
                <w:sz w:val="21"/>
                <w:szCs w:val="21"/>
                <w:color w:val="auto"/>
              </w:rPr>
            </w:pPr>
          </w:p>
        </w:tc>
        <w:tc>
          <w:tcPr>
            <w:tcW w:w="7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Risk Officer</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60" w:firstLine="63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Brager </w:t>
      </w:r>
      <w:r>
        <w:rPr>
          <w:rFonts w:ascii="Times New Roman" w:cs="Times New Roman" w:eastAsia="Times New Roman" w:hAnsi="Times New Roman"/>
          <w:sz w:val="18"/>
          <w:szCs w:val="18"/>
          <w:color w:val="auto"/>
        </w:rPr>
        <w:t>was appointed Chief Executive Officer of the Company and the Bank on March 16, 2020. Effective November 19, 2021, Mr. Brager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also named President of the Company and the Bank. Mr. Brager also serves on the Board of Directors of the Company and the Bank. Mr. Brager assumed the position of Executive Vice President and Sales Division Manager of the Bank on November 22, 2010. From 2007 to 2010, he served as Senior Vice President and Regional Manager of the Central Valley Region for the Bank. From 2003 to 2007, he served as Senior Vice President and Manager of the Fresno Business Financial Center for the Bank. From 1997 to 2003, Mr. Brager held management positions with Westamerica Bank.</w:t>
      </w:r>
    </w:p>
    <w:p>
      <w:pPr>
        <w:spacing w:after="0" w:line="155" w:lineRule="exact"/>
        <w:rPr>
          <w:sz w:val="20"/>
          <w:szCs w:val="20"/>
          <w:color w:val="auto"/>
        </w:rPr>
      </w:pPr>
    </w:p>
    <w:p>
      <w:pPr>
        <w:ind w:right="20" w:firstLine="63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Nicholson </w:t>
      </w:r>
      <w:r>
        <w:rPr>
          <w:rFonts w:ascii="Times New Roman" w:cs="Times New Roman" w:eastAsia="Times New Roman" w:hAnsi="Times New Roman"/>
          <w:sz w:val="18"/>
          <w:szCs w:val="18"/>
          <w:color w:val="auto"/>
        </w:rPr>
        <w:t>was appointed Chief Financial Officer of the Company and Executive Vice President and Chief Financial Officer of the Bank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4, 2016. Previously, Mr. Nicholson served as Executive Vice President and Chief Financial Officer of Pacific Premier Bank and its holding company, Pacific Premier Bancorp Inc. from June of 2015 to May of 2016, and from 2008 to 2014, Mr. Nicholson was Chief Financial Officer of 1st Enterprise Bank. From 2005 to 2008, he was the Chief Financial Officer of Mellon First Business Bank.</w:t>
      </w:r>
    </w:p>
    <w:p>
      <w:pPr>
        <w:spacing w:after="0" w:line="138" w:lineRule="exact"/>
        <w:rPr>
          <w:sz w:val="20"/>
          <w:szCs w:val="20"/>
          <w:color w:val="auto"/>
        </w:rPr>
      </w:pPr>
    </w:p>
    <w:p>
      <w:pPr>
        <w:ind w:right="300" w:firstLine="64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Farnsworth </w:t>
      </w:r>
      <w:r>
        <w:rPr>
          <w:rFonts w:ascii="Times New Roman" w:cs="Times New Roman" w:eastAsia="Times New Roman" w:hAnsi="Times New Roman"/>
          <w:sz w:val="18"/>
          <w:szCs w:val="18"/>
          <w:color w:val="auto"/>
        </w:rPr>
        <w:t>was appointed Executive Vice President and Chief Credit Officer of the Bank on July 18, 2016. Prior to his appointment,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Farnsworth was Executive Vice President, Global Risk Management, and National CRE Risk Executive at BBVA Compass. Previously, Mr. Farnsworth held senior credit management positions with US Bank and AmSouth.</w:t>
      </w:r>
    </w:p>
    <w:p>
      <w:pPr>
        <w:spacing w:after="0" w:line="132" w:lineRule="exact"/>
        <w:rPr>
          <w:sz w:val="20"/>
          <w:szCs w:val="20"/>
          <w:color w:val="auto"/>
        </w:rPr>
      </w:pPr>
    </w:p>
    <w:p>
      <w:pPr>
        <w:ind w:right="160" w:firstLine="63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Harvey </w:t>
      </w:r>
      <w:r>
        <w:rPr>
          <w:rFonts w:ascii="Times New Roman" w:cs="Times New Roman" w:eastAsia="Times New Roman" w:hAnsi="Times New Roman"/>
          <w:sz w:val="18"/>
          <w:szCs w:val="18"/>
          <w:color w:val="auto"/>
        </w:rPr>
        <w:t>was appointed Executive Vice President and Chief Operating Officer of the Bank on February 23, 2022. He previously assumed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of Executive Vice President and Chief Operations Officer of the Bank on December 31, 2009. From 2000 to 2008, he served as Senior Vice President and Operations Manager at Bank of the West. From 2008 to 2009 he served as Executive Vice President and Commercial and Treasury Services Manager at Bank of the West.</w:t>
      </w:r>
    </w:p>
    <w:p>
      <w:pPr>
        <w:spacing w:after="0" w:line="151" w:lineRule="exact"/>
        <w:rPr>
          <w:sz w:val="20"/>
          <w:szCs w:val="20"/>
          <w:color w:val="auto"/>
        </w:rPr>
      </w:pPr>
    </w:p>
    <w:p>
      <w:pPr>
        <w:ind w:right="20" w:firstLine="63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Wohl </w:t>
      </w:r>
      <w:r>
        <w:rPr>
          <w:rFonts w:ascii="Times New Roman" w:cs="Times New Roman" w:eastAsia="Times New Roman" w:hAnsi="Times New Roman"/>
          <w:sz w:val="18"/>
          <w:szCs w:val="18"/>
          <w:color w:val="auto"/>
        </w:rPr>
        <w:t>was initially appointed Executive Vice President and General Counsel of the Company and the Bank on October 11, 2011, and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rejoined the Company and the Bank in the same position on July 10, 2017 after a one-year hiatus at another financial institution. Prior to his initial appointment in 2011, Mr. Wohl served in senior business and legal roles at Indymac Bank, the law firm of Morrison &amp; Foerster, and the U.S. Department of State.</w:t>
      </w:r>
    </w:p>
    <w:p>
      <w:pPr>
        <w:spacing w:after="0" w:line="138" w:lineRule="exact"/>
        <w:rPr>
          <w:sz w:val="20"/>
          <w:szCs w:val="20"/>
          <w:color w:val="auto"/>
        </w:rPr>
      </w:pPr>
    </w:p>
    <w:p>
      <w:pPr>
        <w:ind w:right="160" w:firstLine="63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Ms. DeAngelis </w:t>
      </w:r>
      <w:r>
        <w:rPr>
          <w:rFonts w:ascii="Times New Roman" w:cs="Times New Roman" w:eastAsia="Times New Roman" w:hAnsi="Times New Roman"/>
          <w:sz w:val="18"/>
          <w:szCs w:val="18"/>
          <w:color w:val="auto"/>
        </w:rPr>
        <w:t>assumed the position of Executive Vice President and Chief Risk Officer of the Bank on January 5, 2009. From 2006 to 2008,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Executive Vice President and Service Division Manager for the Bank. From 1995 to 2005, she served as Senior Vice President and Division Service Manager for the Bank.</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8" w:name="page19"/>
    <w:bookmarkEnd w:id="1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8"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In the course of conducting our business operations, we are exposed to a variety of risks. Some of these risks are inherent in the financial services industry and others are more specific to our own business. Together with the other information on the risks we face and our management of risk contained in this Annual Report, the following presents the most significant risks of which we are currently aware which may affect us. Events or circumstances arising from one or more of these risks could adversely affect our business, financial condition, operating results and prospects and the value and price of our common stock could decline. The risks identified below are not intended to be a comprehensive list of all risks we face, and additional risks that we may currently view as not material may also impair our business operations, financial condition and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the COVID-19 Pandemic</w:t>
      </w:r>
    </w:p>
    <w:p>
      <w:pPr>
        <w:spacing w:after="0" w:line="184" w:lineRule="exact"/>
        <w:rPr>
          <w:sz w:val="20"/>
          <w:szCs w:val="20"/>
          <w:color w:val="auto"/>
        </w:rPr>
      </w:pPr>
    </w:p>
    <w:p>
      <w:pPr>
        <w:ind w:right="4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significantly impacted the banking industry and our business, including the scope and duration of the pandemic and actions taken by governmental authorities in response to the pandemic.</w:t>
      </w:r>
    </w:p>
    <w:p>
      <w:pPr>
        <w:spacing w:after="0" w:line="117" w:lineRule="exact"/>
        <w:rPr>
          <w:sz w:val="20"/>
          <w:szCs w:val="20"/>
          <w:color w:val="auto"/>
        </w:rPr>
      </w:pPr>
    </w:p>
    <w:p>
      <w:pPr>
        <w:ind w:firstLine="637"/>
        <w:spacing w:after="0" w:line="254" w:lineRule="auto"/>
        <w:rPr>
          <w:sz w:val="20"/>
          <w:szCs w:val="20"/>
          <w:color w:val="auto"/>
        </w:rPr>
      </w:pPr>
      <w:r>
        <w:rPr>
          <w:rFonts w:ascii="Times New Roman" w:cs="Times New Roman" w:eastAsia="Times New Roman" w:hAnsi="Times New Roman"/>
          <w:sz w:val="18"/>
          <w:szCs w:val="18"/>
          <w:color w:val="auto"/>
        </w:rPr>
        <w:t>The COVID-19 pandemic has negatively impacted the global, U.S., California and local economies, disrupted supply chains, affected equity market valuations, and created significant volatility and disruption in financial markets, although economic growth and employment levels had largely rebounded by the end of 2021. Similarly, the initial imposition of temporary business closures of many businesses and the institution of social distancing and sheltering in place requirements in many states and communities have been relaxed or rescinded as the COVID-19 pandemic has become more endemic. Our operations, like those of other financial institutions that operate in our markets, are significantly influenced by economic conditions in California, including the strength of the real estate market and business conditions in the industries to which we lend or from which we gather deposits. The COVID-19 pandemic has resulted in heightened volatility with respect to the revenues of many business sectors as well as in commercial and residential property sales and construction activities. As a result, the demand for our products and services has been significantly impacted by the actions of federal, state and local governments in response to the pandemic.</w:t>
      </w:r>
    </w:p>
    <w:p>
      <w:pPr>
        <w:spacing w:after="0" w:line="159" w:lineRule="exact"/>
        <w:rPr>
          <w:sz w:val="20"/>
          <w:szCs w:val="20"/>
          <w:color w:val="auto"/>
        </w:rPr>
      </w:pPr>
    </w:p>
    <w:p>
      <w:pPr>
        <w:ind w:right="200" w:firstLine="637"/>
        <w:spacing w:after="0" w:line="258" w:lineRule="auto"/>
        <w:rPr>
          <w:sz w:val="20"/>
          <w:szCs w:val="20"/>
          <w:color w:val="auto"/>
        </w:rPr>
      </w:pPr>
      <w:r>
        <w:rPr>
          <w:rFonts w:ascii="Times New Roman" w:cs="Times New Roman" w:eastAsia="Times New Roman" w:hAnsi="Times New Roman"/>
          <w:sz w:val="18"/>
          <w:szCs w:val="18"/>
          <w:color w:val="auto"/>
        </w:rPr>
        <w:t>As there continues to be a degree of remaining uncertainty around the epidemiological assumptions and impact of government responses to the pandemic, no assurance can be given that resulting impacts to economic conditions could adversely affect the Company’s service areas or other circumstances that could be reflected in an increased allowance for credit losses in future periods. For the year ended December 31, 2022, our allowance for credit losses increased $10.6 million, compared to a decrease of $25.5 million in provision for credit losses for 2021. Depending on the scope and duration of various impacts of the COVID-19 pandemic, there is a possibility that additional provisions for credit losses may be necessary in the future.</w:t>
      </w:r>
    </w:p>
    <w:p>
      <w:pPr>
        <w:spacing w:after="0" w:line="141" w:lineRule="exact"/>
        <w:rPr>
          <w:sz w:val="20"/>
          <w:szCs w:val="20"/>
          <w:color w:val="auto"/>
        </w:rPr>
      </w:pPr>
    </w:p>
    <w:p>
      <w:pPr>
        <w:ind w:right="160" w:firstLine="637"/>
        <w:spacing w:after="0" w:line="281" w:lineRule="auto"/>
        <w:rPr>
          <w:sz w:val="20"/>
          <w:szCs w:val="20"/>
          <w:color w:val="auto"/>
        </w:rPr>
      </w:pPr>
      <w:r>
        <w:rPr>
          <w:rFonts w:ascii="Times New Roman" w:cs="Times New Roman" w:eastAsia="Times New Roman" w:hAnsi="Times New Roman"/>
          <w:sz w:val="18"/>
          <w:szCs w:val="18"/>
          <w:color w:val="auto"/>
        </w:rPr>
        <w:t>Similarly, because of possible changing economic and market conditions affecting bond issuers, we may be required to recognize credit losses in future periods on the securities we hold as well as reductions in other comprehensive income.</w:t>
      </w:r>
    </w:p>
    <w:p>
      <w:pPr>
        <w:spacing w:after="0" w:line="122" w:lineRule="exact"/>
        <w:rPr>
          <w:sz w:val="20"/>
          <w:szCs w:val="20"/>
          <w:color w:val="auto"/>
        </w:rPr>
      </w:pPr>
    </w:p>
    <w:p>
      <w:pPr>
        <w:jc w:val="both"/>
        <w:ind w:right="100" w:firstLine="637"/>
        <w:spacing w:after="0" w:line="280" w:lineRule="auto"/>
        <w:rPr>
          <w:sz w:val="20"/>
          <w:szCs w:val="20"/>
          <w:color w:val="auto"/>
        </w:rPr>
      </w:pPr>
      <w:r>
        <w:rPr>
          <w:rFonts w:ascii="Times New Roman" w:cs="Times New Roman" w:eastAsia="Times New Roman" w:hAnsi="Times New Roman"/>
          <w:sz w:val="17"/>
          <w:szCs w:val="17"/>
          <w:color w:val="auto"/>
        </w:rPr>
        <w:t>Our business operations could be adversely affected if key personnel or a significant number of employees were to become unavailable due to the effects and restrictions of COVID-19 in our market areas. Although we have business continuity plans and other safeguards in place, there is no assurance that such plans and safeguards will be effective. In addition, we rely upon our third-party vendors to conduct business and to process, record, and monitor transactions. If any of these vendors are unable to continue to provide us with these services, it could negatively impact our ability to serve our customers.</w:t>
      </w:r>
    </w:p>
    <w:p>
      <w:pPr>
        <w:spacing w:after="0" w:line="140" w:lineRule="exact"/>
        <w:rPr>
          <w:sz w:val="20"/>
          <w:szCs w:val="20"/>
          <w:color w:val="auto"/>
        </w:rPr>
      </w:pPr>
    </w:p>
    <w:p>
      <w:pPr>
        <w:ind w:right="60" w:firstLine="637"/>
        <w:spacing w:after="0" w:line="260"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results of operations, and financial condition, as well as our regulatory capital and liquidity ratios, will depend on future developments, which are uncertain and cannot be predicted, including the scope and duration of the various impacts from the pandemic, including the effectiveness, distribution and uptake rates of vaccines, boosters and medical treatments, and actions taken by governmental authorities and other third parties in response to the pandemic.</w:t>
      </w:r>
    </w:p>
    <w:p>
      <w:pPr>
        <w:spacing w:after="0" w:line="137" w:lineRule="exact"/>
        <w:rPr>
          <w:sz w:val="20"/>
          <w:szCs w:val="20"/>
          <w:color w:val="auto"/>
        </w:rPr>
      </w:pPr>
    </w:p>
    <w:p>
      <w:pPr>
        <w:ind w:right="200" w:firstLine="64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bank elected to participate as a lender in the Small Business Administration’s Paycheck Protection Program (PPP) and has accordingly become subject to a number of significant risks applicable to lenders under the PPP.</w:t>
      </w:r>
    </w:p>
    <w:p>
      <w:pPr>
        <w:spacing w:after="0" w:line="117" w:lineRule="exact"/>
        <w:rPr>
          <w:sz w:val="20"/>
          <w:szCs w:val="20"/>
          <w:color w:val="auto"/>
        </w:rPr>
      </w:pPr>
    </w:p>
    <w:p>
      <w:pPr>
        <w:ind w:right="60" w:firstLine="637"/>
        <w:spacing w:after="0" w:line="258" w:lineRule="auto"/>
        <w:rPr>
          <w:sz w:val="20"/>
          <w:szCs w:val="20"/>
          <w:color w:val="auto"/>
        </w:rPr>
      </w:pPr>
      <w:r>
        <w:rPr>
          <w:rFonts w:ascii="Times New Roman" w:cs="Times New Roman" w:eastAsia="Times New Roman" w:hAnsi="Times New Roman"/>
          <w:sz w:val="18"/>
          <w:szCs w:val="18"/>
          <w:color w:val="auto"/>
        </w:rPr>
        <w:t>As one set of responses to the COVID-19 pandemic, our federal, state and local governments have promulgated a wide variety of laws, regulations, executive orders and programs designed to ameliorate the severe and widespread economic distress caused by the mandatory closings of many businesses throughout the State of California and counties in which we operate. One such program is the PPP enacted under the federal CARES Act and Economic Aid Act. This program is designed, among other things, to provide employee payroll maintenance support for small and medium-sized businesses</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9" w:name="page20"/>
    <w:bookmarkEnd w:id="19"/>
    <w:p>
      <w:pPr>
        <w:spacing w:after="0" w:line="256" w:lineRule="auto"/>
        <w:rPr>
          <w:sz w:val="20"/>
          <w:szCs w:val="20"/>
          <w:color w:val="auto"/>
        </w:rPr>
      </w:pPr>
      <w:r>
        <w:rPr>
          <w:rFonts w:ascii="Times New Roman" w:cs="Times New Roman" w:eastAsia="Times New Roman" w:hAnsi="Times New Roman"/>
          <w:sz w:val="18"/>
          <w:szCs w:val="18"/>
          <w:color w:val="auto"/>
        </w:rPr>
        <w:t>throughout the United States, including in the State of California, through loans made by authorized lenders and guaranteed by the federal Small Business Administration (SBA). Because the Company is an authorized SBA lender and our primary customer base consists of small and medium-sized businesses, the Company has actively participated in the PPP. Including the second round of funding, after legislation passed on April 24, 2020, we originated and funded approximately 4,100 PPP loans totaling approximately $1.1 billion, substantially all of which was forgiven through December 31, 2021. On January 13, 2021, the SBA reopened the PPP for "Second Draw" loans to small businesses and non-profit organizations. We originated and funded more than 1,900 Second Draw loan applications totaling approximately $420 million. As of December 31, 2022, $9.1 million PPP loans remained outstanding.</w:t>
      </w:r>
    </w:p>
    <w:p>
      <w:pPr>
        <w:spacing w:after="0" w:line="159" w:lineRule="exact"/>
        <w:rPr>
          <w:sz w:val="20"/>
          <w:szCs w:val="20"/>
          <w:color w:val="auto"/>
        </w:rPr>
      </w:pPr>
    </w:p>
    <w:p>
      <w:pPr>
        <w:ind w:right="40" w:firstLine="637"/>
        <w:spacing w:after="0" w:line="254" w:lineRule="auto"/>
        <w:rPr>
          <w:sz w:val="20"/>
          <w:szCs w:val="20"/>
          <w:color w:val="auto"/>
        </w:rPr>
      </w:pPr>
      <w:r>
        <w:rPr>
          <w:rFonts w:ascii="Times New Roman" w:cs="Times New Roman" w:eastAsia="Times New Roman" w:hAnsi="Times New Roman"/>
          <w:sz w:val="18"/>
          <w:szCs w:val="18"/>
          <w:color w:val="auto"/>
        </w:rPr>
        <w:t>Under interim final regulations promulgated by the SBA, PPP lenders are entitled to rely on borrower certifications with respect to issues such as program eligibility and eligible loan amounts, and PPP loans are designed to be subsequently forgivable, in whole or part, if certain additional criteria are met by the borrower with respect to employee payroll maintenance. However, in view of the fact that the PPP was by design intended to support economically distressed businesses, the SBA’s guarantee of PPP loan amounts to participating lenders is a critical feature of the program. In this regard, because the PPP was quickly implemented into operation and the SBA’s interim regulations were frequently revised, there are significant risks to the Company’s participation in the PPP, including whether certain borrowers will ultimately be found to have been eligible for PPP loans, whether eligible PPP loan amounts for certain borrowers were correctly calculated, whether certain PPP loans will ultimately be determined to be forgivable, and if not, whether the SBA’s guarantee will continue to apply to any unforgiven PPP loan amounts. To date, our customers who have had their forgiveness requests reviewed by the SBA have received nearly 100% loan forgiveness.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Risks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allowance for credit losses may not be sufficient to cover actual losses</w:t>
      </w:r>
    </w:p>
    <w:p>
      <w:pPr>
        <w:spacing w:after="0" w:line="202" w:lineRule="exact"/>
        <w:rPr>
          <w:sz w:val="20"/>
          <w:szCs w:val="20"/>
          <w:color w:val="auto"/>
        </w:rPr>
      </w:pPr>
    </w:p>
    <w:p>
      <w:pPr>
        <w:ind w:right="100" w:firstLine="637"/>
        <w:spacing w:after="0" w:line="256" w:lineRule="auto"/>
        <w:rPr>
          <w:sz w:val="20"/>
          <w:szCs w:val="20"/>
          <w:color w:val="auto"/>
        </w:rPr>
      </w:pPr>
      <w:r>
        <w:rPr>
          <w:rFonts w:ascii="Times New Roman" w:cs="Times New Roman" w:eastAsia="Times New Roman" w:hAnsi="Times New Roman"/>
          <w:sz w:val="18"/>
          <w:szCs w:val="18"/>
          <w:color w:val="auto"/>
        </w:rPr>
        <w:t>A significant source of risk arises from the possibility that we could sustain losses because borrowers, guarantors, and related parties may fail to perform in accordance with the terms of their loans and leases. The underwriting and credit monitoring policies and procedures that we have adopted to address this risk may not prevent unexpected losses that could have a material adverse effect on our business, financial condition, results of operations and cash flows. We maintain an allowance for credit losses to provide for loan and lease defaults and non-performance, which also includes increases for new loan growth. While we believe that our allowance for credit losses is appropriate to cover currently expected losses, we cannot assure you that we will not increase the allowance for credit losses in the future or that our regulators will not require us to increase this allowance.</w:t>
      </w:r>
    </w:p>
    <w:p>
      <w:pPr>
        <w:spacing w:after="0" w:line="141" w:lineRule="exact"/>
        <w:rPr>
          <w:sz w:val="20"/>
          <w:szCs w:val="20"/>
          <w:color w:val="auto"/>
        </w:rPr>
      </w:pPr>
    </w:p>
    <w:p>
      <w:pPr>
        <w:ind w:right="14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make additional provisions for credit losses and charge-off additional loans in the future, which could adversely affect our results of operations</w:t>
      </w:r>
    </w:p>
    <w:p>
      <w:pPr>
        <w:spacing w:after="0" w:line="117" w:lineRule="exact"/>
        <w:rPr>
          <w:sz w:val="20"/>
          <w:szCs w:val="20"/>
          <w:color w:val="auto"/>
        </w:rPr>
      </w:pPr>
    </w:p>
    <w:p>
      <w:pPr>
        <w:ind w:right="20" w:firstLine="637"/>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2022, we recorded $10.6 million in provision for credit losses. During 2022, we experienced charge-offs of $197,000 and recoveries of $1.1 million, resulting in net recoveries of $893,000. Because we have a significant amount of real estate loans, decreases in real estate values could adversely affect the value of property used as collateral for our loans. As of December 31, 2022, we had $6.88 billion in commercial real estate loans, $88.3 million in construction loans, and $266.0 million in single-family residential mortgages. Low interest rates through the pandemic caused real estate values in general to increase materially due to low cost of funding with inflationary upward pressures on cash flow. There is no assurance that recent rental rate increases across any segment of the real estate property classes is sustainable with reasonable possibility of moderate decline to stabilization. Capitalization Rates used to determine value have increased due to overall cost of capital causing some downward pressure on real estate values. These issues could affect the ability of our loan customers to refinance or service their debts, including those customers whose loans are secured by commercial or residential real estate. This, in turn, could result in loan charge-offs and provisions for credit losses in the future, which could have a material adverse effect on our financial condition, net income and capital.</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dairy &amp; livestock and agribusiness lending presents unique credit risks.</w:t>
      </w:r>
    </w:p>
    <w:p>
      <w:pPr>
        <w:spacing w:after="0" w:line="188" w:lineRule="exact"/>
        <w:rPr>
          <w:sz w:val="20"/>
          <w:szCs w:val="20"/>
          <w:color w:val="auto"/>
        </w:rPr>
      </w:pPr>
    </w:p>
    <w:p>
      <w:pPr>
        <w:ind w:right="120" w:firstLine="637"/>
        <w:spacing w:after="0" w:line="255" w:lineRule="auto"/>
        <w:rPr>
          <w:sz w:val="20"/>
          <w:szCs w:val="20"/>
          <w:color w:val="auto"/>
        </w:rPr>
      </w:pPr>
      <w:r>
        <w:rPr>
          <w:rFonts w:ascii="Times New Roman" w:cs="Times New Roman" w:eastAsia="Times New Roman" w:hAnsi="Times New Roman"/>
          <w:sz w:val="18"/>
          <w:szCs w:val="18"/>
          <w:color w:val="auto"/>
        </w:rPr>
        <w:t>As of December 31, 2022, approximately 4.8% of our total gross loan portfolio was comprised of dairy &amp; livestock and agribusiness loans. As of December 31, 2022, we had $433.6 million in dairy &amp; livestock and agribusiness loans, including $388.5 million in dairy &amp; livestock loans and $45.1 million in agribusiness loans. Repayment of dairy &amp; livestock and agribusiness loans depends primarily on the successful raising and feeding of livestock or planting and harvest of crops and marketing the harvested commodity (including milk production). Collateral securing these loans may be illiquid. In addition, the limited purpose of some agricultural-related collateral affects credit risk because such collateral may have limited or no other uses to support values when loan repayment problems emerge. Our dairy &amp; livestock and agribusiness lending staff have specific technical expertise that we depend on to mitigate our lending risks for these loans and we may</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20" w:name="page21"/>
    <w:bookmarkEnd w:id="20"/>
    <w:p>
      <w:pPr>
        <w:ind w:right="140"/>
        <w:spacing w:after="0" w:line="255" w:lineRule="auto"/>
        <w:rPr>
          <w:sz w:val="20"/>
          <w:szCs w:val="20"/>
          <w:color w:val="auto"/>
        </w:rPr>
      </w:pPr>
      <w:r>
        <w:rPr>
          <w:rFonts w:ascii="Times New Roman" w:cs="Times New Roman" w:eastAsia="Times New Roman" w:hAnsi="Times New Roman"/>
          <w:sz w:val="18"/>
          <w:szCs w:val="18"/>
          <w:color w:val="auto"/>
        </w:rPr>
        <w:t>have difficulty retaining or replacing such individuals. Many external factors can impact our agricultural borrowers’ ability to repay their loans, including the effects of inflation, adverse weather conditions, water issues, commodity price volatility (i.e. milk prices), diseases, land values, production costs, changing government regulations and subsidy programs, changing tax treatment, technological changes, labor market shortages/increased wages, and changes in consumers’ preferences, over which our borrowers may have no control. These factors, as well as recent volatility in certain commodity prices, including milk prices, could adversely impact the ability of those to whom we have made dairy &amp; livestock and agribusiness loans to perform under the terms of their borrowing arrangements with us, which in turn could result in credit losses and adversely affect our business, financial condition and results of operations.</w:t>
      </w:r>
    </w:p>
    <w:p>
      <w:pPr>
        <w:spacing w:after="0" w:line="156" w:lineRule="exact"/>
        <w:rPr>
          <w:sz w:val="20"/>
          <w:szCs w:val="20"/>
          <w:color w:val="auto"/>
        </w:rPr>
      </w:pPr>
    </w:p>
    <w:p>
      <w:pPr>
        <w:ind w:right="12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loan portfolio is predominantly secured by real estate in California and thus we have a higher degree of risk from a downturn in our real estate markets</w:t>
      </w:r>
    </w:p>
    <w:p>
      <w:pPr>
        <w:spacing w:after="0" w:line="117" w:lineRule="exact"/>
        <w:rPr>
          <w:sz w:val="20"/>
          <w:szCs w:val="20"/>
          <w:color w:val="auto"/>
        </w:rPr>
      </w:pPr>
    </w:p>
    <w:p>
      <w:pPr>
        <w:ind w:right="60" w:firstLine="637"/>
        <w:spacing w:after="0" w:line="253" w:lineRule="auto"/>
        <w:rPr>
          <w:sz w:val="20"/>
          <w:szCs w:val="20"/>
          <w:color w:val="auto"/>
        </w:rPr>
      </w:pPr>
      <w:r>
        <w:rPr>
          <w:rFonts w:ascii="Times New Roman" w:cs="Times New Roman" w:eastAsia="Times New Roman" w:hAnsi="Times New Roman"/>
          <w:sz w:val="18"/>
          <w:szCs w:val="18"/>
          <w:color w:val="auto"/>
        </w:rPr>
        <w:t>A renewed downturn in our real estate markets could hurt our business because most of our loans are secured by real estate. Real estate values and real estate markets are generally affected by changes in national, regional or local economic conditions, fluctuations in interest rates and the availability of loans to potential purchasers, changes in tax laws and other governmental statutes, regulations and policies, and acts of nature, such as earthquakes, prolonged drought and disasters particular to California. Substantially all of our real estate collateral is located in the state of California. If real estate values, including values of land held for development, should again start to decline, the value of real estate collateral securing our loans could be significantly reduced. Our ability to recover on defaulted loans by foreclosing and selling the real estate collateral would then be diminished and we would be more likely to suffer losses on defaulted loans. Commercial real estate loans typically involve large balances to single borrowers or a group of related borrowers. Since payments on these loans are often dependent on the successful operation or management of the properties, as well as the business and financial condition of the borrower(s), repayment of such loans may be subject to adverse conditions in the real estate market, adverse economic conditions or changes in applicable government regulations.</w:t>
      </w:r>
    </w:p>
    <w:p>
      <w:pPr>
        <w:spacing w:after="0" w:line="151" w:lineRule="exact"/>
        <w:rPr>
          <w:sz w:val="20"/>
          <w:szCs w:val="20"/>
          <w:color w:val="auto"/>
        </w:rPr>
      </w:pPr>
    </w:p>
    <w:p>
      <w:pPr>
        <w:ind w:firstLine="637"/>
        <w:spacing w:after="0" w:line="265" w:lineRule="auto"/>
        <w:rPr>
          <w:sz w:val="20"/>
          <w:szCs w:val="20"/>
          <w:color w:val="auto"/>
        </w:rPr>
      </w:pPr>
      <w:r>
        <w:rPr>
          <w:rFonts w:ascii="Times New Roman" w:cs="Times New Roman" w:eastAsia="Times New Roman" w:hAnsi="Times New Roman"/>
          <w:sz w:val="18"/>
          <w:szCs w:val="18"/>
          <w:color w:val="auto"/>
        </w:rPr>
        <w:t>Additional risks associated with our real estate construction loan portfolio include failure of developers and/or contractors to complete construction on a timely basis or at all, market deterioration during construction, cost overruns and failure to sell or lease the security underlying the construction loans so as to generate the cash flow anticipated by our borrower.</w:t>
      </w:r>
    </w:p>
    <w:p>
      <w:pPr>
        <w:spacing w:after="0" w:line="150" w:lineRule="exact"/>
        <w:rPr>
          <w:sz w:val="20"/>
          <w:szCs w:val="20"/>
          <w:color w:val="auto"/>
        </w:rPr>
      </w:pPr>
    </w:p>
    <w:p>
      <w:pPr>
        <w:ind w:right="220" w:firstLine="637"/>
        <w:spacing w:after="0" w:line="265" w:lineRule="auto"/>
        <w:rPr>
          <w:sz w:val="20"/>
          <w:szCs w:val="20"/>
          <w:color w:val="auto"/>
        </w:rPr>
      </w:pPr>
      <w:r>
        <w:rPr>
          <w:rFonts w:ascii="Times New Roman" w:cs="Times New Roman" w:eastAsia="Times New Roman" w:hAnsi="Times New Roman"/>
          <w:sz w:val="18"/>
          <w:szCs w:val="18"/>
          <w:color w:val="auto"/>
        </w:rPr>
        <w:t>A decline in the economy may cause renewed declines in real estate values and increases in unemployment, which may result in higher than expected loan delinquencies or problem assets, a decline in demand for our products and services, or a lack of growth or decrease in deposits, which may cause us to incur losses, adversely affect our capital or hurt our business.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commercial real estate loan portfolio exposes us to risks that may be greater than the risks related to our other loans</w:t>
      </w:r>
    </w:p>
    <w:p>
      <w:pPr>
        <w:spacing w:after="0" w:line="188" w:lineRule="exact"/>
        <w:rPr>
          <w:sz w:val="20"/>
          <w:szCs w:val="20"/>
          <w:color w:val="auto"/>
        </w:rPr>
      </w:pPr>
    </w:p>
    <w:p>
      <w:pPr>
        <w:ind w:right="200" w:firstLine="637"/>
        <w:spacing w:after="0" w:line="256" w:lineRule="auto"/>
        <w:rPr>
          <w:sz w:val="20"/>
          <w:szCs w:val="20"/>
          <w:color w:val="auto"/>
        </w:rPr>
      </w:pPr>
      <w:r>
        <w:rPr>
          <w:rFonts w:ascii="Times New Roman" w:cs="Times New Roman" w:eastAsia="Times New Roman" w:hAnsi="Times New Roman"/>
          <w:sz w:val="18"/>
          <w:szCs w:val="18"/>
          <w:color w:val="auto"/>
        </w:rPr>
        <w:t>Federal and state banking regulators are examining commercial real estate lending activity with heightened scrutiny and may require banks with higher levels of commercial real estate loans to implement more stringent underwriting, internal controls, risk management policies and portfolio stress testing, as well as possibly higher levels of allowances for losses and capital levels as a result of commercial real estate lending growth and exposures. Because a significant portion of our loan portfolio is comprised of commercial real estate loans, the banking regulators may require us to maintain higher levels of capital than we would otherwise be expected to maintain, which could limit our ability to leverage our capital and have a material adverse effect on our business, financial condition, results of operations and prospects.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 of environmental liabilities with respect to properties to which we take title</w:t>
      </w:r>
    </w:p>
    <w:p>
      <w:pPr>
        <w:spacing w:after="0" w:line="188" w:lineRule="exact"/>
        <w:rPr>
          <w:sz w:val="20"/>
          <w:szCs w:val="20"/>
          <w:color w:val="auto"/>
        </w:rPr>
      </w:pPr>
    </w:p>
    <w:p>
      <w:pPr>
        <w:ind w:right="40" w:firstLine="637"/>
        <w:spacing w:after="0" w:line="254" w:lineRule="auto"/>
        <w:rPr>
          <w:sz w:val="20"/>
          <w:szCs w:val="20"/>
          <w:color w:val="auto"/>
        </w:rPr>
      </w:pPr>
      <w:r>
        <w:rPr>
          <w:rFonts w:ascii="Times New Roman" w:cs="Times New Roman" w:eastAsia="Times New Roman" w:hAnsi="Times New Roman"/>
          <w:sz w:val="18"/>
          <w:szCs w:val="18"/>
          <w:color w:val="auto"/>
        </w:rPr>
        <w:t>In the course of our business, we may foreclose and take title to real estate, and could be subject to environmental liabilities with respect to these properties. While we will take steps to mitigate this risk, we may be held liable to a governmental entity or to third parties for property damage, personal injury, investigation and clean-up costs incurred by these parties in connection with environmental contamination, or we may be required to investigate or clean-up hazardous or toxic substances, or chemical releases at one or more properties. The costs associated with investigation or remediation activities could be substantial. In addition, while there are certain statutory protections afforded lenders who take title to property through foreclosure on a loan,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results of operations and prospects could be adversely affected.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Interest Rate Risks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Liquidity risk could impair our ability to fund operations and jeopardize our financial condition</w:t>
      </w:r>
    </w:p>
    <w:p>
      <w:pPr>
        <w:spacing w:after="0" w:line="188" w:lineRule="exact"/>
        <w:rPr>
          <w:sz w:val="20"/>
          <w:szCs w:val="20"/>
          <w:color w:val="auto"/>
        </w:rPr>
      </w:pPr>
    </w:p>
    <w:p>
      <w:pPr>
        <w:ind w:right="40" w:firstLine="637"/>
        <w:spacing w:after="0" w:line="254" w:lineRule="auto"/>
        <w:rPr>
          <w:sz w:val="20"/>
          <w:szCs w:val="20"/>
          <w:color w:val="auto"/>
        </w:rPr>
      </w:pPr>
      <w:r>
        <w:rPr>
          <w:rFonts w:ascii="Times New Roman" w:cs="Times New Roman" w:eastAsia="Times New Roman" w:hAnsi="Times New Roman"/>
          <w:sz w:val="18"/>
          <w:szCs w:val="18"/>
          <w:color w:val="auto"/>
        </w:rPr>
        <w:t>Liquidity is essential to our business. An inability to raise funds through deposits, borrowings, the sale of investment securities, loans and other sources could have a material adverse effect on our liquidity. Our access to funding sources in amounts adequate to finance our activities could be impaired by factors that affect us specifically or the financial services industry in general. Factors that could detrimentally impact our access to liquidity sources include a decrease in the level of our business activity due to a market downturn or adverse regulatory action against us. Our ability to acquire deposits or borrow could also be impaired by factors that are not specific to us, such as the effects of inflation, rising interest rates, a severe disruption of the financial markets or negative views and expectations about the prospects for the financial services industry as a whole. Many if not all of these same factors could also significantly raise the cost of deposits to our Company and/or to the banking industry in general. This in turn could negatively affect our ability to attract deposits generally and the amount of interest we pay on our interest-bearing liabilities, which could have an adverse impact on our interest rate spread and profitability.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 actions and commercial soundness of other financial institutions could affect our ability to engage in routine funding transactions</w:t>
      </w:r>
    </w:p>
    <w:p>
      <w:pPr>
        <w:spacing w:after="0" w:line="202" w:lineRule="exact"/>
        <w:rPr>
          <w:sz w:val="20"/>
          <w:szCs w:val="20"/>
          <w:color w:val="auto"/>
        </w:rPr>
      </w:pPr>
    </w:p>
    <w:p>
      <w:pPr>
        <w:ind w:right="100" w:firstLine="637"/>
        <w:spacing w:after="0" w:line="255" w:lineRule="auto"/>
        <w:rPr>
          <w:sz w:val="20"/>
          <w:szCs w:val="20"/>
          <w:color w:val="auto"/>
        </w:rPr>
      </w:pPr>
      <w:r>
        <w:rPr>
          <w:rFonts w:ascii="Times New Roman" w:cs="Times New Roman" w:eastAsia="Times New Roman" w:hAnsi="Times New Roman"/>
          <w:sz w:val="18"/>
          <w:szCs w:val="18"/>
          <w:color w:val="auto"/>
        </w:rPr>
        <w:t>Financial service institutions are interrelated as a result of trading, clearing, counterparty or other relationships. We have exposure to different industries and counterparties, and execute transactions with various counterparties in the financial industry, including brokers and dealers, commercial banks, investment banks, mutual funds, and other institutional clients. Defaults by financial services institutions, even rumors or questions about one or more financial institutions or the financial services industry in general, could lead to market wide liquidity problems and further, could lead to losses or defaults by the Company or other institutions. Many of these transactions expose us to credit risk in the event of default of the applicable counterparty or client. In addition, our credit risk may increase when the collateral held by us cannot be realized upon or is liquidated at prices not sufficient to recover the full amount of the loan or derivative exposure due to us. Any such losses could materially and adversely affect our consolidated financial statements.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strong core deposit base or other low-cost funding sources</w:t>
      </w:r>
    </w:p>
    <w:p>
      <w:pPr>
        <w:spacing w:after="0" w:line="188" w:lineRule="exact"/>
        <w:rPr>
          <w:sz w:val="20"/>
          <w:szCs w:val="20"/>
          <w:color w:val="auto"/>
        </w:rPr>
      </w:pPr>
    </w:p>
    <w:p>
      <w:pPr>
        <w:ind w:right="40" w:firstLine="637"/>
        <w:spacing w:after="0" w:line="255" w:lineRule="auto"/>
        <w:rPr>
          <w:sz w:val="20"/>
          <w:szCs w:val="20"/>
          <w:color w:val="auto"/>
        </w:rPr>
      </w:pPr>
      <w:r>
        <w:rPr>
          <w:rFonts w:ascii="Times New Roman" w:cs="Times New Roman" w:eastAsia="Times New Roman" w:hAnsi="Times New Roman"/>
          <w:sz w:val="18"/>
          <w:szCs w:val="18"/>
          <w:color w:val="auto"/>
        </w:rPr>
        <w:t>We depend on checking, savings and money market deposit account balances and other forms of customer deposits as our primary source of funding for our lending activities. Future growth in our banking business will largely depend on our ability to maintain and grow a strong deposit base. There is no assurance that we will be able to grow and maintain our deposit base. Deposit balances can decrease when customers perceive alternative investments, such as the stock market, bond market or real estate, as providing a better risk/return tradeoff. If customers move money out of bank deposits and into investments (or similar deposit products at other institutions that may provide a higher rate of return), we could lose a relatively low cost source of funds, increasing our funding costs and reducing our net interest income and net income. Additionally, any such loss of funds could result in lower loan originations, which could adversely impact our growth strategy.</w:t>
      </w:r>
    </w:p>
    <w:p>
      <w:pPr>
        <w:spacing w:after="0" w:line="3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could reduce the value of our investment securities holdings.</w:t>
      </w:r>
    </w:p>
    <w:p>
      <w:pPr>
        <w:spacing w:after="0" w:line="188"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8"/>
          <w:szCs w:val="18"/>
          <w:color w:val="auto"/>
        </w:rPr>
        <w:t>The Bank maintains an investment portfolio consisting of various high quality liquid fixed-income securities. The total book value of the securities portfolio as of December 31, 2022 was $5.81 billion, of which $3.26 billion is available for sale. The nature of fixed-income securities is such that changes in market interest rates impact the value of these assets.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interest rate risk and variations in interest rates may negatively affect our financial performance</w:t>
      </w:r>
    </w:p>
    <w:p>
      <w:pPr>
        <w:spacing w:after="0" w:line="202" w:lineRule="exact"/>
        <w:rPr>
          <w:sz w:val="20"/>
          <w:szCs w:val="20"/>
          <w:color w:val="auto"/>
        </w:rPr>
      </w:pPr>
    </w:p>
    <w:p>
      <w:pPr>
        <w:ind w:right="40" w:firstLine="637"/>
        <w:spacing w:after="0" w:line="254" w:lineRule="auto"/>
        <w:rPr>
          <w:sz w:val="20"/>
          <w:szCs w:val="20"/>
          <w:color w:val="auto"/>
        </w:rPr>
      </w:pPr>
      <w:r>
        <w:rPr>
          <w:rFonts w:ascii="Times New Roman" w:cs="Times New Roman" w:eastAsia="Times New Roman" w:hAnsi="Times New Roman"/>
          <w:sz w:val="18"/>
          <w:szCs w:val="18"/>
          <w:color w:val="auto"/>
        </w:rPr>
        <w:t>A substantial portion of our income is derived from the differential or “spread” between the interest earned on loans, securities and other interest-earning assets, and the interest paid on deposits, borrowings and other interest-bearing liabilities. Because of the differences in the maturities and repricing characteristics of our interest-earning assets and interest-bearing liabilities, changes in interest rates do not produce equivalent changes in interest income earned on interest-earning assets and interest paid on interest-bearing liabilities. At December 31, 2022 our balance sheet was positioned with an asset sensitive bias over both a one and two-year horizon assuming no balance sheet growth, and as a result, our net interest margin tends to expand in a rising interest rate environment and decrease in a declining interest rate environment. Accordingly, fluctuations in interest rates could adversely affect our interest rate spread and, in turn, our profitability. Loan origination volumes may be affected by changes in market interest rates. In addition, in rising interest rate environments, loan repayment rates may</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22" w:name="page23"/>
    <w:bookmarkEnd w:id="22"/>
    <w:p>
      <w:pPr>
        <w:ind w:right="60"/>
        <w:spacing w:after="0" w:line="260" w:lineRule="auto"/>
        <w:rPr>
          <w:sz w:val="20"/>
          <w:szCs w:val="20"/>
          <w:color w:val="auto"/>
        </w:rPr>
      </w:pPr>
      <w:r>
        <w:rPr>
          <w:rFonts w:ascii="Times New Roman" w:cs="Times New Roman" w:eastAsia="Times New Roman" w:hAnsi="Times New Roman"/>
          <w:sz w:val="18"/>
          <w:szCs w:val="18"/>
          <w:color w:val="auto"/>
        </w:rPr>
        <w:t>decline and in falling interest rate environments, loan repayment rates may increase. In addition, in a rising interest rate environment, we may need to accelerate the pace of rate increases on our deposit accounts as compared to the pace of future increases in short-term market rates and our customers could move their deposits with us to institutions that pay higher interest rates on deposits accounts. Accordingly, changes in levels of market interest rates could materially and adversely affect our net interest spread, asset quality, levels of deposits, as well as loan origination and prepayment volume.</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the transition from LIBOR as a reference rate</w:t>
      </w:r>
    </w:p>
    <w:p>
      <w:pPr>
        <w:spacing w:after="0" w:line="188" w:lineRule="exact"/>
        <w:rPr>
          <w:sz w:val="20"/>
          <w:szCs w:val="20"/>
          <w:color w:val="auto"/>
        </w:rPr>
      </w:pPr>
    </w:p>
    <w:p>
      <w:pPr>
        <w:ind w:right="200" w:firstLine="637"/>
        <w:spacing w:after="0" w:line="256" w:lineRule="auto"/>
        <w:rPr>
          <w:sz w:val="20"/>
          <w:szCs w:val="20"/>
          <w:color w:val="auto"/>
        </w:rPr>
      </w:pPr>
      <w:r>
        <w:rPr>
          <w:rFonts w:ascii="Times New Roman" w:cs="Times New Roman" w:eastAsia="Times New Roman" w:hAnsi="Times New Roman"/>
          <w:sz w:val="18"/>
          <w:szCs w:val="18"/>
          <w:color w:val="auto"/>
        </w:rPr>
        <w:t>In 2017, the United Kingdom’s Financial Conduct Authority announced that after 2021 it would no longer compel banks to submit the rates required to calculate the London Interbank Offered Rate (“</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This announcement indicates that the continuation of LIBOR on the current basis cannot and will not be guaranteed after 2021. Consequently, at this time, it is not possible to predict whether and to what extent banks will continue to provide submissions for the calculation of LIBOR. Similarly, it is not possible to predict whether LIBOR will continue to be viewed as an acceptable market benchmark, what rate or rates may become accepted alternatives to LIBOR or what the effect of any such changes in views or alternatives may be on the markets for LIBOR-indexed financial instruments.</w:t>
      </w:r>
    </w:p>
    <w:p>
      <w:pPr>
        <w:spacing w:after="0" w:line="145" w:lineRule="exact"/>
        <w:rPr>
          <w:sz w:val="20"/>
          <w:szCs w:val="20"/>
          <w:color w:val="auto"/>
        </w:rPr>
      </w:pPr>
    </w:p>
    <w:p>
      <w:pPr>
        <w:ind w:right="80" w:firstLine="637"/>
        <w:spacing w:after="0" w:line="254" w:lineRule="auto"/>
        <w:rPr>
          <w:sz w:val="20"/>
          <w:szCs w:val="20"/>
          <w:color w:val="auto"/>
        </w:rPr>
      </w:pPr>
      <w:r>
        <w:rPr>
          <w:rFonts w:ascii="Times New Roman" w:cs="Times New Roman" w:eastAsia="Times New Roman" w:hAnsi="Times New Roman"/>
          <w:sz w:val="18"/>
          <w:szCs w:val="18"/>
          <w:color w:val="auto"/>
        </w:rPr>
        <w:t>We have a number of loans, derivative contracts, and other financial instruments with attributes that are either directly or indirectly dependent on LIBOR. The Company established a LIBOR Transition Task Force in 2020, which has inventoried our instruments that reflect exposure to LIBOR, created a framework to manage the transition and established a timeline for key decisions and actions to complete the transition from LIBOR by June of 2023. The transition from LIBOR could create additional costs and risk. Since proposed alternative rates are calculated differently, payments under contracts referencing new rates will differ from those referencing LIBOR. The transition could change our market risk profiles, requiring changes to risk and pricing models, valuation tools, product design and hedging strategies. Furthermore, failure to adequately manage this transition process with our customers could adversely impact our reputation. Although we are currently unable to assess what the ultimate impact of the transition from LIBOR will be, failure to adequately manage the transition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may adversely affect our performance</w:t>
      </w:r>
    </w:p>
    <w:p>
      <w:pPr>
        <w:spacing w:after="0" w:line="188" w:lineRule="exact"/>
        <w:rPr>
          <w:sz w:val="20"/>
          <w:szCs w:val="20"/>
          <w:color w:val="auto"/>
        </w:rPr>
      </w:pPr>
    </w:p>
    <w:p>
      <w:pPr>
        <w:ind w:firstLine="637"/>
        <w:spacing w:after="0" w:line="265" w:lineRule="auto"/>
        <w:rPr>
          <w:sz w:val="20"/>
          <w:szCs w:val="20"/>
          <w:color w:val="auto"/>
        </w:rPr>
      </w:pPr>
      <w:r>
        <w:rPr>
          <w:rFonts w:ascii="Times New Roman" w:cs="Times New Roman" w:eastAsia="Times New Roman" w:hAnsi="Times New Roman"/>
          <w:sz w:val="18"/>
          <w:szCs w:val="18"/>
          <w:color w:val="auto"/>
        </w:rPr>
        <w:t>Our financial performance and profitability depend on our ability to manage past and possible future growth. Future acquisitions and our continued organic growth may present operating, integration, regulatory, management and other issues that could have a material adverse effect on our business, financial condition, results of operations and cash flows.</w:t>
      </w:r>
    </w:p>
    <w:p>
      <w:pPr>
        <w:spacing w:after="0" w:line="150" w:lineRule="exact"/>
        <w:rPr>
          <w:sz w:val="20"/>
          <w:szCs w:val="20"/>
          <w:color w:val="auto"/>
        </w:rPr>
      </w:pPr>
    </w:p>
    <w:p>
      <w:pPr>
        <w:ind w:right="20" w:firstLine="637"/>
        <w:spacing w:after="0" w:line="253" w:lineRule="auto"/>
        <w:rPr>
          <w:sz w:val="20"/>
          <w:szCs w:val="20"/>
          <w:color w:val="auto"/>
        </w:rPr>
      </w:pPr>
      <w:r>
        <w:rPr>
          <w:rFonts w:ascii="Times New Roman" w:cs="Times New Roman" w:eastAsia="Times New Roman" w:hAnsi="Times New Roman"/>
          <w:sz w:val="18"/>
          <w:szCs w:val="18"/>
          <w:color w:val="auto"/>
        </w:rPr>
        <w:t>Acquisitions are and have been a key element of our growth strategy. Certain events may arise after our acquisition of a financial institution or business, or we may learn of certain facts, events or circumstances after the completion of an acquisition, that may affect our financial condition or performance or subject us to risk of loss. These events include, but are not limited to: our success in integrating the operations, retaining key employees and customers, achieving anticipated synergies, meeting expectations and otherwise realizing the anticipated benefits of the acquisition; litigation resulting from circumstances occurring at the acquired entity prior to the date of acquisition; loan downgrades and credit loss provisions resulting from underwriting of certain acquired loans determined not to meet our credit standards; personnel changes that cause instability within a department; delays in implementing new policies or procedures or the failure to apply new policies or procedures; and other events relating to the performance of our business. In addition, if we determine that the value of an acquired business had decreased and that the related goodwill was impaired, an impairment of goodwill charge to earnings would be recognized. Acquisitions involve inherent uncertainty and we cannot determine all potential events, facts and circumstances that could result in loss or increased costs or give assurances that our due diligence or mitigation efforts will be sufficient to protect against any such loss or increased costs.</w:t>
      </w:r>
    </w:p>
    <w:p>
      <w:pPr>
        <w:spacing w:after="0" w:line="148" w:lineRule="exact"/>
        <w:rPr>
          <w:sz w:val="20"/>
          <w:szCs w:val="20"/>
          <w:color w:val="auto"/>
        </w:rPr>
      </w:pPr>
    </w:p>
    <w:p>
      <w:pPr>
        <w:ind w:right="280" w:firstLine="637"/>
        <w:spacing w:after="0" w:line="281" w:lineRule="auto"/>
        <w:rPr>
          <w:sz w:val="20"/>
          <w:szCs w:val="20"/>
          <w:color w:val="auto"/>
        </w:rPr>
      </w:pPr>
      <w:r>
        <w:rPr>
          <w:rFonts w:ascii="Times New Roman" w:cs="Times New Roman" w:eastAsia="Times New Roman" w:hAnsi="Times New Roman"/>
          <w:sz w:val="18"/>
          <w:szCs w:val="18"/>
          <w:color w:val="auto"/>
        </w:rPr>
        <w:t>Furthermore, failure to realize the expected revenue increases, cost savings, increases in geographic or product presence, and/or other projected benefits from an acquisition could have a material adverse effect on our business, financial condition and results of operations.</w:t>
      </w:r>
    </w:p>
    <w:p>
      <w:pPr>
        <w:spacing w:after="0" w:line="118" w:lineRule="exact"/>
        <w:rPr>
          <w:sz w:val="20"/>
          <w:szCs w:val="20"/>
          <w:color w:val="auto"/>
        </w:rPr>
      </w:pPr>
    </w:p>
    <w:p>
      <w:pPr>
        <w:ind w:right="60" w:firstLine="64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occurrence of fraudulent activity, breaches or failures of our information security controls or cybersecurity-related incidents could have a material adverse effect on our business, financial condition and results of operations</w:t>
      </w:r>
    </w:p>
    <w:p>
      <w:pPr>
        <w:spacing w:after="0" w:line="131" w:lineRule="exact"/>
        <w:rPr>
          <w:sz w:val="20"/>
          <w:szCs w:val="20"/>
          <w:color w:val="auto"/>
        </w:rPr>
      </w:pPr>
    </w:p>
    <w:p>
      <w:pPr>
        <w:ind w:right="80" w:firstLine="637"/>
        <w:spacing w:after="0" w:line="260" w:lineRule="auto"/>
        <w:rPr>
          <w:sz w:val="20"/>
          <w:szCs w:val="20"/>
          <w:color w:val="auto"/>
        </w:rPr>
      </w:pPr>
      <w:r>
        <w:rPr>
          <w:rFonts w:ascii="Times New Roman" w:cs="Times New Roman" w:eastAsia="Times New Roman" w:hAnsi="Times New Roman"/>
          <w:sz w:val="18"/>
          <w:szCs w:val="18"/>
          <w:color w:val="auto"/>
        </w:rPr>
        <w:t>As a financial institution, we are susceptible to fraudulent activity, information security breaches and cybersecurity-related incidents that may be committed against us or our clients, including by our own employees, which may result in financial losses or increased costs to us or our clients, disclosure or misuse of our information or our client information, misappropriation of assets, privacy breaches against our clients, litigation, or damage to our reputation. Such fraudulent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3" w:name="page24"/>
    <w:bookmarkEnd w:id="23"/>
    <w:p>
      <w:pPr>
        <w:ind w:right="80"/>
        <w:spacing w:after="0" w:line="254" w:lineRule="auto"/>
        <w:rPr>
          <w:sz w:val="20"/>
          <w:szCs w:val="20"/>
          <w:color w:val="auto"/>
        </w:rPr>
      </w:pPr>
      <w:r>
        <w:rPr>
          <w:rFonts w:ascii="Times New Roman" w:cs="Times New Roman" w:eastAsia="Times New Roman" w:hAnsi="Times New Roman"/>
          <w:sz w:val="18"/>
          <w:szCs w:val="18"/>
          <w:color w:val="auto"/>
        </w:rPr>
        <w:t>activity may take many forms, including check fraud, electronic fraud, wire fraud, on-line banking, takeover, phishing, social engineering and other dishonest acts. Information security breaches and cybersecurity-related incidents may include fraudulent or unauthorized access to systems used by us or our clients, denial or degradation of service attacks, and malware or other cyber-attacks. There continues to be a rise in electronic fraudulent activity, security breaches and cyber-attacks within the financial services industry, especially in the commercial banking sector due to cyber criminals targeting commercial bank accounts. In recent periods, several large corporations, including financial institutions, medical providers and retail companies, have suffered major data breaches, in some cases exposing not only confidential and proprietary corporate information, but also sensitive financial and other personal information of their customers and employees and subjecting them to potential fraudulent activity. Some of our clients may have been affected by these breaches, which increase their risks of identity theft, credit card fraud and other fraudulent activity that could involve their accounts with us.</w:t>
      </w:r>
    </w:p>
    <w:p>
      <w:pPr>
        <w:spacing w:after="0" w:line="162"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Information pertaining to us and our clients is maintained, and transactions are executed, such as our online banking or core systems on the networks and systems of ours, our clients and certain of our third party providers. The secure maintenance and transmission of confidential information, as well as execution of transactions over these systems, are essential to protect us and our clients against fraud and security breaches and to maintain our clients’ confidence. In addition, increases in criminal activity levels and sophistication, advances in computer capabilities, new discoveries, vulnerabilities in third-party technologies (including browsers and operating systems) or other developments could result in a compromise or breach of the technology, processes and controls that we use to prevent fraudulent transactions and to protect data about us, our clients and underlying transactions, as well as the technology used by our clients to access our systems. Although we continue to invest in systems and processes that are designed to detect and prevent security breaches and cyber-attacks and periodically test our security, our inability to anticipate, or failure to adequately mitigate, breaches of security could result in: losses to us or our clients; our loss of business and/or clients; damage to our reputation; the incurrence of additional expenses; disruption to our business; our inability to grow our online services or other businesses; additional regulatory scrutiny or penalties; or our exposure to civil litigation and possible financial liability — any of which could have a material adverse effect on our business, financial condition and results of operations.</w:t>
      </w:r>
    </w:p>
    <w:p>
      <w:pPr>
        <w:spacing w:after="0" w:line="148" w:lineRule="exact"/>
        <w:rPr>
          <w:sz w:val="20"/>
          <w:szCs w:val="20"/>
          <w:color w:val="auto"/>
        </w:rPr>
      </w:pPr>
    </w:p>
    <w:p>
      <w:pPr>
        <w:ind w:right="20" w:firstLine="637"/>
        <w:spacing w:after="0" w:line="265" w:lineRule="auto"/>
        <w:rPr>
          <w:sz w:val="20"/>
          <w:szCs w:val="20"/>
          <w:color w:val="auto"/>
        </w:rPr>
      </w:pPr>
      <w:r>
        <w:rPr>
          <w:rFonts w:ascii="Times New Roman" w:cs="Times New Roman" w:eastAsia="Times New Roman" w:hAnsi="Times New Roman"/>
          <w:sz w:val="18"/>
          <w:szCs w:val="18"/>
          <w:color w:val="auto"/>
        </w:rPr>
        <w:t>More generally, continued publicized information concerning security and cyber-related problems could inhibit the use or growth of electronic or web-based applications or solutions as a means of conducting commercial transactions for us and other financial institutions. Such publicity may also cause damage to our reputation as a financial institution. As a result, our business, financial condition and results of operations could be adversely affected.</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the risk of changes in technology</w:t>
      </w:r>
    </w:p>
    <w:p>
      <w:pPr>
        <w:spacing w:after="0" w:line="202" w:lineRule="exact"/>
        <w:rPr>
          <w:sz w:val="20"/>
          <w:szCs w:val="20"/>
          <w:color w:val="auto"/>
        </w:rPr>
      </w:pPr>
    </w:p>
    <w:p>
      <w:pPr>
        <w:ind w:right="200" w:firstLine="637"/>
        <w:spacing w:after="0" w:line="260" w:lineRule="auto"/>
        <w:rPr>
          <w:sz w:val="20"/>
          <w:szCs w:val="20"/>
          <w:color w:val="auto"/>
        </w:rPr>
      </w:pPr>
      <w:r>
        <w:rPr>
          <w:rFonts w:ascii="Times New Roman" w:cs="Times New Roman" w:eastAsia="Times New Roman" w:hAnsi="Times New Roman"/>
          <w:sz w:val="18"/>
          <w:szCs w:val="18"/>
          <w:color w:val="auto"/>
        </w:rPr>
        <w:t>The rapid pace of technology changes and the impact of such changes on financial services generally and on our Company specifically could impact our cost structure and our competitive position with our customers. Such developments include the rapid movement by customers and some competitor financial institutions to web-based services, mobile banking and cloud computing. Our failure or inability to anticipate, plan for or implement technology change could adversely affect our competitive position, financial condition and profitability.</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controls and procedures could fail or be circumvented</w:t>
      </w:r>
    </w:p>
    <w:p>
      <w:pPr>
        <w:spacing w:after="0" w:line="188" w:lineRule="exact"/>
        <w:rPr>
          <w:sz w:val="20"/>
          <w:szCs w:val="20"/>
          <w:color w:val="auto"/>
        </w:rPr>
      </w:pPr>
    </w:p>
    <w:p>
      <w:pPr>
        <w:ind w:firstLine="637"/>
        <w:spacing w:after="0" w:line="258" w:lineRule="auto"/>
        <w:rPr>
          <w:sz w:val="20"/>
          <w:szCs w:val="20"/>
          <w:color w:val="auto"/>
        </w:rPr>
      </w:pPr>
      <w:r>
        <w:rPr>
          <w:rFonts w:ascii="Times New Roman" w:cs="Times New Roman" w:eastAsia="Times New Roman" w:hAnsi="Times New Roman"/>
          <w:sz w:val="18"/>
          <w:szCs w:val="18"/>
          <w:color w:val="auto"/>
        </w:rPr>
        <w:t>Management regularly reviews and updates our internal controls, disclosure controls and procedures and corporate governance policies and procedures. Any system of controls, however well designed and operated, is based in part on certain assumptions and on the conduct of individuals, and can provide only reasonable, but not absolute, assurances of the effectiveness of these systems and controls, and that the objectives of these controls have been met. Any failure or circumvention of our controls and procedures, and any failure to comply with regulations related to controls and procedures could adversely affect our business, results of operations and financial condition.</w:t>
      </w:r>
    </w:p>
    <w:p>
      <w:pPr>
        <w:spacing w:after="0" w:line="151" w:lineRule="exact"/>
        <w:rPr>
          <w:sz w:val="20"/>
          <w:szCs w:val="20"/>
          <w:color w:val="auto"/>
        </w:rPr>
      </w:pPr>
    </w:p>
    <w:p>
      <w:pPr>
        <w:ind w:right="14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or disclosure controls and procedures could adversely affect our ability to report our financial condition and results of operations accurately and on a timely basis</w:t>
      </w:r>
    </w:p>
    <w:p>
      <w:pPr>
        <w:spacing w:after="0" w:line="117" w:lineRule="exact"/>
        <w:rPr>
          <w:sz w:val="20"/>
          <w:szCs w:val="20"/>
          <w:color w:val="auto"/>
        </w:rPr>
      </w:pPr>
    </w:p>
    <w:p>
      <w:pPr>
        <w:ind w:right="40" w:firstLine="637"/>
        <w:spacing w:after="0" w:line="258" w:lineRule="auto"/>
        <w:rPr>
          <w:sz w:val="20"/>
          <w:szCs w:val="20"/>
          <w:color w:val="auto"/>
        </w:rPr>
      </w:pPr>
      <w:r>
        <w:rPr>
          <w:rFonts w:ascii="Times New Roman" w:cs="Times New Roman" w:eastAsia="Times New Roman" w:hAnsi="Times New Roman"/>
          <w:sz w:val="18"/>
          <w:szCs w:val="18"/>
          <w:color w:val="auto"/>
        </w:rPr>
        <w:t>A failure to maintain effective internal control over financial reporting or disclosure controls and procedures could adversely affect our ability to report our financial results accurately and on a timely basis, which could result in a loss of investor confidence in our financial reporting or adversely affect our access to sources of liquidity. Furthermore, because of the inherent limitations of any system of internal control over financial reporting, including the possibility of human error, the circumvention or overriding of controls and fraud, even effective internal controls may not prevent or detect all misstatements.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24" w:name="page25"/>
    <w:bookmarkEnd w:id="24"/>
    <w:p>
      <w:pPr>
        <w:ind w:right="18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communications, information, operating and financial control systems technology from third-party service providers, and we may suffer an interruption in those systems</w:t>
      </w:r>
    </w:p>
    <w:p>
      <w:pPr>
        <w:spacing w:after="0" w:line="131" w:lineRule="exact"/>
        <w:rPr>
          <w:sz w:val="20"/>
          <w:szCs w:val="20"/>
          <w:color w:val="auto"/>
        </w:rPr>
      </w:pPr>
    </w:p>
    <w:p>
      <w:pPr>
        <w:ind w:firstLine="637"/>
        <w:spacing w:after="0" w:line="258" w:lineRule="auto"/>
        <w:rPr>
          <w:sz w:val="20"/>
          <w:szCs w:val="20"/>
          <w:color w:val="auto"/>
        </w:rPr>
      </w:pPr>
      <w:r>
        <w:rPr>
          <w:rFonts w:ascii="Times New Roman" w:cs="Times New Roman" w:eastAsia="Times New Roman" w:hAnsi="Times New Roman"/>
          <w:sz w:val="18"/>
          <w:szCs w:val="18"/>
          <w:color w:val="auto"/>
        </w:rPr>
        <w:t>We rely heavily on third-party service providers for much of our communications, information, operating and financial control systems technology, including our internet banking services and data processing systems. Any failure or interruption of these services or systems or breaches in the security of these systems could result in failures or interruptions to serve our customers, including deposit, servicing and/or loan origination systems. The occurrence of any failures or interruptions may require us to identify alternative sources of such services, which may result in increased costs or other consequences that in turn could have an adverse effect on our business, including damage to the Bank’s reputation.</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personnel and the loss of one or more of those key personnel may materially and adversely affect our prospects</w:t>
      </w:r>
    </w:p>
    <w:p>
      <w:pPr>
        <w:spacing w:after="0" w:line="188" w:lineRule="exact"/>
        <w:rPr>
          <w:sz w:val="20"/>
          <w:szCs w:val="20"/>
          <w:color w:val="auto"/>
        </w:rPr>
      </w:pPr>
    </w:p>
    <w:p>
      <w:pPr>
        <w:ind w:right="60" w:firstLine="637"/>
        <w:spacing w:after="0" w:line="255" w:lineRule="auto"/>
        <w:rPr>
          <w:sz w:val="20"/>
          <w:szCs w:val="20"/>
          <w:color w:val="auto"/>
        </w:rPr>
      </w:pPr>
      <w:r>
        <w:rPr>
          <w:rFonts w:ascii="Times New Roman" w:cs="Times New Roman" w:eastAsia="Times New Roman" w:hAnsi="Times New Roman"/>
          <w:sz w:val="18"/>
          <w:szCs w:val="18"/>
          <w:color w:val="auto"/>
        </w:rPr>
        <w:t>Competition for qualified employees and personnel in the banking industry is intense and there are a limited number of qualified persons with knowledge of, and experience in, the California community banking industry. The process of recruiting personnel with the combination of skills and attributes required to carry out our strategies is often lengthy. In addition, legislation and regulations which impose restrictions on executive compensation may make it more difficult for us to retain and recruit key personnel. Our success depends to a significant degree upon our ability to attract and retain qualified management, loan origination, finance, administrative, risk management, marketing and technical personnel and upon the continued contributions of our management and personnel. In particular, our success has been and continues to be highly dependent upon the abilities of key executives, including our President and Chief Executive Officer, and certain other key employees.</w:t>
      </w:r>
    </w:p>
    <w:p>
      <w:pPr>
        <w:spacing w:after="0" w:line="156" w:lineRule="exact"/>
        <w:rPr>
          <w:sz w:val="20"/>
          <w:szCs w:val="20"/>
          <w:color w:val="auto"/>
        </w:rPr>
      </w:pPr>
    </w:p>
    <w:p>
      <w:pPr>
        <w:ind w:right="52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enterprise risk management framework is not effective at mitigating risk and loss to us, we could suffer unexpected losses and our results of operations could be materially adversely affected.</w:t>
      </w:r>
    </w:p>
    <w:p>
      <w:pPr>
        <w:spacing w:after="0" w:line="117" w:lineRule="exact"/>
        <w:rPr>
          <w:sz w:val="20"/>
          <w:szCs w:val="20"/>
          <w:color w:val="auto"/>
        </w:rPr>
      </w:pPr>
    </w:p>
    <w:p>
      <w:pPr>
        <w:ind w:right="120" w:firstLine="637"/>
        <w:spacing w:after="0" w:line="256" w:lineRule="auto"/>
        <w:rPr>
          <w:sz w:val="20"/>
          <w:szCs w:val="20"/>
          <w:color w:val="auto"/>
        </w:rPr>
      </w:pPr>
      <w:r>
        <w:rPr>
          <w:rFonts w:ascii="Times New Roman" w:cs="Times New Roman" w:eastAsia="Times New Roman" w:hAnsi="Times New Roman"/>
          <w:sz w:val="18"/>
          <w:szCs w:val="18"/>
          <w:color w:val="auto"/>
        </w:rPr>
        <w:t>Our enterprise risk management framework seeks to achieve an appropriate balance between risk and return, which is critical to optimizing shareholder value. We have established processes and procedures intended to identify, measure, monitor, report and analyze the types of risk to which we are subject, including credit, liquidity, operational, regulatory, compliance and reputational risks. However, as with any risk management framework, there are inherent limitations to our risk management strategies as there may exist, or develop in the future, risks that we have not appropriately managed, anticipated or identified. If our risk management framework proves ineffective, we could suffer unexpected losses and our business and results of operations could be materially adversely affected.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Changes in stock market prices could reduce fee income from our brokerage, asset management and investment advisory businesses</w:t>
      </w:r>
    </w:p>
    <w:p>
      <w:pPr>
        <w:spacing w:after="0" w:line="202" w:lineRule="exact"/>
        <w:rPr>
          <w:sz w:val="20"/>
          <w:szCs w:val="20"/>
          <w:color w:val="auto"/>
        </w:rPr>
      </w:pPr>
    </w:p>
    <w:p>
      <w:pPr>
        <w:ind w:right="300" w:firstLine="637"/>
        <w:spacing w:after="0" w:line="260" w:lineRule="auto"/>
        <w:rPr>
          <w:sz w:val="20"/>
          <w:szCs w:val="20"/>
          <w:color w:val="auto"/>
        </w:rPr>
      </w:pPr>
      <w:r>
        <w:rPr>
          <w:rFonts w:ascii="Times New Roman" w:cs="Times New Roman" w:eastAsia="Times New Roman" w:hAnsi="Times New Roman"/>
          <w:sz w:val="18"/>
          <w:szCs w:val="18"/>
          <w:color w:val="auto"/>
        </w:rPr>
        <w:t>We earn wealth management fee income for managing assets for our clients and also providing brokerage and investment advisory services. Because investment management and advisory fees are often based on the value of assets under management, a fall in the market prices of those assets could reduce our fee income. Changes in stock market prices could affect the trading activity of investors, reducing commissions and other fees we earn from our brokerage business.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goodwill impairment</w:t>
      </w:r>
    </w:p>
    <w:p>
      <w:pPr>
        <w:spacing w:after="0" w:line="188" w:lineRule="exact"/>
        <w:rPr>
          <w:sz w:val="20"/>
          <w:szCs w:val="20"/>
          <w:color w:val="auto"/>
        </w:rPr>
      </w:pPr>
    </w:p>
    <w:p>
      <w:pPr>
        <w:ind w:right="200" w:firstLine="637"/>
        <w:spacing w:after="0" w:line="258" w:lineRule="auto"/>
        <w:rPr>
          <w:sz w:val="20"/>
          <w:szCs w:val="20"/>
          <w:color w:val="auto"/>
        </w:rPr>
      </w:pPr>
      <w:r>
        <w:rPr>
          <w:rFonts w:ascii="Times New Roman" w:cs="Times New Roman" w:eastAsia="Times New Roman" w:hAnsi="Times New Roman"/>
          <w:sz w:val="18"/>
          <w:szCs w:val="18"/>
          <w:color w:val="auto"/>
        </w:rPr>
        <w:t>If our estimates of fair value change due to changes in our businesses or other factors, we may determine that impairment charges on goodwill recorded as a result of acquisitions are necessary. Estimates of fair value are determined based on a complex model using cash flows, the fair value of our Company as determined by our stock price, and peer company comparisons. If management’s estimates of future cash flows are inaccurate, fair value determined could be inaccurate and impairment may not be recognized in a timely manner. If the fair value of the Company declines, we may need to recognize goodwill impairment in the future which would have a material adverse effect on our results of operations and capital levels.</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accounting estimates and risk management processes rely on analytical and forecasting models</w:t>
      </w:r>
    </w:p>
    <w:p>
      <w:pPr>
        <w:spacing w:after="0" w:line="188" w:lineRule="exact"/>
        <w:rPr>
          <w:sz w:val="20"/>
          <w:szCs w:val="20"/>
          <w:color w:val="auto"/>
        </w:rPr>
      </w:pPr>
    </w:p>
    <w:p>
      <w:pPr>
        <w:ind w:right="100" w:firstLine="637"/>
        <w:spacing w:after="0" w:line="258" w:lineRule="auto"/>
        <w:rPr>
          <w:sz w:val="20"/>
          <w:szCs w:val="20"/>
          <w:color w:val="auto"/>
        </w:rPr>
      </w:pPr>
      <w:r>
        <w:rPr>
          <w:rFonts w:ascii="Times New Roman" w:cs="Times New Roman" w:eastAsia="Times New Roman" w:hAnsi="Times New Roman"/>
          <w:sz w:val="18"/>
          <w:szCs w:val="18"/>
          <w:color w:val="auto"/>
        </w:rPr>
        <w:t>The processes we use to estimate our expected credit losses and to measure the fair value of financial instruments, as well as the processes used to estimate the effects of changing interest rates and other market measures on our financial condition and results of operations, depends upon the use of analytical and forecasting models. These models reflect assumptions that may not be accurate, particularly in times of market stress or other unforeseen circumstances. Even if these assumptions are adequate, the models may prove to be inadequate or inaccurate because of other flaws in their design or their implementation. If the models we use for interest rate risk and asset-liability management are inadequate, we may incur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5" w:name="page26"/>
    <w:bookmarkEnd w:id="25"/>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increased or unexpected losses upon changes in market interest rates or other market measures. If the models we use for determining our expected credit losses are inadequate, the allowance for credit losses may not be sufficient to support future charge-offs. If the models we use to measure the fair value of financial instruments are inadequate, the fair value of such financial instruments may fluctuate unexpectedly or may not accurately reflect what we could realize upon sale or settlement of such financial instruments. Any such failure in our analytical or forecasting models could have a material adverse effect on our business, financial condition and results of operations.</w:t>
      </w:r>
    </w:p>
    <w:p>
      <w:pPr>
        <w:spacing w:after="0" w:line="151" w:lineRule="exact"/>
        <w:rPr>
          <w:sz w:val="20"/>
          <w:szCs w:val="20"/>
          <w:color w:val="auto"/>
        </w:rPr>
      </w:pPr>
    </w:p>
    <w:p>
      <w:pPr>
        <w:ind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decisions regarding the fair value of assets acquired could be different than initially estimated, which could materially and adversely affect our business, financial condition, results of operations, and future prospects</w:t>
      </w:r>
    </w:p>
    <w:p>
      <w:pPr>
        <w:spacing w:after="0" w:line="117" w:lineRule="exact"/>
        <w:rPr>
          <w:sz w:val="20"/>
          <w:szCs w:val="20"/>
          <w:color w:val="auto"/>
        </w:rPr>
      </w:pPr>
    </w:p>
    <w:p>
      <w:pPr>
        <w:ind w:right="60" w:firstLine="637"/>
        <w:spacing w:after="0" w:line="280" w:lineRule="auto"/>
        <w:rPr>
          <w:sz w:val="20"/>
          <w:szCs w:val="20"/>
          <w:color w:val="auto"/>
        </w:rPr>
      </w:pPr>
      <w:r>
        <w:rPr>
          <w:rFonts w:ascii="Times New Roman" w:cs="Times New Roman" w:eastAsia="Times New Roman" w:hAnsi="Times New Roman"/>
          <w:sz w:val="17"/>
          <w:szCs w:val="17"/>
          <w:color w:val="auto"/>
        </w:rPr>
        <w:t>In business combinations, we acquire significant portfolios of loans that are marked to their estimated fair value. The fluctuations in national, regional and local economic conditions, including those related to local residential, commercial real estate and construction markets, may increase the level of charge-offs or the allowance for credit losses in the loan portfolio that we acquire and correspondingly reduce our net income. These fluctuations are not predictable, cannot be controlled and may have a material adverse impact on our operations and financial condition, even if other favorable events occur.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and External Risks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Changes in economic, market and political conditions can adversely affect our liquidity, results of operations and financial condition.</w:t>
      </w:r>
    </w:p>
    <w:p>
      <w:pPr>
        <w:spacing w:after="0" w:line="188" w:lineRule="exact"/>
        <w:rPr>
          <w:sz w:val="20"/>
          <w:szCs w:val="20"/>
          <w:color w:val="auto"/>
        </w:rPr>
      </w:pPr>
    </w:p>
    <w:p>
      <w:pPr>
        <w:ind w:right="80" w:firstLine="637"/>
        <w:spacing w:after="0" w:line="255" w:lineRule="auto"/>
        <w:rPr>
          <w:sz w:val="20"/>
          <w:szCs w:val="20"/>
          <w:color w:val="auto"/>
        </w:rPr>
      </w:pPr>
      <w:r>
        <w:rPr>
          <w:rFonts w:ascii="Times New Roman" w:cs="Times New Roman" w:eastAsia="Times New Roman" w:hAnsi="Times New Roman"/>
          <w:sz w:val="18"/>
          <w:szCs w:val="18"/>
          <w:color w:val="auto"/>
        </w:rPr>
        <w:t>Our success depends, to a certain extent, upon local, national and global economic and political conditions, as well as governmental monetary policies. Conditions such as an economic recession, rising unemployment, changes in interest rates, money supply, inflationary prices and other factors beyond our control may adversely affect our asset quality, deposit levels loan demand, ability to manage costs associated with employees and vendors and, therefore, our earnings. Because we have a significant amount of real estate loans, decreases in real estate values could adversely affect the value of property used as collateral. Adverse changes in the economy may also have a negative effect on the ability of our borrowers to make timely repayments of their loans, which could have an adverse impact on our earnings. In addition, we may face the following risks in connection with any downward turn in the economy:</w:t>
      </w:r>
    </w:p>
    <w:p>
      <w:pPr>
        <w:spacing w:after="0" w:line="146" w:lineRule="exact"/>
        <w:rPr>
          <w:sz w:val="20"/>
          <w:szCs w:val="20"/>
          <w:color w:val="auto"/>
        </w:rPr>
      </w:pPr>
    </w:p>
    <w:p>
      <w:pPr>
        <w:ind w:left="1660" w:right="40" w:hanging="379"/>
        <w:spacing w:after="0" w:line="255" w:lineRule="auto"/>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we use to estimate losses inherent in our credit exposure requires difficult, subjective and complex judgments, including forecasts of economic conditions and how these economic conditions might impair the ability of our borrowers to repay their loans. The level of uncertainty concerning economic conditions may adversely affect the accuracy of our estimates which may, in turn, impact the reliability of the process;</w:t>
      </w:r>
    </w:p>
    <w:p>
      <w:pPr>
        <w:spacing w:after="0" w:line="1" w:lineRule="exact"/>
        <w:rPr>
          <w:rFonts w:ascii="Times New Roman" w:cs="Times New Roman" w:eastAsia="Times New Roman" w:hAnsi="Times New Roman"/>
          <w:sz w:val="18"/>
          <w:szCs w:val="18"/>
          <w:color w:val="auto"/>
        </w:rPr>
      </w:pPr>
    </w:p>
    <w:p>
      <w:pPr>
        <w:ind w:left="1660" w:right="300" w:hanging="379"/>
        <w:spacing w:after="0" w:line="250" w:lineRule="auto"/>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commercial, residential and consumer borrowers may be unable to make timely repayments of their loans, or the decrease in value of real estate collateral securing the payment of such loans could result in significant credit losses, increasing delinquencies, foreclosures and customer bankruptcies, any of which could have a material adverse effect on the Company’s operating results;</w:t>
      </w:r>
    </w:p>
    <w:p>
      <w:pPr>
        <w:ind w:left="1660" w:right="140" w:hanging="379"/>
        <w:spacing w:after="0" w:line="250" w:lineRule="auto"/>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environment of low interest rates would continue to cause lending margins to stay compressed, which in turn may limit our revenues and profitability;</w:t>
      </w:r>
    </w:p>
    <w:p>
      <w:pPr>
        <w:jc w:val="both"/>
        <w:ind w:left="1660" w:right="400" w:hanging="379"/>
        <w:spacing w:after="0" w:line="250" w:lineRule="auto"/>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environment in which the U.S. Treasury yield curve is inverted could cause net interest margins to compress, as the majority of our funding sources are impacted by short-term rates, while much of our earning assets are impacted by longer term interest rates</w:t>
      </w:r>
    </w:p>
    <w:p>
      <w:pPr>
        <w:ind w:left="1660" w:right="20" w:hanging="379"/>
        <w:spacing w:after="0" w:line="250" w:lineRule="auto"/>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portfolio of investment securities that we hold may be adversely affected by increasing interest rates and defaults by debtors;</w:t>
      </w:r>
    </w:p>
    <w:p>
      <w:pPr>
        <w:ind w:left="1660" w:right="700" w:hanging="379"/>
        <w:spacing w:after="0" w:line="250" w:lineRule="auto"/>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disruptions in the capital markets or other events, including actions by rating agencies and deteriorating investor expectations, may result in changes in applicable rates of interest, difficulty in accessing capital or an inability to borrow on favorable terms or at all from other financial institutions; and</w:t>
      </w:r>
    </w:p>
    <w:p>
      <w:pPr>
        <w:ind w:left="1660" w:hanging="379"/>
        <w:spacing w:after="0" w:line="260" w:lineRule="auto"/>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among financial services companies due to expected further consolidation in the industry may adversely affect the Company’s ability to market its products and services.</w:t>
      </w:r>
    </w:p>
    <w:p>
      <w:pPr>
        <w:spacing w:after="0" w:line="153" w:lineRule="exact"/>
        <w:rPr>
          <w:sz w:val="20"/>
          <w:szCs w:val="20"/>
          <w:color w:val="auto"/>
        </w:rPr>
      </w:pPr>
    </w:p>
    <w:p>
      <w:pPr>
        <w:ind w:right="100" w:firstLine="637"/>
        <w:spacing w:after="0" w:line="258" w:lineRule="auto"/>
        <w:rPr>
          <w:sz w:val="20"/>
          <w:szCs w:val="20"/>
          <w:color w:val="auto"/>
        </w:rPr>
      </w:pPr>
      <w:r>
        <w:rPr>
          <w:rFonts w:ascii="Times New Roman" w:cs="Times New Roman" w:eastAsia="Times New Roman" w:hAnsi="Times New Roman"/>
          <w:sz w:val="18"/>
          <w:szCs w:val="18"/>
          <w:color w:val="auto"/>
        </w:rPr>
        <w:t>Although the Company and the Bank exceed the minimum capital ratio requirements to be deemed “well-capitalized” for regulatory purposes and have not suffered any significant liquidity issues as a result of these types of events, the cost and availability of funds may be adversely affected by illiquid credit markets and the demand for our products and services may decline if we experience slower than expected economic growth or higher rates of unemployment. In view of the concentration of our operations and the collateral securing our loan portfolio in Central and Southern California, we may be particularly susceptible to adverse economic conditions in the state of California, where our business is concentrated. In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6" w:name="page27"/>
    <w:bookmarkEnd w:id="26"/>
    <w:p>
      <w:pPr>
        <w:ind w:right="340"/>
        <w:spacing w:after="0" w:line="281" w:lineRule="auto"/>
        <w:rPr>
          <w:sz w:val="20"/>
          <w:szCs w:val="20"/>
          <w:color w:val="auto"/>
        </w:rPr>
      </w:pPr>
      <w:r>
        <w:rPr>
          <w:rFonts w:ascii="Times New Roman" w:cs="Times New Roman" w:eastAsia="Times New Roman" w:hAnsi="Times New Roman"/>
          <w:sz w:val="18"/>
          <w:szCs w:val="18"/>
          <w:color w:val="auto"/>
        </w:rPr>
        <w:t>addition, adverse economic conditions may exacerbate our exposure to credit risk and adversely affect the ability of borrowers to perform, and thereby, adversely affect our liquidity, financial condition, results or operations and profitability.</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earnings are significantly affected by the fiscal and monetary policies of the federal government and its agencies.</w:t>
      </w:r>
    </w:p>
    <w:p>
      <w:pPr>
        <w:spacing w:after="0" w:line="188" w:lineRule="exact"/>
        <w:rPr>
          <w:sz w:val="20"/>
          <w:szCs w:val="20"/>
          <w:color w:val="auto"/>
        </w:rPr>
      </w:pPr>
    </w:p>
    <w:p>
      <w:pPr>
        <w:ind w:right="40" w:firstLine="637"/>
        <w:spacing w:after="0" w:line="255" w:lineRule="auto"/>
        <w:rPr>
          <w:sz w:val="20"/>
          <w:szCs w:val="20"/>
          <w:color w:val="auto"/>
        </w:rPr>
      </w:pPr>
      <w:r>
        <w:rPr>
          <w:rFonts w:ascii="Times New Roman" w:cs="Times New Roman" w:eastAsia="Times New Roman" w:hAnsi="Times New Roman"/>
          <w:sz w:val="18"/>
          <w:szCs w:val="18"/>
          <w:color w:val="auto"/>
        </w:rPr>
        <w:t>The policies of the Federal Reserve impact us significantly. Its policies directly and indirectly influence the rate of interest earned on loans and paid on borrowings and interest-bearing deposits and can also affect the value of financial instruments we hold. Changes in those policies are beyond our control and are difficult to predict. Federal Reserve policies can also affect our borrowers, potentially increasing the risk that they may fail to repay their loans. As an example, monetary tightening and increases in the federal funds rate by the Federal Reserve could adversely affect our borrowers’ earnings and ability to repay their loans, which could have a material adverse effect on our financial condition and results of operations. In addition, the Federal Reserve’s recent actions to reduce its own balance sheet of government and mortgage-backed securities could impact the credit markets and thus prevailing interest rates.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Future legislation, regulatory reform or policy changes could have a material effect on our business and results of operations.</w:t>
      </w:r>
    </w:p>
    <w:p>
      <w:pPr>
        <w:spacing w:after="0" w:line="202" w:lineRule="exact"/>
        <w:rPr>
          <w:sz w:val="20"/>
          <w:szCs w:val="20"/>
          <w:color w:val="auto"/>
        </w:rPr>
      </w:pPr>
    </w:p>
    <w:p>
      <w:pPr>
        <w:ind w:right="160" w:firstLine="637"/>
        <w:spacing w:after="0" w:line="265" w:lineRule="auto"/>
        <w:rPr>
          <w:sz w:val="20"/>
          <w:szCs w:val="20"/>
          <w:color w:val="auto"/>
        </w:rPr>
      </w:pPr>
      <w:r>
        <w:rPr>
          <w:rFonts w:ascii="Times New Roman" w:cs="Times New Roman" w:eastAsia="Times New Roman" w:hAnsi="Times New Roman"/>
          <w:sz w:val="18"/>
          <w:szCs w:val="18"/>
          <w:color w:val="auto"/>
        </w:rPr>
        <w:t>New legislation, regulatory reform or policy changes, including financial services regulatory reform, enforcement priorities, antitrust and merger review policies, and increased infrastructure spending, could adversely impact our business. At this time, we cannot predict the scope or nature of these changes or assess what the overall effect of such potential changes could be on our results of operations or cash flows.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face strong competition from financial services companies and other companies that offer banking services</w:t>
      </w:r>
    </w:p>
    <w:p>
      <w:pPr>
        <w:spacing w:after="0" w:line="188" w:lineRule="exact"/>
        <w:rPr>
          <w:sz w:val="20"/>
          <w:szCs w:val="20"/>
          <w:color w:val="auto"/>
        </w:rPr>
      </w:pPr>
    </w:p>
    <w:p>
      <w:pPr>
        <w:ind w:right="60" w:firstLine="637"/>
        <w:spacing w:after="0" w:line="255" w:lineRule="auto"/>
        <w:rPr>
          <w:sz w:val="20"/>
          <w:szCs w:val="20"/>
          <w:color w:val="auto"/>
        </w:rPr>
      </w:pPr>
      <w:r>
        <w:rPr>
          <w:rFonts w:ascii="Times New Roman" w:cs="Times New Roman" w:eastAsia="Times New Roman" w:hAnsi="Times New Roman"/>
          <w:sz w:val="18"/>
          <w:szCs w:val="18"/>
          <w:color w:val="auto"/>
        </w:rPr>
        <w:t>We conduct most of our operations in the state of California. The banking and financial services businesses in the state of California are highly competitive and increased competition in our primary market areas may adversely impact the level of our loans and deposits. Ultimately, we may not be able to compete successfully against current and future competitors. These competitors include other banks many of which are larger than us and have greater resources. We also face competition from other types of financial institutions, including savings and loan associations, finance companies, brokerage firms, insurance companies, credit unions, mortgage companies and other financial intermediaries. In addition, we face competition from certain non-traditional entities, including “FinTech” companies which specialize in the provision of technology-based financial services, such as payment processing and lending marketplaces, and which may offer or be perceived to offer more responsive or currently desirable financial products and services.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Consumers may decide not to use banks to complete their financial transactions.</w:t>
      </w:r>
    </w:p>
    <w:p>
      <w:pPr>
        <w:spacing w:after="0" w:line="188"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the lower cost of deposits as a source of funds could have a material adverse effect on our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Compliance and Reputational Risks</w:t>
      </w:r>
    </w:p>
    <w:p>
      <w:pPr>
        <w:spacing w:after="0" w:line="198" w:lineRule="exact"/>
        <w:rPr>
          <w:sz w:val="20"/>
          <w:szCs w:val="20"/>
          <w:color w:val="auto"/>
        </w:rPr>
      </w:pPr>
    </w:p>
    <w:p>
      <w:pPr>
        <w:ind w:right="10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that could limit or restrict our activities, which, in turn, may hamper our ability to increase our assets and earnings</w:t>
      </w:r>
    </w:p>
    <w:p>
      <w:pPr>
        <w:spacing w:after="0" w:line="117" w:lineRule="exact"/>
        <w:rPr>
          <w:sz w:val="20"/>
          <w:szCs w:val="20"/>
          <w:color w:val="auto"/>
        </w:rPr>
      </w:pPr>
    </w:p>
    <w:p>
      <w:pPr>
        <w:ind w:firstLine="637"/>
        <w:spacing w:after="0" w:line="254" w:lineRule="auto"/>
        <w:rPr>
          <w:sz w:val="20"/>
          <w:szCs w:val="20"/>
          <w:color w:val="auto"/>
        </w:rPr>
      </w:pPr>
      <w:r>
        <w:rPr>
          <w:rFonts w:ascii="Times New Roman" w:cs="Times New Roman" w:eastAsia="Times New Roman" w:hAnsi="Times New Roman"/>
          <w:sz w:val="18"/>
          <w:szCs w:val="18"/>
          <w:color w:val="auto"/>
        </w:rPr>
        <w:t>Our operations are subject to extensive regulation by federal, state and local governmental authorities, including the FDIC, FRB, DFPI and CFPB, and we are subject to various laws and judicial and administrative decisions imposing requirements and restrictions on part or all of our operations. Similarly, the lending, credit and deposit products we offer are subject to broad oversight and regulation. Because our business is highly regulated, the laws, rules, regulations and supervisory guidance and policies applicable to us are subject to regular modification and change. Perennially, various laws, rules and regulations are proposed, which, if adopted, could impact our operations by making compliance much more difficult or expensive, restricting our ability to originate or sell loans or further restricting the amount of interest or other charges or fees earned on loans or other products. Current and future federal and state legal and regulatory requirements, restrictions and regulations, including those imposed under Dodd-Frank and those adopted to facilitate data privacy or consumer protection, may adversely impact our profitability and may have a material and adverse effect on our business,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27" w:name="page28"/>
    <w:bookmarkEnd w:id="27"/>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financial condition, and results of operations, may require us to invest significant management attention and resources to evaluate and make any changes required by the legislation and accompanying rules, and may make it more difficult for us to attract and retain qualified executive officers and employees. The implementation of certain final Dodd-Frank rules is delayed or phased in over several years; therefore, as yet we cannot definitively assess what may be the short or longer term specific or aggregate effect of the full implementation of Dodd-Frank on us.</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We face a risk of noncompliance and enforcement action with the Bank Secrecy Act and other anti-money laundering statutes and regulations</w:t>
      </w:r>
    </w:p>
    <w:p>
      <w:pPr>
        <w:spacing w:after="0" w:line="200" w:lineRule="exact"/>
        <w:rPr>
          <w:sz w:val="20"/>
          <w:szCs w:val="20"/>
          <w:color w:val="auto"/>
        </w:rPr>
      </w:pPr>
    </w:p>
    <w:p>
      <w:pPr>
        <w:ind w:right="100" w:firstLine="637"/>
        <w:spacing w:after="0" w:line="253" w:lineRule="auto"/>
        <w:rPr>
          <w:sz w:val="20"/>
          <w:szCs w:val="20"/>
          <w:color w:val="auto"/>
        </w:rPr>
      </w:pPr>
      <w:r>
        <w:rPr>
          <w:rFonts w:ascii="Times New Roman" w:cs="Times New Roman" w:eastAsia="Times New Roman" w:hAnsi="Times New Roman"/>
          <w:sz w:val="18"/>
          <w:szCs w:val="18"/>
          <w:color w:val="auto"/>
        </w:rPr>
        <w:t>The Bank Secrecy Act, the USA PATRIOT Act of 2001, and other laws and regulations require financial institutions, among other duties, to institute and maintain an effective anti-money laundering program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banking regulators, as well as the U.S. Department of Justice, Drug Enforcement Administration, and Internal Revenue Service. We are also subject to scrutiny of compliance with the rules enforced by the Office of Foreign Assets Control and compliance with the Foreign Corrupt Practices Act. If our policies, procedures and systems are deemed deficient, we would be subject to liability, including fines and regulatory actions, which may include restrictions on our ability to pay dividends and the necessity to obtain regulatory approvals to proceed with certain aspects of our business plan. Failure to maintain and implement adequate programs to combat money laundering and terrorist financing could also have serious reputational consequences for us. Any of these results could materially and adversely affect our business, financial condition and results of operations.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Mortgage regulations may adversely impact our business</w:t>
      </w:r>
    </w:p>
    <w:p>
      <w:pPr>
        <w:spacing w:after="0" w:line="202"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Revisions made pursuant to Dodd-Frank to Regulation Z, which implements the Truth in Lending Act (TILA), effective in January 2014, apply to all consumer mortgages (except home equity lines of credit, timeshare plans, reverse mortgages, or temporary loans), and mandate specific underwriting criteria and “ability to repay” requirements for home loans. This may impact our offering and underwriting of single family residential loans in our residential mortgage lending operation and could have a resulting unknown effect on potential delinquencies. In addition, the relatively uniform requirements may make it difficult for regional and community banks to compete against the larger national banks for single family residential loan originations.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impact of current capital rules imposed enhanced capital adequacy requirements on us and may materially affect our operations</w:t>
      </w:r>
    </w:p>
    <w:p>
      <w:pPr>
        <w:spacing w:after="0" w:line="188" w:lineRule="exact"/>
        <w:rPr>
          <w:sz w:val="20"/>
          <w:szCs w:val="20"/>
          <w:color w:val="auto"/>
        </w:rPr>
      </w:pPr>
    </w:p>
    <w:p>
      <w:pPr>
        <w:ind w:firstLine="637"/>
        <w:spacing w:after="0" w:line="265" w:lineRule="auto"/>
        <w:rPr>
          <w:sz w:val="20"/>
          <w:szCs w:val="20"/>
          <w:color w:val="auto"/>
        </w:rPr>
      </w:pPr>
      <w:r>
        <w:rPr>
          <w:rFonts w:ascii="Times New Roman" w:cs="Times New Roman" w:eastAsia="Times New Roman" w:hAnsi="Times New Roman"/>
          <w:sz w:val="18"/>
          <w:szCs w:val="18"/>
          <w:color w:val="auto"/>
        </w:rPr>
        <w:t>We are subject to more stringent capital requirements. Pursuant to Dodd-Frank and to implement for U.S. banking institutions the principles of the international “Basel III” standards, the federal banking agencies have adopted a set of rules on minimum leverage and risk-based capital that will apply to both insured banks and their holding companies.</w:t>
      </w:r>
    </w:p>
    <w:p>
      <w:pPr>
        <w:spacing w:after="0" w:line="150" w:lineRule="exact"/>
        <w:rPr>
          <w:sz w:val="20"/>
          <w:szCs w:val="20"/>
          <w:color w:val="auto"/>
        </w:rPr>
      </w:pPr>
    </w:p>
    <w:p>
      <w:pPr>
        <w:ind w:right="460" w:firstLine="637"/>
        <w:spacing w:after="0" w:line="312" w:lineRule="auto"/>
        <w:rPr>
          <w:sz w:val="20"/>
          <w:szCs w:val="20"/>
          <w:color w:val="auto"/>
        </w:rPr>
      </w:pPr>
      <w:r>
        <w:rPr>
          <w:rFonts w:ascii="Times New Roman" w:cs="Times New Roman" w:eastAsia="Times New Roman" w:hAnsi="Times New Roman"/>
          <w:sz w:val="17"/>
          <w:szCs w:val="17"/>
          <w:color w:val="auto"/>
        </w:rPr>
        <w:t>The current capital rules, which have now been fully implemented, may adversely affect our ability to pay dividends, or require us to reduce business levels or raise capital, including in ways that may adversely affect our business, liquidity, financial condition and results of operations.</w:t>
      </w:r>
    </w:p>
    <w:p>
      <w:pPr>
        <w:spacing w:after="0" w:line="99" w:lineRule="exact"/>
        <w:rPr>
          <w:sz w:val="20"/>
          <w:szCs w:val="20"/>
          <w:color w:val="auto"/>
        </w:rPr>
      </w:pPr>
    </w:p>
    <w:p>
      <w:pPr>
        <w:ind w:right="140" w:firstLine="637"/>
        <w:spacing w:after="0" w:line="258" w:lineRule="auto"/>
        <w:rPr>
          <w:sz w:val="20"/>
          <w:szCs w:val="20"/>
          <w:color w:val="auto"/>
        </w:rPr>
      </w:pPr>
      <w:r>
        <w:rPr>
          <w:rFonts w:ascii="Times New Roman" w:cs="Times New Roman" w:eastAsia="Times New Roman" w:hAnsi="Times New Roman"/>
          <w:sz w:val="18"/>
          <w:szCs w:val="18"/>
          <w:color w:val="auto"/>
        </w:rPr>
        <w:t>Under the current capital standards, if our Common Equity Tier 1 Capital does not include the required “capital conservation buffer,” we will be prohibited from making distributions to our stockholders. The capital conservation buffer requirement, which is measured in addition to the minimum Common Equity Tier 1 capital of 4.5%, is now 2.5%. Additionally, under the capital standards, if our Common Equity Tier 1 Capital does not include the “capital conservation buffer,” we will also be prohibited from paying discretionary bonuses to our executive employees. This may affect our ability to attract or retain employees, or alter the nature of the compensation arrangements that we may enter into with them.</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Managing reputational risk is important to attracting and maintaining customers, investors and employees</w:t>
      </w:r>
    </w:p>
    <w:p>
      <w:pPr>
        <w:spacing w:after="0" w:line="202" w:lineRule="exact"/>
        <w:rPr>
          <w:sz w:val="20"/>
          <w:szCs w:val="20"/>
          <w:color w:val="auto"/>
        </w:rPr>
      </w:pPr>
    </w:p>
    <w:p>
      <w:pPr>
        <w:ind w:right="60" w:firstLine="637"/>
        <w:spacing w:after="0" w:line="274" w:lineRule="auto"/>
        <w:rPr>
          <w:sz w:val="20"/>
          <w:szCs w:val="20"/>
          <w:color w:val="auto"/>
        </w:rPr>
      </w:pPr>
      <w:r>
        <w:rPr>
          <w:rFonts w:ascii="Times New Roman" w:cs="Times New Roman" w:eastAsia="Times New Roman" w:hAnsi="Times New Roman"/>
          <w:sz w:val="17"/>
          <w:szCs w:val="17"/>
          <w:color w:val="auto"/>
        </w:rPr>
        <w:t>Threats to our reputation can come from many sources, including adverse sentiment about financial institutions generally, unethical practices, employee mistakes, misconduct or fraud, failure to deliver minimum standards of service or quality, failure of any product or service offered by us to meet our customers’ expectations, compliance deficiencies, privacy or information security breaches, government investigations, litigation, and questionable or fraudulent activities of our employees or customers. We have policies and procedures in place to protect our reputation and promote ethical conduct, but these policies and procedures may not be fully effective. Negative publicity regarding our business, employees, or customers, with or without merit, may result in the loss of customers, investors and employees, costly litigation, a decline in revenues and increased governmental scrutiny and regulation.</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accuracy and completeness of information provided by customers and counterparties.</w:t>
      </w:r>
    </w:p>
    <w:p>
      <w:pPr>
        <w:spacing w:after="0" w:line="202"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with customers and counterparties, we may rely on information furnished to us by, or on behalf of, customers and counterparties, including financial statements and other financial information. We also may rely on representations of customers and counterparties as to the accuracy and completeness of that information. In deciding whether to extend credit, we may rely upon our customers’ representations that their financial statements are accurate. We also may rely on customer representations and certifications, or other audit or accountants’ reports, with respect to the business and financial condition of our commercial clients. Our financial condition, results of operations, financial reporting and reputation could be materially adversely affected if we rely on materially misleading, false, inaccurate or fraudulent information.</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and litigation risk which could adversely affect us</w:t>
      </w:r>
    </w:p>
    <w:p>
      <w:pPr>
        <w:spacing w:after="0" w:line="188"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Because our Company is extensively regulated by a variety of federal and state agencies, and because we are subject to a wide range of business, consumer and employment laws and regulations at the federal, state and local levels, we are at risk of governmental investigations and lawsuits as well as claims and litigation from private parties. We are from time to time involved in disputes with and claims from investors, customers, bankruptcy trustees, government agencies, vendors, employees and other business parties, and such disputes and claims may result in investigations, litigation or settlements, any one of which or in the aggregate could have an adverse impact on the Company’s operating flexibility, employee relations, financial condition or results of operations, as a result of the costs of any judgment, the terms of any settlement and/or the expenses incurred in defending the applicable claim.</w:t>
      </w:r>
    </w:p>
    <w:p>
      <w:pPr>
        <w:spacing w:after="0" w:line="159" w:lineRule="exact"/>
        <w:rPr>
          <w:sz w:val="20"/>
          <w:szCs w:val="20"/>
          <w:color w:val="auto"/>
        </w:rPr>
      </w:pPr>
    </w:p>
    <w:p>
      <w:pPr>
        <w:ind w:right="80" w:firstLine="637"/>
        <w:spacing w:after="0" w:line="258" w:lineRule="auto"/>
        <w:rPr>
          <w:sz w:val="20"/>
          <w:szCs w:val="20"/>
          <w:color w:val="auto"/>
        </w:rPr>
      </w:pPr>
      <w:r>
        <w:rPr>
          <w:rFonts w:ascii="Times New Roman" w:cs="Times New Roman" w:eastAsia="Times New Roman" w:hAnsi="Times New Roman"/>
          <w:sz w:val="18"/>
          <w:szCs w:val="18"/>
          <w:color w:val="auto"/>
        </w:rPr>
        <w:t xml:space="preserve">We are unable, at this time, to estimate our potential liability in these matters, but we may be required to pay judgments, settlements or other penalties and incur other costs and expenses in connection with any one or more of these investigations or lawsuits, which in turn could have a material adverse effect on our business, results of operations and financial condition. In addition, responding to requests for information in connection with discovery demanded by a government agency or private plaintiffs in any of these lawsuits may be costly and divert internal resources away from managing our business. See Item 3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below.</w:t>
      </w:r>
    </w:p>
    <w:p>
      <w:pPr>
        <w:spacing w:after="0" w:line="141" w:lineRule="exact"/>
        <w:rPr>
          <w:sz w:val="20"/>
          <w:szCs w:val="20"/>
          <w:color w:val="auto"/>
        </w:rPr>
      </w:pPr>
    </w:p>
    <w:p>
      <w:pPr>
        <w:ind w:right="60" w:firstLine="637"/>
        <w:spacing w:after="0" w:line="258" w:lineRule="auto"/>
        <w:rPr>
          <w:sz w:val="20"/>
          <w:szCs w:val="20"/>
          <w:color w:val="auto"/>
        </w:rPr>
      </w:pPr>
      <w:r>
        <w:rPr>
          <w:rFonts w:ascii="Times New Roman" w:cs="Times New Roman" w:eastAsia="Times New Roman" w:hAnsi="Times New Roman"/>
          <w:sz w:val="18"/>
          <w:szCs w:val="18"/>
          <w:color w:val="auto"/>
        </w:rPr>
        <w:t>We may be subject to customer claims and government or legal actions pertaining to our ability to safeguard our customers’ information and the performance of our fiduciary responsibilities. Whether or not such customer claims and legal actions are founded or unfounded, if such claims and legal actions are not resolved in a manner favorable to us, they may result in significant financial liability and/or adversely affect the market perception of us and our products and services, as well as impact customer demand for those products and services. Any financial liability or reputation damage could have a material adverse effect on our business, which, in turn, could have a material adverse effect on our financial condition and results of operations.</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could reduce or discontinue the payment of dividend on our common stock</w:t>
      </w:r>
    </w:p>
    <w:p>
      <w:pPr>
        <w:spacing w:after="0" w:line="202" w:lineRule="exact"/>
        <w:rPr>
          <w:sz w:val="20"/>
          <w:szCs w:val="20"/>
          <w:color w:val="auto"/>
        </w:rPr>
      </w:pPr>
    </w:p>
    <w:p>
      <w:pPr>
        <w:jc w:val="both"/>
        <w:ind w:right="140" w:firstLine="637"/>
        <w:spacing w:after="0" w:line="260" w:lineRule="auto"/>
        <w:rPr>
          <w:sz w:val="20"/>
          <w:szCs w:val="20"/>
          <w:color w:val="auto"/>
        </w:rPr>
      </w:pPr>
      <w:r>
        <w:rPr>
          <w:rFonts w:ascii="Times New Roman" w:cs="Times New Roman" w:eastAsia="Times New Roman" w:hAnsi="Times New Roman"/>
          <w:sz w:val="18"/>
          <w:szCs w:val="18"/>
          <w:color w:val="auto"/>
        </w:rPr>
        <w:t>The ability of the Bank to pay dividends to the Company and of the Company to pay dividends to its shareholders is limited by applicable federal and California law and regulations. If the Bank is unable to meet regulatory requirements to pay dividends or make other distributions to CVB, CVB will be unable to pay dividends to its shareholders. In addition, our Board of Directors could decide in the future to reduce or discontinue the payment of cash dividends on our common stock in its sole discretion.</w:t>
      </w:r>
    </w:p>
    <w:p>
      <w:pPr>
        <w:spacing w:after="0" w:line="141" w:lineRule="exact"/>
        <w:rPr>
          <w:sz w:val="20"/>
          <w:szCs w:val="20"/>
          <w:color w:val="auto"/>
        </w:rPr>
      </w:pPr>
    </w:p>
    <w:p>
      <w:pPr>
        <w:jc w:val="both"/>
        <w:ind w:right="120" w:firstLine="637"/>
        <w:spacing w:after="0" w:line="281" w:lineRule="auto"/>
        <w:rPr>
          <w:sz w:val="20"/>
          <w:szCs w:val="20"/>
          <w:color w:val="auto"/>
        </w:rPr>
      </w:pPr>
      <w:r>
        <w:rPr>
          <w:rFonts w:ascii="Times New Roman" w:cs="Times New Roman" w:eastAsia="Times New Roman" w:hAnsi="Times New Roman"/>
          <w:sz w:val="18"/>
          <w:szCs w:val="18"/>
          <w:color w:val="auto"/>
        </w:rPr>
        <w:t>See “Business — Regulation and Supervision” and “Management’s Discussion and Analysis of Financial Condition and Results of Operations — Liquidity and Cash Flow.”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our Common Stock</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or may decline</w:t>
      </w:r>
    </w:p>
    <w:p>
      <w:pPr>
        <w:spacing w:after="0" w:line="188" w:lineRule="exact"/>
        <w:rPr>
          <w:sz w:val="20"/>
          <w:szCs w:val="20"/>
          <w:color w:val="auto"/>
        </w:rPr>
      </w:pPr>
    </w:p>
    <w:p>
      <w:pPr>
        <w:ind w:right="60" w:firstLine="637"/>
        <w:spacing w:after="0" w:line="260" w:lineRule="auto"/>
        <w:rPr>
          <w:sz w:val="20"/>
          <w:szCs w:val="20"/>
          <w:color w:val="auto"/>
        </w:rPr>
      </w:pPr>
      <w:r>
        <w:rPr>
          <w:rFonts w:ascii="Times New Roman" w:cs="Times New Roman" w:eastAsia="Times New Roman" w:hAnsi="Times New Roman"/>
          <w:sz w:val="18"/>
          <w:szCs w:val="18"/>
          <w:color w:val="auto"/>
        </w:rPr>
        <w:t>The trading price of our common stock may fluctuate widely as a result of a number of factors, many of which are outside our control. In addition, the stock market is subject to fluctuations in its share prices and trading volumes that affect the market prices of the shares of many companies. These specific and broad market fluctuations could adversely affect the market price of our common stock. Among the factors that could affect our stock price are:</w:t>
      </w:r>
    </w:p>
    <w:p>
      <w:pPr>
        <w:spacing w:after="0" w:line="141" w:lineRule="exact"/>
        <w:rPr>
          <w:sz w:val="20"/>
          <w:szCs w:val="20"/>
          <w:color w:val="auto"/>
        </w:rPr>
      </w:pPr>
    </w:p>
    <w:p>
      <w:pPr>
        <w:ind w:left="1660" w:hanging="379"/>
        <w:spacing w:after="0"/>
        <w:tabs>
          <w:tab w:leader="none" w:pos="1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and financial condition;</w:t>
      </w:r>
    </w:p>
    <w:p>
      <w:pPr>
        <w:spacing w:after="0" w:line="2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publication of research reports and recommendations by financial analysts;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9" w:name="page30"/>
    <w:bookmarkEnd w:id="29"/>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events or losses;</w:t>
      </w:r>
    </w:p>
    <w:p>
      <w:pPr>
        <w:spacing w:after="0" w:line="2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analysts’ revenue or earnings estimates;</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trades by institutional shareholders or other large shareholders;</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position;</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stock price and operating results of our competitors;</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hedge funds, short term investors, activist shareholders or shareholder representative organizations;</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in particular, developments relating to the financial services industry and interest rates;</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or adopted regulatory changes or developments;</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pending investigations, proceedings or litigation that involve or affect the Company and/or the Bank;</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losses or data or privacy breaches; or</w:t>
      </w:r>
    </w:p>
    <w:p>
      <w:pPr>
        <w:spacing w:after="0" w:line="8"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factors, whether related or unrelated to the Company’s performance.</w:t>
      </w:r>
    </w:p>
    <w:p>
      <w:pPr>
        <w:spacing w:after="0" w:line="166" w:lineRule="exact"/>
        <w:rPr>
          <w:sz w:val="20"/>
          <w:szCs w:val="20"/>
          <w:color w:val="auto"/>
        </w:rPr>
      </w:pPr>
    </w:p>
    <w:p>
      <w:pPr>
        <w:ind w:right="80" w:firstLine="637"/>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and the trading volume in our common stock may fluctuate and cause significant price variations to occur. The trading price of the shares of our common stock and the value of our other securities will depend on many factors, which may change from time to time, including, without limitation, our financial condition, performance, creditworthiness and prospects, future sales of our equity or equity related securities, and other factors identified above in “Cautionary Note Regarding Forward-Looking Statements”. A significant decline in our stock price could result in substantial losses for individual shareholders and could lead to costly and disruptive securities litigation. Extensive sales by large shareholders could also exert sustained downward pressure on our stock price.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stock is not an insured deposit</w:t>
      </w:r>
    </w:p>
    <w:p>
      <w:pPr>
        <w:spacing w:after="0" w:line="188" w:lineRule="exact"/>
        <w:rPr>
          <w:sz w:val="20"/>
          <w:szCs w:val="20"/>
          <w:color w:val="auto"/>
        </w:rPr>
      </w:pPr>
    </w:p>
    <w:p>
      <w:pPr>
        <w:jc w:val="both"/>
        <w:ind w:right="160" w:firstLine="637"/>
        <w:spacing w:after="0" w:line="260" w:lineRule="auto"/>
        <w:rPr>
          <w:sz w:val="20"/>
          <w:szCs w:val="20"/>
          <w:color w:val="auto"/>
        </w:rPr>
      </w:pPr>
      <w:r>
        <w:rPr>
          <w:rFonts w:ascii="Times New Roman" w:cs="Times New Roman" w:eastAsia="Times New Roman" w:hAnsi="Times New Roman"/>
          <w:sz w:val="18"/>
          <w:szCs w:val="18"/>
          <w:color w:val="auto"/>
        </w:rPr>
        <w:t>Our common stock is not a bank deposit and, therefore, is not insured against loss by the FDIC, any other deposit insurance fund or by any other public or private entity. Investment in our common stock is inherently risky for the reasons described in this “Risk Factors” section and elsewhere in this report and is subject to the same market forces that affect the price of common stock in any company. As a result, if you acquire our common stock, you could lose some or all of your investment.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subordinate to our existing and future indebtedness and preferred stock.</w:t>
      </w:r>
    </w:p>
    <w:p>
      <w:pPr>
        <w:spacing w:after="0" w:line="202"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Shares of our common stock are equity interests and do not constitute indebtedness. As such, our common stock ranks junior to all our customer deposits and indebtedness, whether now existing or hereafter incurred, and other non-equity claims on us, with respect to assets available to satisfy claims. Additionally, holders of common stock are subject to the prior liquidation rights of the holders of any debt we may issue in the future and may be subject to the prior dividend and liquidation rights of any series of preferred stock we may issue in the future.</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and federal law may limit the ability of another party to acquire us, which could cause our stock price to decline</w:t>
      </w:r>
    </w:p>
    <w:p>
      <w:pPr>
        <w:spacing w:after="0" w:line="188" w:lineRule="exact"/>
        <w:rPr>
          <w:sz w:val="20"/>
          <w:szCs w:val="20"/>
          <w:color w:val="auto"/>
        </w:rPr>
      </w:pPr>
    </w:p>
    <w:p>
      <w:pPr>
        <w:ind w:right="140" w:firstLine="637"/>
        <w:spacing w:after="0" w:line="256" w:lineRule="auto"/>
        <w:rPr>
          <w:sz w:val="20"/>
          <w:szCs w:val="20"/>
          <w:color w:val="auto"/>
        </w:rPr>
      </w:pPr>
      <w:r>
        <w:rPr>
          <w:rFonts w:ascii="Times New Roman" w:cs="Times New Roman" w:eastAsia="Times New Roman" w:hAnsi="Times New Roman"/>
          <w:sz w:val="18"/>
          <w:szCs w:val="18"/>
          <w:color w:val="auto"/>
        </w:rPr>
        <w:t>Various provisions of our articles of incorporation and by-laws and certain other actions we have taken could delay or prevent a third-party from acquiring us, even if doing so might be beneficial to our shareholders. The Bank Holding Company Act of 1956, as amended, and the Change in Bank Control Act of 1978, as amended, together with federal regulations, require that, depending on the particular circumstances, regulatory approval and/or appropriate regulatory filings may be required from either or all the Federal Reserve, the FDIC, the DFPI prior to any person or entity acquiring “control” (as defined in the applicable regulations) of a state non-member bank, such as the Bank. These provisions may prevent a merger or acquisition that would be attractive to shareholders and could limit the price investors would be willing to pay in the future for our common stock.</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face other risks</w:t>
      </w:r>
    </w:p>
    <w:p>
      <w:pPr>
        <w:spacing w:after="0" w:line="188" w:lineRule="exact"/>
        <w:rPr>
          <w:sz w:val="20"/>
          <w:szCs w:val="20"/>
          <w:color w:val="auto"/>
        </w:rPr>
      </w:pPr>
    </w:p>
    <w:p>
      <w:pPr>
        <w:ind w:right="100" w:firstLine="637"/>
        <w:spacing w:after="0" w:line="281" w:lineRule="auto"/>
        <w:rPr>
          <w:sz w:val="20"/>
          <w:szCs w:val="20"/>
          <w:color w:val="auto"/>
        </w:rPr>
      </w:pPr>
      <w:r>
        <w:rPr>
          <w:rFonts w:ascii="Times New Roman" w:cs="Times New Roman" w:eastAsia="Times New Roman" w:hAnsi="Times New Roman"/>
          <w:sz w:val="18"/>
          <w:szCs w:val="18"/>
          <w:color w:val="auto"/>
        </w:rPr>
        <w:t xml:space="preserve">From time to time, we detail other risks with respect to our business and/or financial results in our filings with the SEC. For further discussion on additional areas of risk, 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principal executive offices of the Company and the Bank are located in Ontario, California, and are owned by the Company.</w:t>
      </w:r>
    </w:p>
    <w:p>
      <w:pPr>
        <w:spacing w:after="0" w:line="198" w:lineRule="exact"/>
        <w:rPr>
          <w:sz w:val="20"/>
          <w:szCs w:val="20"/>
          <w:color w:val="auto"/>
        </w:rPr>
      </w:pPr>
    </w:p>
    <w:p>
      <w:pPr>
        <w:ind w:right="20" w:firstLine="637"/>
        <w:spacing w:after="0" w:line="260" w:lineRule="auto"/>
        <w:rPr>
          <w:sz w:val="20"/>
          <w:szCs w:val="20"/>
          <w:color w:val="auto"/>
        </w:rPr>
      </w:pPr>
      <w:r>
        <w:rPr>
          <w:rFonts w:ascii="Times New Roman" w:cs="Times New Roman" w:eastAsia="Times New Roman" w:hAnsi="Times New Roman"/>
          <w:sz w:val="18"/>
          <w:szCs w:val="18"/>
          <w:color w:val="auto"/>
        </w:rPr>
        <w:t>As of December 31, 2022, the Bank occupied a total of 65 premises consisting of (i) 62 Banking Centers (“Centers”) of which one Center is located at our Corporate Headquarters in Ontario California, and (ii) three operation and technology centers. We own 14 of these locations and the remaining properties are leased under various agreements with expiration dates ranging from 2023 through 2028. All properties are located in Southern and Central California.</w:t>
      </w:r>
    </w:p>
    <w:p>
      <w:pPr>
        <w:spacing w:after="0" w:line="139" w:lineRule="exact"/>
        <w:rPr>
          <w:sz w:val="20"/>
          <w:szCs w:val="20"/>
          <w:color w:val="auto"/>
        </w:rPr>
      </w:pPr>
    </w:p>
    <w:p>
      <w:pPr>
        <w:ind w:right="360" w:firstLine="637"/>
        <w:spacing w:after="0" w:line="283" w:lineRule="auto"/>
        <w:rPr>
          <w:sz w:val="20"/>
          <w:szCs w:val="20"/>
          <w:color w:val="auto"/>
        </w:rPr>
      </w:pPr>
      <w:r>
        <w:rPr>
          <w:rFonts w:ascii="Times New Roman" w:cs="Times New Roman" w:eastAsia="Times New Roman" w:hAnsi="Times New Roman"/>
          <w:sz w:val="18"/>
          <w:szCs w:val="18"/>
          <w:color w:val="auto"/>
        </w:rPr>
        <w:t xml:space="preserve">For additional information concerning properties, see Note 9 — </w:t>
      </w:r>
      <w:r>
        <w:rPr>
          <w:rFonts w:ascii="Times New Roman" w:cs="Times New Roman" w:eastAsia="Times New Roman" w:hAnsi="Times New Roman"/>
          <w:sz w:val="18"/>
          <w:szCs w:val="18"/>
          <w:i w:val="1"/>
          <w:iCs w:val="1"/>
          <w:color w:val="auto"/>
        </w:rPr>
        <w:t>Premises and Equipment</w:t>
      </w:r>
      <w:r>
        <w:rPr>
          <w:rFonts w:ascii="Times New Roman" w:cs="Times New Roman" w:eastAsia="Times New Roman" w:hAnsi="Times New Roman"/>
          <w:sz w:val="18"/>
          <w:szCs w:val="18"/>
          <w:color w:val="auto"/>
        </w:rPr>
        <w:t xml:space="preserve"> of the Notes to the consolidated financial statements included in this report. See “Item 8 — </w:t>
      </w:r>
      <w:r>
        <w:rPr>
          <w:rFonts w:ascii="Times New Roman" w:cs="Times New Roman" w:eastAsia="Times New Roman" w:hAnsi="Times New Roman"/>
          <w:sz w:val="18"/>
          <w:szCs w:val="18"/>
          <w:i w:val="1"/>
          <w:iCs w:val="1"/>
          <w:color w:val="auto"/>
        </w:rPr>
        <w:t>Financial Statements and Supplemental Data</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88"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 xml:space="preserve">The Company and its subsidiaries are parties to various lawsuits and threatened lawsuits in the ordinary and non-ordinary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bankruptcy-related claims and negligence claims, some of which may be styled as “class action” or representative cases. Some of these lawsuits may be similar in nature to other lawsuits pending against the Company’s competitors. For additional information concerning legal proceedings,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the consolidated financial statements included in this report.</w:t>
      </w:r>
    </w:p>
    <w:p>
      <w:pPr>
        <w:spacing w:after="0" w:line="145"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64" w:lineRule="exact"/>
        <w:rPr>
          <w:sz w:val="20"/>
          <w:szCs w:val="20"/>
          <w:color w:val="auto"/>
        </w:rPr>
      </w:pPr>
    </w:p>
    <w:p>
      <w:pPr>
        <w:ind w:firstLine="637"/>
        <w:spacing w:after="0" w:line="280" w:lineRule="auto"/>
        <w:rPr>
          <w:sz w:val="20"/>
          <w:szCs w:val="20"/>
          <w:color w:val="auto"/>
        </w:rPr>
      </w:pPr>
      <w:r>
        <w:rPr>
          <w:rFonts w:ascii="Times New Roman" w:cs="Times New Roman" w:eastAsia="Times New Roman" w:hAnsi="Times New Roman"/>
          <w:sz w:val="17"/>
          <w:szCs w:val="17"/>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26"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THE REGISTRANT’S COMMON EQUITY, RELATED STOCKHOLDER MATTERS AND ISSUER PURCHASES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EQUITY SECURITIES</w:t>
      </w:r>
    </w:p>
    <w:p>
      <w:pPr>
        <w:spacing w:after="0" w:line="131" w:lineRule="exact"/>
        <w:rPr>
          <w:sz w:val="20"/>
          <w:szCs w:val="20"/>
          <w:color w:val="auto"/>
        </w:rPr>
      </w:pPr>
    </w:p>
    <w:p>
      <w:pPr>
        <w:ind w:right="80" w:firstLine="637"/>
        <w:spacing w:after="0" w:line="281" w:lineRule="auto"/>
        <w:rPr>
          <w:sz w:val="20"/>
          <w:szCs w:val="20"/>
          <w:color w:val="auto"/>
        </w:rPr>
      </w:pPr>
      <w:r>
        <w:rPr>
          <w:rFonts w:ascii="Times New Roman" w:cs="Times New Roman" w:eastAsia="Times New Roman" w:hAnsi="Times New Roman"/>
          <w:sz w:val="18"/>
          <w:szCs w:val="18"/>
          <w:color w:val="auto"/>
        </w:rPr>
        <w:t>CVB’s common stock is traded on the NASDAQ Global Select National Market under the symbol “CVBF.” CVB had approximately 139,506,834 shares of common stock outstanding with 1,926 registered shareholders of record as of February 10, 2023.</w:t>
      </w:r>
    </w:p>
    <w:p>
      <w:pPr>
        <w:spacing w:after="0" w:line="122" w:lineRule="exact"/>
        <w:rPr>
          <w:sz w:val="20"/>
          <w:szCs w:val="20"/>
          <w:color w:val="auto"/>
        </w:rPr>
      </w:pPr>
    </w:p>
    <w:p>
      <w:pPr>
        <w:jc w:val="both"/>
        <w:ind w:right="120" w:firstLine="637"/>
        <w:spacing w:after="0" w:line="265" w:lineRule="auto"/>
        <w:rPr>
          <w:sz w:val="20"/>
          <w:szCs w:val="20"/>
          <w:color w:val="auto"/>
        </w:rPr>
      </w:pPr>
      <w:r>
        <w:rPr>
          <w:rFonts w:ascii="Times New Roman" w:cs="Times New Roman" w:eastAsia="Times New Roman" w:hAnsi="Times New Roman"/>
          <w:sz w:val="18"/>
          <w:szCs w:val="18"/>
          <w:color w:val="auto"/>
        </w:rPr>
        <w:t xml:space="preserve">For information on the statutory and regulatory limitations on the ability of the Company to pay dividends to its shareholders and on the Bank to pay dividends to CVB, see “Item 1. </w:t>
      </w:r>
      <w:r>
        <w:rPr>
          <w:rFonts w:ascii="Times New Roman" w:cs="Times New Roman" w:eastAsia="Times New Roman" w:hAnsi="Times New Roman"/>
          <w:sz w:val="18"/>
          <w:szCs w:val="18"/>
          <w:i w:val="1"/>
          <w:iCs w:val="1"/>
          <w:color w:val="auto"/>
        </w:rPr>
        <w:t>Business-Regulation and Supervision — Dividends</w:t>
      </w:r>
      <w:r>
        <w:rPr>
          <w:rFonts w:ascii="Times New Roman" w:cs="Times New Roman" w:eastAsia="Times New Roman" w:hAnsi="Times New Roman"/>
          <w:sz w:val="18"/>
          <w:szCs w:val="18"/>
          <w:color w:val="auto"/>
        </w:rPr>
        <w:t xml:space="preserve">” and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 Liquidity and Cash Flow</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This new program replaces in its entirety our 2016 stock repurchase program. There is no expiration date for this repurchase program. We completed the execution of the $70 million accelerated stock repurchase program in the second quarter of 2022, and retired a total of 2,993,551 shares of common stock at an average price of $23.38. During 2022 we also repurchased, under our 10b5-1 stock repurchase plan, 1,914,590 shares of common stock, at an average repurchase price of $23.43, totaling $44.9 million. As of December 31, 2022, we had 5,091,859 shares of CVB common stock available for repurchase under the 2022 Repurchase Program.</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ind w:right="640" w:firstLine="637"/>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14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yearly percentage change in CVB’s cumulative total shareholder return (stock price appreciation plus reinvested dividends) on common stock (i) the cumulative total return of the Nasdaq Composite Index; a (ii) a published index comprised by Morningstar (formerly Hemscott, Inc.) of banks and bank holding companies in the Pacific region (the peer group line depicted below), and the Keefe, Bruyette and Woods (“KBW”) Nasdaq Regional Banking Index (“KRX”) (comprised of 50 banks and bank holding companies headquartered throughout the country). For 2022, the Company is using the KBW Regional Banking Index as it more closely represents the Company's peers for performance and compensatory purposes. The graph assumes an initial investment of $100 on December 31, 2017, and reinvestment of dividends through December 31, 2022. Points on the graph represent the performance as of the last business day of each of the years indicated.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106045</wp:posOffset>
            </wp:positionV>
            <wp:extent cx="5188585" cy="4307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88585" cy="430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ASSUMES $100 INVESTED ON DECEMBER 31, 2017</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ASSUMES DIVIDEND REINVESTED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FISCAL YEAR ENDING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Company/Market/Peer Group</w:t>
            </w:r>
          </w:p>
        </w:tc>
        <w:tc>
          <w:tcPr>
            <w:tcW w:w="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12/31/2017</w:t>
            </w: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12/31/2018</w:t>
            </w:r>
          </w:p>
        </w:tc>
        <w:tc>
          <w:tcPr>
            <w:tcW w:w="1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12/31/2019</w:t>
            </w: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12/31/2020</w:t>
            </w: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12/31/2021</w:t>
            </w:r>
          </w:p>
        </w:tc>
        <w:tc>
          <w:tcPr>
            <w:tcW w:w="1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12/31/2022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CVB Financial Corp.</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88.02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97.00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91.94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104.42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129.50</w:t>
            </w:r>
          </w:p>
        </w:tc>
        <w:tc>
          <w:tcPr>
            <w:tcW w:w="100" w:type="dxa"/>
            <w:vAlign w:val="bottom"/>
          </w:tcPr>
          <w:p>
            <w:pPr>
              <w:spacing w:after="0"/>
              <w:rPr>
                <w:sz w:val="19"/>
                <w:szCs w:val="19"/>
                <w:color w:val="auto"/>
              </w:rPr>
            </w:pPr>
          </w:p>
        </w:tc>
      </w:tr>
      <w:tr>
        <w:trPr>
          <w:trHeight w:val="23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NASDAQ Composite</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97.16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132.81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192.47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235.15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158.65</w:t>
            </w:r>
          </w:p>
        </w:tc>
        <w:tc>
          <w:tcPr>
            <w:tcW w:w="100" w:type="dxa"/>
            <w:vAlign w:val="bottom"/>
            <w:shd w:val="clear" w:color="auto" w:fill="CFF0FC"/>
          </w:tcPr>
          <w:p>
            <w:pPr>
              <w:spacing w:after="0"/>
              <w:rPr>
                <w:sz w:val="20"/>
                <w:szCs w:val="20"/>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Peer Group Index</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80.59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103.30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155.68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105.30</w:t>
            </w:r>
          </w:p>
        </w:tc>
        <w:tc>
          <w:tcPr>
            <w:tcW w:w="100" w:type="dxa"/>
            <w:vAlign w:val="bottom"/>
          </w:tcPr>
          <w:p>
            <w:pPr>
              <w:spacing w:after="0"/>
              <w:rPr>
                <w:sz w:val="19"/>
                <w:szCs w:val="19"/>
                <w:color w:val="auto"/>
              </w:rPr>
            </w:pPr>
          </w:p>
        </w:tc>
      </w:tr>
      <w:tr>
        <w:trPr>
          <w:trHeight w:val="23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KBW Nasdaq Regional Banking</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83.53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103.95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94.73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124.66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115.25</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-589915</wp:posOffset>
            </wp:positionV>
            <wp:extent cx="7683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-589915</wp:posOffset>
            </wp:positionV>
            <wp:extent cx="7683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-589915</wp:posOffset>
            </wp:positionV>
            <wp:extent cx="685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-589915</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-589915</wp:posOffset>
            </wp:positionV>
            <wp:extent cx="6858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Source: Research Data Group, Inc., www.researchdatagroup.com</w:t>
      </w:r>
    </w:p>
    <w:p>
      <w:pPr>
        <w:spacing w:after="0" w:line="33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99"/>
          </w:cols>
          <w:pgMar w:left="960" w:top="33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right="40" w:firstLine="509"/>
        <w:spacing w:after="0" w:line="260" w:lineRule="auto"/>
        <w:rPr>
          <w:sz w:val="20"/>
          <w:szCs w:val="20"/>
          <w:color w:val="auto"/>
        </w:rPr>
      </w:pPr>
      <w:r>
        <w:rPr>
          <w:rFonts w:ascii="Times New Roman" w:cs="Times New Roman" w:eastAsia="Times New Roman" w:hAnsi="Times New Roman"/>
          <w:sz w:val="18"/>
          <w:szCs w:val="18"/>
          <w:color w:val="auto"/>
        </w:rPr>
        <w:t>The following discussion provides information about the results of operations, financial condition, liquidity, and capital resources of CVB Financial Corp. and its wholly owned subsidiary. This information is intended to facilitate the understanding and assessment of significant changes and trends related to our financial condition and the results of our operations. This discussion and analysis should be read in conjunction with this Annual Report on Form 10-K, and the audited consolidated financial statements and accompanying notes presented elsewhere in this report.</w:t>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spread of COVID-19 starting in 2020 created a global public health crisis that has resulted in unprecedented volatility and disruption in financial markets and deterioration in economic activity and market conditions in the markets we serve. The pandemic affected our customers and the communities we serve. We recorded a $23.5 million provision for credit losses for the year ended December 31, 2020 due to the forecast, at that time, of a severe economic downturn resulting from the onset of the COVID-19 pandemic. In response to the anticipated effects of the pandemic on the U.S. economy, the Board of Governors of the Federal Reserve System (“FRB”) took significant actions, including a reduction in the target range of the federal funds rate to 0.0% to 0.25% in 2020 and established a program of purchases of Treasury and mortgage-backed securities. A $19.5 million recapture of provision for credit losses was recorded in the first quarter of 2021, resulting from improvements in our economic forecast of certain macroeconomic variables resulting from significant monetary and fiscal stimulus, as well as the wide availability of vaccines.</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It contained substantial tax and spending provisions intended to address the impact of the COVID-19 pandemic. The CARES Act included the Paycheck Protection Program (“PPP”), a $349 billion program designed to aid small- and medium-sized businesses through 100% Small Business Administration (“SBA”) guaranteed loans distributed through banks. These loans were intended to guarantee 24 weeks of payroll and other costs to help those businesses remain viable and keep their workers employed. Legislation passed on April 24, 2020 provided additional PPP funds of $310 billion. During 2020, we originated and funded approximately 4,100 loans, totaling $1.1 billion. In response to the COVID-19 pandemic and the CARES Act, we also implemented a short-term loan modification program in 2020 to provide temporary payment relief to certain of our borrowers who meet the program’s qualifications. On January 13, 2021, the SBA reopened the PPP for Second Draw loans to small businesses and non-profit organizations that did receive a loan through the initial PPP phase. At least $25 billion was set aside for Second Draw (“round two”) PPP 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were not eligible for Second Draw loans. Further, maximum loan amounts were increased for accommodation and food service businesses. We originated approximately 1,900 round two loans totaling $420 million. The Paycheck Protection Program officially ended on May 31, 2021. As of December 31, 2022, the remaining outstanding balance of PPP loans was $9.1 million, as approximately 99% of PPP loans have been granted forgiveness.</w:t>
      </w:r>
    </w:p>
    <w:p>
      <w:pPr>
        <w:spacing w:after="0" w:line="153" w:lineRule="exact"/>
        <w:rPr>
          <w:sz w:val="20"/>
          <w:szCs w:val="20"/>
          <w:color w:val="auto"/>
        </w:rPr>
      </w:pPr>
    </w:p>
    <w:p>
      <w:pPr>
        <w:ind w:right="60" w:firstLine="637"/>
        <w:spacing w:after="0" w:line="256" w:lineRule="auto"/>
        <w:rPr>
          <w:sz w:val="20"/>
          <w:szCs w:val="20"/>
          <w:color w:val="auto"/>
        </w:rPr>
      </w:pPr>
      <w:r>
        <w:rPr>
          <w:rFonts w:ascii="Times New Roman" w:cs="Times New Roman" w:eastAsia="Times New Roman" w:hAnsi="Times New Roman"/>
          <w:sz w:val="18"/>
          <w:szCs w:val="18"/>
          <w:color w:val="auto"/>
        </w:rPr>
        <w:t>The fourth quarter of 2022 included $2.5 million in provision for credit losses, compared to $2.0 million in provision for the third quarter and no provision or recapture in the fourth quarter of 2021. For the year ended December 31, 2022, we recorded $10.6 million in provision for credit losses, due to both core loan growth of approximately $600 million and a deteriorating economic forecast of key macroeconomic variables. A $25.5 million recapture of provision for credit losses was recorded for the year ended December 31, 2021, resulting from improvements in our economic forecast that resulted from the unprecedented impact and uncertainty of the pandemic in 2020. In comparison, the Company recorded a provision for credit losses of $23.5 million in 2020 due to the forecast of a severe economic downturn as a result of the onset of the COVID-19 pandemic.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ind w:right="60" w:firstLine="637"/>
        <w:spacing w:after="0" w:line="265"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37" w:lineRule="exact"/>
        <w:rPr>
          <w:sz w:val="20"/>
          <w:szCs w:val="20"/>
          <w:color w:val="auto"/>
        </w:rPr>
      </w:pPr>
    </w:p>
    <w:p>
      <w:pPr>
        <w:ind w:right="20" w:firstLine="637"/>
        <w:spacing w:after="0" w:line="258"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most important in the estimation process. We have used the best information available to make the necessary estimates to value the related assets and liabilities. Actual performance that differs from our estimates and future changes in the key variables could change future valuations and impact the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198" w:lineRule="exact"/>
        <w:rPr>
          <w:sz w:val="20"/>
          <w:szCs w:val="20"/>
          <w:color w:val="auto"/>
        </w:rPr>
      </w:pPr>
    </w:p>
    <w:p>
      <w:pPr>
        <w:ind w:right="140" w:firstLine="63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(“ACL”) </w:t>
      </w:r>
      <w:r>
        <w:rPr>
          <w:rFonts w:ascii="Times New Roman" w:cs="Times New Roman" w:eastAsia="Times New Roman" w:hAnsi="Times New Roman"/>
          <w:sz w:val="18"/>
          <w:szCs w:val="18"/>
          <w:color w:val="auto"/>
        </w:rPr>
        <w:t>— On January 1, 2020, the Company adopted ASU No. 2016-13, “Financial Instruments — Credit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(Topic 326): Measurement of Credit Losses on Financial Instruments”. This ASU significantly changes how entities will measure credit losses for most financial assets and certain other instruments that are not measured at fair value through net income. We adopted this ASU using a modified retrospective approach, as required, and have not adjusted prior period comparative information and will continue to disclose prior period financial information in accordance with the previous accounting guidance. The adoption of ASU 2016-13, resulted in a reduction to our opening retained earnings of approximately $1.3 million, net of tax.</w:t>
      </w:r>
    </w:p>
    <w:p>
      <w:pPr>
        <w:spacing w:after="0" w:line="144" w:lineRule="exact"/>
        <w:rPr>
          <w:sz w:val="20"/>
          <w:szCs w:val="20"/>
          <w:color w:val="auto"/>
        </w:rPr>
      </w:pPr>
    </w:p>
    <w:p>
      <w:pPr>
        <w:ind w:firstLine="637"/>
        <w:spacing w:after="0" w:line="252" w:lineRule="auto"/>
        <w:rPr>
          <w:sz w:val="20"/>
          <w:szCs w:val="20"/>
          <w:color w:val="auto"/>
        </w:rPr>
      </w:pPr>
      <w:r>
        <w:rPr>
          <w:rFonts w:ascii="Times New Roman" w:cs="Times New Roman" w:eastAsia="Times New Roman" w:hAnsi="Times New Roman"/>
          <w:sz w:val="18"/>
          <w:szCs w:val="18"/>
          <w:color w:val="auto"/>
        </w:rPr>
        <w:t>This ASU replaced the current “incurred loss” approach with an “expected loss” model. The new model, referred to as the Current Expected Credit Loss (“CECL”) model, applies to: (1) financial assets subject to credit losses and measured at amortized cost, and (2) certain off balance sheet credit exposures. This includes, but is not limited to, loans, held-to-maturity (“HTM”) securities, loan commitments, and financial guarantees. For loans and HTM debt securities, this ASU requires a CECL measurement to estimate the allowance for credit losses (“ACL”) for the remaining contractual term, adjusted for prepayments, of the financial asset (including off-balance sheet credit exposures) using historical experience, current conditions, and reasonable and supportable forecasts. This ASU also eliminated the existing guidance for purchased credit-impaired (“PCI”) loans, but requires an allowance for purchased financial assets with more than an insignificant deterioration of credit since origination. Purchase Credit Deteriorated (“PCD”) assets are recorded at their purchase price plus an ACL estimated at the time of acquisition. Under this ASU, there is no provision for credit losses recognized at acquisition; instead, there is a gross-up of the purchase price of the financial asset for the estimate of expected credit losses and a corresponding ACL recorded. Changes in estimates of expected credit losses after acquisition are recognized as provision for credit losses (or reversal of provision for credit losses) in subsequent periods. In addition, this ASU modifies the OTTI model for available-for-sale (“AFS”) debt securities to require an allowance for credit impairment instead of a direct write-down, which allows for reversal of credit impairments in future periods based on improvements in credit. As a policy election, we excluded the accrued interest receivable balance from the amortized cost basis of financing receivables and HTM securities, as well as AFS securities, and disclose total accrued interest receivable separately on the consolidated balance sheet.</w:t>
      </w:r>
    </w:p>
    <w:p>
      <w:pPr>
        <w:spacing w:after="0" w:line="151" w:lineRule="exact"/>
        <w:rPr>
          <w:sz w:val="20"/>
          <w:szCs w:val="20"/>
          <w:color w:val="auto"/>
        </w:rPr>
      </w:pPr>
    </w:p>
    <w:p>
      <w:pPr>
        <w:jc w:val="both"/>
        <w:ind w:right="120" w:firstLine="637"/>
        <w:spacing w:after="0" w:line="267" w:lineRule="auto"/>
        <w:rPr>
          <w:sz w:val="20"/>
          <w:szCs w:val="20"/>
          <w:color w:val="auto"/>
        </w:rPr>
      </w:pPr>
      <w:r>
        <w:rPr>
          <w:rFonts w:ascii="Times New Roman" w:cs="Times New Roman" w:eastAsia="Times New Roman" w:hAnsi="Times New Roman"/>
          <w:sz w:val="18"/>
          <w:szCs w:val="18"/>
          <w:color w:val="auto"/>
        </w:rPr>
        <w:t xml:space="preserve">For a full discussion of our methodology of assessing the adequacy of the allowance for credit losses, see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 — Risk Management</w:t>
      </w:r>
      <w:r>
        <w:rPr>
          <w:rFonts w:ascii="Times New Roman" w:cs="Times New Roman" w:eastAsia="Times New Roman" w:hAnsi="Times New Roman"/>
          <w:sz w:val="18"/>
          <w:szCs w:val="18"/>
          <w:color w:val="auto"/>
        </w:rPr>
        <w:t>” and Note 3 —</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and Note 6 —</w:t>
      </w:r>
      <w:r>
        <w:rPr>
          <w:rFonts w:ascii="Times New Roman" w:cs="Times New Roman" w:eastAsia="Times New Roman" w:hAnsi="Times New Roman"/>
          <w:sz w:val="18"/>
          <w:szCs w:val="18"/>
          <w:i w:val="1"/>
          <w:iCs w:val="1"/>
          <w:color w:val="auto"/>
        </w:rPr>
        <w:t xml:space="preserve"> Loans and Lease Finance Receivables and Allowance for Credit Losses </w:t>
      </w:r>
      <w:r>
        <w:rPr>
          <w:rFonts w:ascii="Times New Roman" w:cs="Times New Roman" w:eastAsia="Times New Roman" w:hAnsi="Times New Roman"/>
          <w:sz w:val="18"/>
          <w:szCs w:val="18"/>
          <w:color w:val="auto"/>
        </w:rPr>
        <w:t>of our consolidated financial statements presented elsewhere in this report.</w:t>
      </w:r>
    </w:p>
    <w:p>
      <w:pPr>
        <w:spacing w:after="0" w:line="143" w:lineRule="exact"/>
        <w:rPr>
          <w:sz w:val="20"/>
          <w:szCs w:val="20"/>
          <w:color w:val="auto"/>
        </w:rPr>
      </w:pPr>
    </w:p>
    <w:p>
      <w:pPr>
        <w:ind w:right="60" w:firstLine="63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 The Company applies the acquisition method of accounting for business combinations. Under the acquisition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acquiring entity in a business combination recognizes the assets acquired and liabilities assumed at their acquisition date fair values. Management utilizes prevailing valuation techniques appropriate for the asset or liability being measured in determining these fair values. These fair values are estimates and are subject to adjustment for up to one year after the acquisition date or when additional information relative to the closing date fair values becomes available and such information is considered final, whichever is earlier.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would be recognized. Acquisition related costs are expensed as incurred.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36" w:name="page37"/>
    <w:bookmarkEnd w:id="36"/>
    <w:p>
      <w:pPr>
        <w:ind w:right="20" w:firstLine="63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and Recoverability of Goodwill </w:t>
      </w:r>
      <w:r>
        <w:rPr>
          <w:rFonts w:ascii="Times New Roman" w:cs="Times New Roman" w:eastAsia="Times New Roman" w:hAnsi="Times New Roman"/>
          <w:sz w:val="18"/>
          <w:szCs w:val="18"/>
          <w:color w:val="auto"/>
        </w:rPr>
        <w:t>— Goodwill represented $765.8 million of our $16.48 billion in total assets as of December 31,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one reportable segment. Goodwill has an indefinite useful life and is not amortized, but is tested for impairment at least annually, or more frequently, if events and circumstances exist that indicate that a goodwill impairment test should be performed. Such events and circumstances may include among others, a significant adverse change in legal factors or in the general business climate, significant decline in our stock price and market capitalization, unanticipated competition, the testing for recoverability of a significant asset group within the reporting unit, and an adverse action or assessment by a regulating body. Any adverse change in these factors could have a significant impact on the recoverability of goodwill and could have a material impact on our consolidated financial statements.</w:t>
      </w:r>
    </w:p>
    <w:p>
      <w:pPr>
        <w:spacing w:after="0" w:line="158" w:lineRule="exact"/>
        <w:rPr>
          <w:sz w:val="20"/>
          <w:szCs w:val="20"/>
          <w:color w:val="auto"/>
        </w:rPr>
      </w:pPr>
    </w:p>
    <w:p>
      <w:pPr>
        <w:jc w:val="both"/>
        <w:ind w:right="300" w:firstLine="637"/>
        <w:spacing w:after="0" w:line="260" w:lineRule="auto"/>
        <w:rPr>
          <w:sz w:val="20"/>
          <w:szCs w:val="20"/>
          <w:color w:val="auto"/>
        </w:rPr>
      </w:pPr>
      <w:r>
        <w:rPr>
          <w:rFonts w:ascii="Times New Roman" w:cs="Times New Roman" w:eastAsia="Times New Roman" w:hAnsi="Times New Roman"/>
          <w:sz w:val="18"/>
          <w:szCs w:val="18"/>
          <w:color w:val="auto"/>
        </w:rPr>
        <w:t xml:space="preserve">Based on the results of our annual goodwill impairment test, we determined that no goodwill impairment charges were required as our single reportable segment’s fair value exceeded its carrying amount. As of December 31, 2022, we determined there were no events or circumstances which would more likely than not reduce the fair value of our reportable segment below its carrying amount. Note 3 —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of our consolidated financial statements presented elsewhere in this report</w:t>
      </w:r>
    </w:p>
    <w:p>
      <w:pPr>
        <w:spacing w:after="0" w:line="139" w:lineRule="exact"/>
        <w:rPr>
          <w:sz w:val="20"/>
          <w:szCs w:val="20"/>
          <w:color w:val="auto"/>
        </w:rPr>
      </w:pPr>
    </w:p>
    <w:p>
      <w:pPr>
        <w:ind w:firstLine="637"/>
        <w:spacing w:after="0" w:line="283" w:lineRule="auto"/>
        <w:rPr>
          <w:sz w:val="20"/>
          <w:szCs w:val="20"/>
          <w:color w:val="auto"/>
        </w:rPr>
      </w:pPr>
      <w:r>
        <w:rPr>
          <w:rFonts w:ascii="Times New Roman" w:cs="Times New Roman" w:eastAsia="Times New Roman" w:hAnsi="Times New Roman"/>
          <w:sz w:val="18"/>
          <w:szCs w:val="18"/>
          <w:color w:val="auto"/>
        </w:rPr>
        <w:t xml:space="preserve">For complete discussion and disclosure of other accounting policies see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Company’s consolidated financial statements presented elsewhere in this report.</w:t>
      </w:r>
    </w:p>
    <w:p>
      <w:pPr>
        <w:spacing w:after="0" w:line="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08"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but Not Adopted as of December 31, 2022</w:t>
      </w:r>
    </w:p>
    <w:p>
      <w:pPr>
        <w:sectPr>
          <w:pgSz w:w="11900" w:h="16838" w:orient="portrait"/>
          <w:cols w:equalWidth="0" w:num="1">
            <w:col w:w="11240"/>
          </w:cols>
          <w:pgMar w:left="320" w:top="50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1988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spacing w:after="0" w:line="23" w:lineRule="exact"/>
        <w:rPr>
          <w:sz w:val="20"/>
          <w:szCs w:val="20"/>
          <w:color w:val="auto"/>
        </w:rPr>
      </w:pPr>
    </w:p>
    <w:p>
      <w:pPr>
        <w:ind w:left="20"/>
        <w:spacing w:after="0" w:line="248" w:lineRule="auto"/>
        <w:rPr>
          <w:sz w:val="20"/>
          <w:szCs w:val="20"/>
          <w:color w:val="auto"/>
        </w:rPr>
      </w:pPr>
      <w:r>
        <w:rPr>
          <w:rFonts w:ascii="Times New Roman" w:cs="Times New Roman" w:eastAsia="Times New Roman" w:hAnsi="Times New Roman"/>
          <w:sz w:val="13"/>
          <w:szCs w:val="13"/>
          <w:color w:val="auto"/>
        </w:rPr>
        <w:t>ASU No. 2020-04, Reference Rate Reform (Topic 848): Facilitation of the Effects of Reference Rate Reform on Financial Reporting</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Issued March 2020</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Adoption</w:t>
            </w:r>
          </w:p>
        </w:tc>
        <w:tc>
          <w:tcPr>
            <w:tcW w:w="3560" w:type="dxa"/>
            <w:vAlign w:val="bottom"/>
          </w:tcPr>
          <w:p>
            <w:pPr>
              <w:spacing w:after="0"/>
              <w:rPr>
                <w:sz w:val="12"/>
                <w:szCs w:val="12"/>
                <w:color w:val="auto"/>
              </w:rPr>
            </w:pPr>
          </w:p>
        </w:tc>
      </w:tr>
      <w:tr>
        <w:trPr>
          <w:trHeight w:val="178"/>
        </w:trPr>
        <w:tc>
          <w:tcPr>
            <w:tcW w:w="44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Timing</w:t>
            </w:r>
          </w:p>
        </w:tc>
        <w:tc>
          <w:tcPr>
            <w:tcW w:w="35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Impact on Financial Statements</w:t>
            </w:r>
          </w:p>
        </w:tc>
      </w:tr>
      <w:tr>
        <w:trPr>
          <w:trHeight w:val="143"/>
        </w:trPr>
        <w:tc>
          <w:tcPr>
            <w:tcW w:w="44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The FASB issued ASU 2020-04, Reference Rate Reform: Facilitation of the</w:t>
            </w:r>
          </w:p>
        </w:tc>
        <w:tc>
          <w:tcPr>
            <w:tcW w:w="14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rPr>
              <w:t>1st Quarter 2020</w:t>
            </w:r>
          </w:p>
        </w:tc>
        <w:tc>
          <w:tcPr>
            <w:tcW w:w="3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auto"/>
              </w:rPr>
              <w:t>The Company established a LIBOR Transition Task Force in</w:t>
            </w: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Effects of Reference Rate Reform on Financial Reporting. The amendments in</w:t>
            </w: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color w:val="auto"/>
              </w:rPr>
              <w:t>through the</w:t>
            </w: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2020, which has inventoried our instruments that reflect</w:t>
            </w: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this update provide temporary, optional guidance to ease the potential burden in</w:t>
            </w: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color w:val="auto"/>
              </w:rPr>
              <w:t>4th Quarter 2022</w:t>
            </w: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exposure to LIBOR, created a framework to manage the</w:t>
            </w: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accounting for transitioning away from reference rates such as LIBOR. The</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transition and established a timeline for key decisions and</w:t>
            </w: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amendments provide optional expedients and exceptions for applying GAAP to</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actions, and started the transition from LIBOR in 2021. The</w:t>
            </w: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transactions affected by reference rate reform if certain criteria are met. The</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Company continues to assess the impacts of this transition and</w:t>
            </w: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amendments primarily include relief related to contract modifications and hedging</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alternatives to use in place of LIBOR for various financial</w:t>
            </w: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relationships, as well as providing a one-time election for the sale or transfer of</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instruments, primarily related to our variable-rate and</w:t>
            </w: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debt securities classified as held-to-maturity. This guidance is effective</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adjustable-rate loans that are indexed to LIBOR. The Company</w:t>
            </w: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immediately and the amendments may be applied prospectively through</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stopped originating loans indexed to LIBOR at the end of 2021,</w:t>
            </w: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December 31, 2022.</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while continuing to use various alternative indexes. All</w:t>
            </w:r>
          </w:p>
        </w:tc>
      </w:tr>
      <w:tr>
        <w:trPr>
          <w:trHeight w:val="148"/>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remaining financial instruments indexed to LIBOR will be</w:t>
            </w:r>
          </w:p>
        </w:tc>
      </w:tr>
      <w:tr>
        <w:trPr>
          <w:trHeight w:val="148"/>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transitioned to a replacement index, primarily CME Term</w:t>
            </w:r>
          </w:p>
        </w:tc>
      </w:tr>
      <w:tr>
        <w:trPr>
          <w:trHeight w:val="148"/>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SOFR, prior to June 2023. We do not expect this ASU to have a</w:t>
            </w:r>
          </w:p>
        </w:tc>
      </w:tr>
      <w:tr>
        <w:trPr>
          <w:trHeight w:val="148"/>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material impact on the Company's consolidated financial</w:t>
            </w:r>
          </w:p>
        </w:tc>
      </w:tr>
      <w:tr>
        <w:trPr>
          <w:trHeight w:val="174"/>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statements.</w:t>
            </w:r>
          </w:p>
        </w:tc>
      </w:tr>
    </w:tbl>
    <w:p>
      <w:pPr>
        <w:spacing w:after="0" w:line="1" w:lineRule="exact"/>
        <w:rPr>
          <w:sz w:val="20"/>
          <w:szCs w:val="20"/>
          <w:color w:val="auto"/>
        </w:rPr>
      </w:pPr>
    </w:p>
    <w:p>
      <w:pPr>
        <w:sectPr>
          <w:pgSz w:w="11900" w:h="16838" w:orient="portrait"/>
          <w:cols w:equalWidth="0" w:num="2">
            <w:col w:w="1620" w:space="420"/>
            <w:col w:w="9200"/>
          </w:cols>
          <w:pgMar w:left="320" w:top="508" w:right="339" w:bottom="1440" w:gutter="0" w:footer="0" w:header="0"/>
          <w:type w:val="continuous"/>
        </w:sectPr>
      </w:pPr>
    </w:p>
    <w:tbl>
      <w:tblPr>
        <w:tblLayout w:type="fixed"/>
        <w:tblInd w:w="0" w:type="dxa"/>
        <w:tblCellMar>
          <w:top w:w="0" w:type="dxa"/>
          <w:left w:w="0" w:type="dxa"/>
          <w:bottom w:w="0" w:type="dxa"/>
          <w:right w:w="0" w:type="dxa"/>
        </w:tblCellMar>
      </w:tblPr>
      <w:tr>
        <w:trPr>
          <w:trHeight w:val="143"/>
        </w:trPr>
        <w:tc>
          <w:tcPr>
            <w:tcW w:w="194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3"/>
                <w:szCs w:val="13"/>
                <w:color w:val="auto"/>
              </w:rPr>
              <w:t>ASU 2022-02, Financial</w:t>
            </w:r>
          </w:p>
        </w:tc>
        <w:tc>
          <w:tcPr>
            <w:tcW w:w="472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3"/>
                <w:szCs w:val="13"/>
                <w:color w:val="auto"/>
              </w:rPr>
              <w:t>The FASB issued 2022-02 which eliminates recognition and measurement</w:t>
            </w:r>
          </w:p>
        </w:tc>
        <w:tc>
          <w:tcPr>
            <w:tcW w:w="94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color w:val="auto"/>
              </w:rPr>
              <w:t>1st Quarter</w:t>
            </w:r>
          </w:p>
        </w:tc>
        <w:tc>
          <w:tcPr>
            <w:tcW w:w="3640" w:type="dxa"/>
            <w:vAlign w:val="bottom"/>
            <w:tcBorders>
              <w:top w:val="single" w:sz="8" w:color="auto"/>
            </w:tcBorders>
          </w:tcPr>
          <w:p>
            <w:pPr>
              <w:ind w:left="180"/>
              <w:spacing w:after="0" w:line="143" w:lineRule="exact"/>
              <w:rPr>
                <w:sz w:val="20"/>
                <w:szCs w:val="20"/>
                <w:color w:val="auto"/>
              </w:rPr>
            </w:pPr>
            <w:r>
              <w:rPr>
                <w:rFonts w:ascii="Times New Roman" w:cs="Times New Roman" w:eastAsia="Times New Roman" w:hAnsi="Times New Roman"/>
                <w:sz w:val="13"/>
                <w:szCs w:val="13"/>
                <w:color w:val="auto"/>
              </w:rPr>
              <w:t>The adoption of this ASU is not expected to have a material</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Instruments-Credit Losses (Topic</w:t>
            </w: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guidance for TDRs by creditors in Subtopic 310-40, Receivables-Troubled Debt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color w:val="auto"/>
              </w:rPr>
              <w:t>2023</w:t>
            </w:r>
          </w:p>
        </w:tc>
        <w:tc>
          <w:tcPr>
            <w:tcW w:w="3640" w:type="dxa"/>
            <w:vAlign w:val="bottom"/>
          </w:tcPr>
          <w:p>
            <w:pPr>
              <w:ind w:left="180"/>
              <w:spacing w:after="0" w:line="149" w:lineRule="exact"/>
              <w:rPr>
                <w:sz w:val="20"/>
                <w:szCs w:val="20"/>
                <w:color w:val="auto"/>
              </w:rPr>
            </w:pPr>
            <w:r>
              <w:rPr>
                <w:rFonts w:ascii="Times New Roman" w:cs="Times New Roman" w:eastAsia="Times New Roman" w:hAnsi="Times New Roman"/>
                <w:sz w:val="13"/>
                <w:szCs w:val="13"/>
                <w:color w:val="auto"/>
              </w:rPr>
              <w:t>impact on our consolidated financial statements or liquidity,</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326): Troubled Debt</w:t>
            </w: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Restructurings by Creditors, while enhancing disclosure requirements for certain</w:t>
            </w:r>
          </w:p>
        </w:tc>
        <w:tc>
          <w:tcPr>
            <w:tcW w:w="940" w:type="dxa"/>
            <w:vAlign w:val="bottom"/>
          </w:tcPr>
          <w:p>
            <w:pPr>
              <w:spacing w:after="0"/>
              <w:rPr>
                <w:sz w:val="12"/>
                <w:szCs w:val="12"/>
                <w:color w:val="auto"/>
              </w:rPr>
            </w:pPr>
          </w:p>
        </w:tc>
        <w:tc>
          <w:tcPr>
            <w:tcW w:w="3640" w:type="dxa"/>
            <w:vAlign w:val="bottom"/>
          </w:tcPr>
          <w:p>
            <w:pPr>
              <w:ind w:left="180"/>
              <w:spacing w:after="0" w:line="149" w:lineRule="exact"/>
              <w:rPr>
                <w:sz w:val="20"/>
                <w:szCs w:val="20"/>
                <w:color w:val="auto"/>
              </w:rPr>
            </w:pPr>
            <w:r>
              <w:rPr>
                <w:rFonts w:ascii="Times New Roman" w:cs="Times New Roman" w:eastAsia="Times New Roman" w:hAnsi="Times New Roman"/>
                <w:sz w:val="13"/>
                <w:szCs w:val="13"/>
                <w:color w:val="auto"/>
              </w:rPr>
              <w:t>although it will result in additional disclosure requirements</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Restructurings and Vintage</w:t>
            </w: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loan refinancings and restructurings by creditors when a borrower is experiencing</w:t>
            </w:r>
          </w:p>
        </w:tc>
        <w:tc>
          <w:tcPr>
            <w:tcW w:w="940" w:type="dxa"/>
            <w:vAlign w:val="bottom"/>
          </w:tcPr>
          <w:p>
            <w:pPr>
              <w:spacing w:after="0"/>
              <w:rPr>
                <w:sz w:val="12"/>
                <w:szCs w:val="12"/>
                <w:color w:val="auto"/>
              </w:rPr>
            </w:pPr>
          </w:p>
        </w:tc>
        <w:tc>
          <w:tcPr>
            <w:tcW w:w="3640" w:type="dxa"/>
            <w:vAlign w:val="bottom"/>
          </w:tcPr>
          <w:p>
            <w:pPr>
              <w:ind w:left="180"/>
              <w:spacing w:after="0" w:line="149" w:lineRule="exact"/>
              <w:rPr>
                <w:sz w:val="20"/>
                <w:szCs w:val="20"/>
                <w:color w:val="auto"/>
              </w:rPr>
            </w:pPr>
            <w:r>
              <w:rPr>
                <w:rFonts w:ascii="Times New Roman" w:cs="Times New Roman" w:eastAsia="Times New Roman" w:hAnsi="Times New Roman"/>
                <w:sz w:val="13"/>
                <w:szCs w:val="13"/>
                <w:color w:val="auto"/>
              </w:rPr>
              <w:t>related to gross charge-offs by vintage year and modification of</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Disclosures</w:t>
            </w: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financial difficulty, and to require that an entity disclose current-period gross</w:t>
            </w:r>
          </w:p>
        </w:tc>
        <w:tc>
          <w:tcPr>
            <w:tcW w:w="940" w:type="dxa"/>
            <w:vAlign w:val="bottom"/>
          </w:tcPr>
          <w:p>
            <w:pPr>
              <w:spacing w:after="0"/>
              <w:rPr>
                <w:sz w:val="12"/>
                <w:szCs w:val="12"/>
                <w:color w:val="auto"/>
              </w:rPr>
            </w:pPr>
          </w:p>
        </w:tc>
        <w:tc>
          <w:tcPr>
            <w:tcW w:w="3640" w:type="dxa"/>
            <w:vAlign w:val="bottom"/>
          </w:tcPr>
          <w:p>
            <w:pPr>
              <w:ind w:left="180"/>
              <w:spacing w:after="0" w:line="149" w:lineRule="exact"/>
              <w:rPr>
                <w:sz w:val="20"/>
                <w:szCs w:val="20"/>
                <w:color w:val="auto"/>
              </w:rPr>
            </w:pPr>
            <w:r>
              <w:rPr>
                <w:rFonts w:ascii="Times New Roman" w:cs="Times New Roman" w:eastAsia="Times New Roman" w:hAnsi="Times New Roman"/>
                <w:sz w:val="13"/>
                <w:szCs w:val="13"/>
                <w:color w:val="auto"/>
              </w:rPr>
              <w:t>loans to borrowers experiencing financial difficulty in</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write-offs by year of origination (i.e. the vintage year) for financing receivables</w:t>
            </w:r>
          </w:p>
        </w:tc>
        <w:tc>
          <w:tcPr>
            <w:tcW w:w="940" w:type="dxa"/>
            <w:vAlign w:val="bottom"/>
          </w:tcPr>
          <w:p>
            <w:pPr>
              <w:spacing w:after="0"/>
              <w:rPr>
                <w:sz w:val="12"/>
                <w:szCs w:val="12"/>
                <w:color w:val="auto"/>
              </w:rPr>
            </w:pPr>
          </w:p>
        </w:tc>
        <w:tc>
          <w:tcPr>
            <w:tcW w:w="3640" w:type="dxa"/>
            <w:vAlign w:val="bottom"/>
          </w:tcPr>
          <w:p>
            <w:pPr>
              <w:ind w:left="180"/>
              <w:spacing w:after="0" w:line="149" w:lineRule="exact"/>
              <w:rPr>
                <w:sz w:val="20"/>
                <w:szCs w:val="20"/>
                <w:color w:val="auto"/>
              </w:rPr>
            </w:pPr>
            <w:r>
              <w:rPr>
                <w:rFonts w:ascii="Times New Roman" w:cs="Times New Roman" w:eastAsia="Times New Roman" w:hAnsi="Times New Roman"/>
                <w:sz w:val="13"/>
                <w:szCs w:val="13"/>
                <w:color w:val="auto"/>
              </w:rPr>
              <w:t>replacement of current TDR disclosures. The Company intends</w:t>
            </w:r>
          </w:p>
        </w:tc>
        <w:tc>
          <w:tcPr>
            <w:tcW w:w="0" w:type="dxa"/>
            <w:vAlign w:val="bottom"/>
          </w:tcPr>
          <w:p>
            <w:pPr>
              <w:spacing w:after="0"/>
              <w:rPr>
                <w:sz w:val="1"/>
                <w:szCs w:val="1"/>
                <w:color w:val="auto"/>
              </w:rPr>
            </w:pPr>
          </w:p>
        </w:tc>
      </w:tr>
      <w:tr>
        <w:trPr>
          <w:trHeight w:val="148"/>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Issued March 2022</w:t>
            </w: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and net investments in leases within the scope of Subtopic 326-20, Financial</w:t>
            </w:r>
          </w:p>
        </w:tc>
        <w:tc>
          <w:tcPr>
            <w:tcW w:w="940" w:type="dxa"/>
            <w:vAlign w:val="bottom"/>
          </w:tcPr>
          <w:p>
            <w:pPr>
              <w:spacing w:after="0"/>
              <w:rPr>
                <w:sz w:val="12"/>
                <w:szCs w:val="12"/>
                <w:color w:val="auto"/>
              </w:rPr>
            </w:pPr>
          </w:p>
        </w:tc>
        <w:tc>
          <w:tcPr>
            <w:tcW w:w="3640" w:type="dxa"/>
            <w:vAlign w:val="bottom"/>
          </w:tcPr>
          <w:p>
            <w:pPr>
              <w:ind w:left="180"/>
              <w:spacing w:after="0" w:line="149" w:lineRule="exact"/>
              <w:rPr>
                <w:sz w:val="20"/>
                <w:szCs w:val="20"/>
                <w:color w:val="auto"/>
              </w:rPr>
            </w:pPr>
            <w:r>
              <w:rPr>
                <w:rFonts w:ascii="Times New Roman" w:cs="Times New Roman" w:eastAsia="Times New Roman" w:hAnsi="Times New Roman"/>
                <w:sz w:val="13"/>
                <w:szCs w:val="13"/>
                <w:color w:val="auto"/>
              </w:rPr>
              <w:t>to adopt this ASU prospectively.</w:t>
            </w:r>
          </w:p>
        </w:tc>
        <w:tc>
          <w:tcPr>
            <w:tcW w:w="0" w:type="dxa"/>
            <w:vAlign w:val="bottom"/>
          </w:tcPr>
          <w:p>
            <w:pPr>
              <w:spacing w:after="0"/>
              <w:rPr>
                <w:sz w:val="1"/>
                <w:szCs w:val="1"/>
                <w:color w:val="auto"/>
              </w:rPr>
            </w:pPr>
          </w:p>
        </w:tc>
      </w:tr>
      <w:tr>
        <w:trPr>
          <w:trHeight w:val="148"/>
        </w:trPr>
        <w:tc>
          <w:tcPr>
            <w:tcW w:w="1940" w:type="dxa"/>
            <w:vAlign w:val="bottom"/>
            <w:vMerge w:val="continue"/>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Instruments-Credit Losses-Measured at Amortized Cost. For entities that have</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adopted ASU 2016-13, this ASU is effective for interim and reporting periods</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beginning after December 15, 2022, and should be applied prospectively, except</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as provided in the next sentence. For the transition method related to the</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recognition and measurement of TDRs, an entity has the option to apply a</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modified retrospective transition method, resulting in a cumulative-effect</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adjustment to retained earnings in the period of adoption. Early adoption is</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4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permitted.</w:t>
            </w:r>
          </w:p>
        </w:tc>
        <w:tc>
          <w:tcPr>
            <w:tcW w:w="94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ASU 2022-01, Derivatives and</w:t>
            </w:r>
          </w:p>
        </w:tc>
        <w:tc>
          <w:tcPr>
            <w:tcW w:w="47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auto"/>
              </w:rPr>
              <w:t>On March 28, 2022, the FASB issued ASU 2022-01, which establishes the</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rPr>
              <w:t>1st Quarter</w:t>
            </w:r>
          </w:p>
        </w:tc>
        <w:tc>
          <w:tcPr>
            <w:tcW w:w="364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auto"/>
              </w:rPr>
              <w:t>The adoption of this ASU is not expected to have a material</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Hedging (Topic 815): Fair Value</w:t>
            </w: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portfolio-layer method, and expands an entity’s ability to achieve fair value hedge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color w:val="auto"/>
              </w:rPr>
              <w:t>2023</w:t>
            </w:r>
          </w:p>
        </w:tc>
        <w:tc>
          <w:tcPr>
            <w:tcW w:w="3640" w:type="dxa"/>
            <w:vAlign w:val="bottom"/>
          </w:tcPr>
          <w:p>
            <w:pPr>
              <w:ind w:left="180"/>
              <w:spacing w:after="0" w:line="149" w:lineRule="exact"/>
              <w:rPr>
                <w:sz w:val="20"/>
                <w:szCs w:val="20"/>
                <w:color w:val="auto"/>
              </w:rPr>
            </w:pPr>
            <w:r>
              <w:rPr>
                <w:rFonts w:ascii="Times New Roman" w:cs="Times New Roman" w:eastAsia="Times New Roman" w:hAnsi="Times New Roman"/>
                <w:sz w:val="13"/>
                <w:szCs w:val="13"/>
                <w:color w:val="auto"/>
              </w:rPr>
              <w:t>impact on our consolidated financial statements.</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Hedging—Portfolio Layer</w:t>
            </w: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accounting for hedges of financial assets in a closed portfolio. This ASU is</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Method</w:t>
            </w: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effective for public business entities for interim and reporting periods beginning</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after December 15, 2022. Early adoption is permitted on any date on or after</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Issued March 2022</w:t>
            </w: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issuance of this ASU for entities that have already adopted ASU 2017-12 for the</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vMerge w:val="continue"/>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corresponding period. Entities may designate multiple layer hedges only on a</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prospective basis upon the adoption of this ASU. If the ASU is adopted in an</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interim period, the cumulative-effect adjustment of adopting the amendments</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7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related to basis adjustments shall be reflected as of the beginning of the fiscal year</w:t>
            </w:r>
          </w:p>
        </w:tc>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that includes the interim period (that is, the initial application date).</w:t>
            </w:r>
          </w:p>
        </w:tc>
        <w:tc>
          <w:tcPr>
            <w:tcW w:w="9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p>
      <w:pPr>
        <w:spacing w:after="0" w:line="15" w:lineRule="exact"/>
        <w:rPr>
          <w:sz w:val="20"/>
          <w:szCs w:val="20"/>
          <w:color w:val="auto"/>
        </w:rPr>
      </w:pPr>
    </w:p>
    <w:p>
      <w:pPr>
        <w:ind w:left="20"/>
        <w:spacing w:after="0" w:line="248" w:lineRule="auto"/>
        <w:rPr>
          <w:sz w:val="20"/>
          <w:szCs w:val="20"/>
          <w:color w:val="auto"/>
        </w:rPr>
      </w:pPr>
      <w:r>
        <w:rPr>
          <w:rFonts w:ascii="Times New Roman" w:cs="Times New Roman" w:eastAsia="Times New Roman" w:hAnsi="Times New Roman"/>
          <w:sz w:val="13"/>
          <w:szCs w:val="13"/>
          <w:color w:val="auto"/>
        </w:rPr>
        <w:t>ASU 2022-03, Fair Value Measurement (Topic 820): Fair Value Measurement of Equity Securities Subject to Contractual Sale Restrictions</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Issued June 2022</w:t>
      </w:r>
    </w:p>
    <w:p>
      <w:pPr>
        <w:spacing w:after="0" w:line="20" w:lineRule="exact"/>
        <w:rPr>
          <w:sz w:val="20"/>
          <w:szCs w:val="20"/>
          <w:color w:val="auto"/>
        </w:rPr>
      </w:pPr>
      <w:r>
        <w:rPr>
          <w:sz w:val="20"/>
          <w:szCs w:val="20"/>
          <w:color w:val="auto"/>
        </w:rPr>
        <w:br w:type="column"/>
      </w:r>
    </w:p>
    <w:p>
      <w:pPr>
        <w:spacing w:after="0"/>
        <w:tabs>
          <w:tab w:leader="none" w:pos="4780" w:val="left"/>
          <w:tab w:leader="none" w:pos="5720" w:val="left"/>
        </w:tabs>
        <w:rPr>
          <w:sz w:val="20"/>
          <w:szCs w:val="20"/>
          <w:color w:val="auto"/>
        </w:rPr>
      </w:pPr>
      <w:r>
        <w:rPr>
          <w:rFonts w:ascii="Times New Roman" w:cs="Times New Roman" w:eastAsia="Times New Roman" w:hAnsi="Times New Roman"/>
          <w:sz w:val="13"/>
          <w:szCs w:val="13"/>
          <w:color w:val="auto"/>
        </w:rPr>
        <w:t>On June 30, 2022, the FASB issued ASU 2022-03, Fair Value Measurement</w:t>
      </w:r>
      <w:r>
        <w:rPr>
          <w:sz w:val="20"/>
          <w:szCs w:val="20"/>
          <w:color w:val="auto"/>
        </w:rPr>
        <w:tab/>
      </w:r>
      <w:r>
        <w:rPr>
          <w:rFonts w:ascii="Times New Roman" w:cs="Times New Roman" w:eastAsia="Times New Roman" w:hAnsi="Times New Roman"/>
          <w:sz w:val="13"/>
          <w:szCs w:val="13"/>
          <w:color w:val="auto"/>
        </w:rPr>
        <w:t>1st Quarter</w:t>
      </w:r>
      <w:r>
        <w:rPr>
          <w:sz w:val="20"/>
          <w:szCs w:val="20"/>
          <w:color w:val="auto"/>
        </w:rPr>
        <w:tab/>
      </w:r>
      <w:r>
        <w:rPr>
          <w:rFonts w:ascii="Times New Roman" w:cs="Times New Roman" w:eastAsia="Times New Roman" w:hAnsi="Times New Roman"/>
          <w:sz w:val="13"/>
          <w:szCs w:val="13"/>
          <w:color w:val="auto"/>
        </w:rPr>
        <w:t>The adoption of this ASU is not expected to have a material</w:t>
      </w:r>
    </w:p>
    <w:p>
      <w:pPr>
        <w:spacing w:after="0" w:line="12" w:lineRule="exact"/>
        <w:rPr>
          <w:sz w:val="20"/>
          <w:szCs w:val="20"/>
          <w:color w:val="auto"/>
        </w:rPr>
      </w:pPr>
    </w:p>
    <w:p>
      <w:pPr>
        <w:spacing w:after="0"/>
        <w:tabs>
          <w:tab w:leader="none" w:pos="4940" w:val="left"/>
          <w:tab w:leader="none" w:pos="5720" w:val="left"/>
        </w:tabs>
        <w:rPr>
          <w:sz w:val="20"/>
          <w:szCs w:val="20"/>
          <w:color w:val="auto"/>
        </w:rPr>
      </w:pPr>
      <w:r>
        <w:rPr>
          <w:rFonts w:ascii="Times New Roman" w:cs="Times New Roman" w:eastAsia="Times New Roman" w:hAnsi="Times New Roman"/>
          <w:sz w:val="13"/>
          <w:szCs w:val="13"/>
          <w:color w:val="auto"/>
        </w:rPr>
        <w:t>(Topic 820) - Fair Value Measurement of Equity Securities Subject to Contractual</w:t>
      </w:r>
      <w:r>
        <w:rPr>
          <w:sz w:val="20"/>
          <w:szCs w:val="20"/>
          <w:color w:val="auto"/>
        </w:rPr>
        <w:tab/>
      </w:r>
      <w:r>
        <w:rPr>
          <w:rFonts w:ascii="Times New Roman" w:cs="Times New Roman" w:eastAsia="Times New Roman" w:hAnsi="Times New Roman"/>
          <w:sz w:val="13"/>
          <w:szCs w:val="13"/>
          <w:color w:val="auto"/>
        </w:rPr>
        <w:t>2024</w:t>
      </w:r>
      <w:r>
        <w:rPr>
          <w:sz w:val="20"/>
          <w:szCs w:val="20"/>
          <w:color w:val="auto"/>
        </w:rPr>
        <w:tab/>
      </w:r>
      <w:r>
        <w:rPr>
          <w:rFonts w:ascii="Times New Roman" w:cs="Times New Roman" w:eastAsia="Times New Roman" w:hAnsi="Times New Roman"/>
          <w:sz w:val="13"/>
          <w:szCs w:val="13"/>
          <w:color w:val="auto"/>
        </w:rPr>
        <w:t>impact on our consolidated financial statements.</w:t>
      </w:r>
    </w:p>
    <w:p>
      <w:pPr>
        <w:spacing w:after="0" w:line="238" w:lineRule="auto"/>
        <w:rPr>
          <w:sz w:val="20"/>
          <w:szCs w:val="20"/>
          <w:color w:val="auto"/>
        </w:rPr>
      </w:pPr>
      <w:r>
        <w:rPr>
          <w:rFonts w:ascii="Times New Roman" w:cs="Times New Roman" w:eastAsia="Times New Roman" w:hAnsi="Times New Roman"/>
          <w:sz w:val="13"/>
          <w:szCs w:val="13"/>
          <w:color w:val="auto"/>
        </w:rPr>
        <w:t>Sale Restrictions. This ASU clarifies that a contractual restriction on the sale of an</w:t>
      </w:r>
    </w:p>
    <w:p>
      <w:pPr>
        <w:spacing w:after="0" w:line="238" w:lineRule="auto"/>
        <w:rPr>
          <w:sz w:val="20"/>
          <w:szCs w:val="20"/>
          <w:color w:val="auto"/>
        </w:rPr>
      </w:pPr>
      <w:r>
        <w:rPr>
          <w:rFonts w:ascii="Times New Roman" w:cs="Times New Roman" w:eastAsia="Times New Roman" w:hAnsi="Times New Roman"/>
          <w:sz w:val="13"/>
          <w:szCs w:val="13"/>
          <w:color w:val="auto"/>
        </w:rPr>
        <w:t>equity security is not considered part of the unit of account of the equity security</w:t>
      </w:r>
    </w:p>
    <w:p>
      <w:pPr>
        <w:spacing w:after="0"/>
        <w:rPr>
          <w:sz w:val="20"/>
          <w:szCs w:val="20"/>
          <w:color w:val="auto"/>
        </w:rPr>
      </w:pPr>
      <w:r>
        <w:rPr>
          <w:rFonts w:ascii="Times New Roman" w:cs="Times New Roman" w:eastAsia="Times New Roman" w:hAnsi="Times New Roman"/>
          <w:sz w:val="13"/>
          <w:szCs w:val="13"/>
          <w:color w:val="auto"/>
        </w:rPr>
        <w:t>and is not considered in measuring fair value. Further, this ASU clarifies that an</w:t>
      </w:r>
    </w:p>
    <w:p>
      <w:pPr>
        <w:spacing w:after="0" w:line="238" w:lineRule="auto"/>
        <w:rPr>
          <w:sz w:val="20"/>
          <w:szCs w:val="20"/>
          <w:color w:val="auto"/>
        </w:rPr>
      </w:pPr>
      <w:r>
        <w:rPr>
          <w:rFonts w:ascii="Times New Roman" w:cs="Times New Roman" w:eastAsia="Times New Roman" w:hAnsi="Times New Roman"/>
          <w:sz w:val="13"/>
          <w:szCs w:val="13"/>
          <w:color w:val="auto"/>
        </w:rPr>
        <w:t>entity cannot, recognize and measure a contractual sale restriction as a separate</w:t>
      </w:r>
    </w:p>
    <w:p>
      <w:pPr>
        <w:spacing w:after="0" w:line="238" w:lineRule="auto"/>
        <w:rPr>
          <w:sz w:val="20"/>
          <w:szCs w:val="20"/>
          <w:color w:val="auto"/>
        </w:rPr>
      </w:pPr>
      <w:r>
        <w:rPr>
          <w:rFonts w:ascii="Times New Roman" w:cs="Times New Roman" w:eastAsia="Times New Roman" w:hAnsi="Times New Roman"/>
          <w:sz w:val="13"/>
          <w:szCs w:val="13"/>
          <w:color w:val="auto"/>
        </w:rPr>
        <w:t>unit of account. Additionally, the amendments require the disclosures for equity</w:t>
      </w:r>
    </w:p>
    <w:p>
      <w:pPr>
        <w:spacing w:after="0"/>
        <w:rPr>
          <w:sz w:val="20"/>
          <w:szCs w:val="20"/>
          <w:color w:val="auto"/>
        </w:rPr>
      </w:pPr>
      <w:r>
        <w:rPr>
          <w:rFonts w:ascii="Times New Roman" w:cs="Times New Roman" w:eastAsia="Times New Roman" w:hAnsi="Times New Roman"/>
          <w:sz w:val="13"/>
          <w:szCs w:val="13"/>
          <w:color w:val="auto"/>
        </w:rPr>
        <w:t>securities subject to contractual sale restrictions to include the fair value of equity</w:t>
      </w:r>
    </w:p>
    <w:p>
      <w:pPr>
        <w:spacing w:after="0" w:line="238" w:lineRule="auto"/>
        <w:rPr>
          <w:sz w:val="20"/>
          <w:szCs w:val="20"/>
          <w:color w:val="auto"/>
        </w:rPr>
      </w:pPr>
      <w:r>
        <w:rPr>
          <w:rFonts w:ascii="Times New Roman" w:cs="Times New Roman" w:eastAsia="Times New Roman" w:hAnsi="Times New Roman"/>
          <w:sz w:val="13"/>
          <w:szCs w:val="13"/>
          <w:color w:val="auto"/>
        </w:rPr>
        <w:t>securities subject to contractual sale restrictions reflected on the balance sheet, the</w:t>
      </w:r>
    </w:p>
    <w:p>
      <w:pPr>
        <w:spacing w:after="0" w:line="238" w:lineRule="auto"/>
        <w:rPr>
          <w:sz w:val="20"/>
          <w:szCs w:val="20"/>
          <w:color w:val="auto"/>
        </w:rPr>
      </w:pPr>
      <w:r>
        <w:rPr>
          <w:rFonts w:ascii="Times New Roman" w:cs="Times New Roman" w:eastAsia="Times New Roman" w:hAnsi="Times New Roman"/>
          <w:sz w:val="13"/>
          <w:szCs w:val="13"/>
          <w:color w:val="auto"/>
        </w:rPr>
        <w:t>nature and remaining duration of the restrictions and the circumstances that could</w:t>
      </w:r>
    </w:p>
    <w:p>
      <w:pPr>
        <w:spacing w:after="0"/>
        <w:rPr>
          <w:sz w:val="20"/>
          <w:szCs w:val="20"/>
          <w:color w:val="auto"/>
        </w:rPr>
      </w:pPr>
      <w:r>
        <w:rPr>
          <w:rFonts w:ascii="Times New Roman" w:cs="Times New Roman" w:eastAsia="Times New Roman" w:hAnsi="Times New Roman"/>
          <w:sz w:val="13"/>
          <w:szCs w:val="13"/>
          <w:color w:val="auto"/>
        </w:rPr>
        <w:t>cause a lapse in the restrictions. This ASU is effective for interim and annual</w:t>
      </w:r>
    </w:p>
    <w:p>
      <w:pPr>
        <w:spacing w:after="0"/>
        <w:rPr>
          <w:sz w:val="20"/>
          <w:szCs w:val="20"/>
          <w:color w:val="auto"/>
        </w:rPr>
      </w:pPr>
      <w:r>
        <w:rPr>
          <w:rFonts w:ascii="Times New Roman" w:cs="Times New Roman" w:eastAsia="Times New Roman" w:hAnsi="Times New Roman"/>
          <w:sz w:val="13"/>
          <w:szCs w:val="13"/>
          <w:color w:val="auto"/>
        </w:rPr>
        <w:t>reporting periods beginning after December 15, 2023; early adoption is permitted.</w:t>
      </w:r>
    </w:p>
    <w:p>
      <w:pPr>
        <w:spacing w:after="0" w:line="200" w:lineRule="exact"/>
        <w:rPr>
          <w:sz w:val="20"/>
          <w:szCs w:val="20"/>
          <w:color w:val="auto"/>
        </w:rPr>
      </w:pPr>
    </w:p>
    <w:p>
      <w:pPr>
        <w:sectPr>
          <w:pgSz w:w="11900" w:h="16838" w:orient="portrait"/>
          <w:cols w:equalWidth="0" w:num="2">
            <w:col w:w="1800" w:space="240"/>
            <w:col w:w="9200"/>
          </w:cols>
          <w:pgMar w:left="320" w:top="5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ind w:right="60" w:firstLine="637"/>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we reported net earnings of $235.4 million, compared with $212.5 million for 2021. This represented a $22.9 million, or 10.78%, increase from the prior year. Diluted earnings per share were $1.67 for 2022, compared to $1.56 for 2021. Pretax pre-provision income grew from $272.1 million for 2021 to $338.9 million for the year ended December 31, 2022. We recorded $10.6 million in provision for credit losses in 2022, compared to a provision recapture of $25.5 million for 2021. Net earnings of $235.4 million produced a return on average equity (“ROAE”) of 11.39%, a return on average tangible common equity (“ROATCE”) of 18.85% and a return on average assets (“ROAA”) of 1.39%. Our net interest margin, tax equivalent (“NIM”), was 3.30% for 2022, while our efficiency ratio was 38.98%.</w:t>
      </w:r>
    </w:p>
    <w:p>
      <w:pPr>
        <w:spacing w:after="0" w:line="159" w:lineRule="exact"/>
        <w:rPr>
          <w:sz w:val="20"/>
          <w:szCs w:val="20"/>
          <w:color w:val="auto"/>
        </w:rPr>
      </w:pPr>
    </w:p>
    <w:p>
      <w:pPr>
        <w:ind w:firstLine="681"/>
        <w:spacing w:after="0" w:line="255" w:lineRule="auto"/>
        <w:rPr>
          <w:sz w:val="20"/>
          <w:szCs w:val="20"/>
          <w:color w:val="auto"/>
        </w:rPr>
      </w:pPr>
      <w:r>
        <w:rPr>
          <w:rFonts w:ascii="Times New Roman" w:cs="Times New Roman" w:eastAsia="Times New Roman" w:hAnsi="Times New Roman"/>
          <w:sz w:val="18"/>
          <w:szCs w:val="18"/>
          <w:color w:val="auto"/>
        </w:rPr>
        <w:t>We recorded $10.6 million in provision for credit losses for 2022. For the year ended December 31, 2022, we experienced charge-offs of $197,000 and total recoveries of $1.1 million, resulting in net recoveries of $893,000. This compares to $3.2 million in net charge-offs for the year ended December 31, 2021. Based on the magnitude of government economic stimulus and the wide availability of vaccines, our economic forecasts in 2021 reflected improvements from 2020 in key macroeconomic variables and therefore lower projected loan losses, which resulted in a $25.5 million recapture of provision for credit losses for the year ended December 31, 2021. Of the approximately $1.5 billion of SBA PPP loans we originated between 2020 and 2021, loan forgiveness has been granted for almost all of these loans. The remaining balance at amortized cost for these loans at December 31, 2022 was $9.1 million.</w:t>
      </w:r>
    </w:p>
    <w:p>
      <w:pPr>
        <w:spacing w:after="0" w:line="146" w:lineRule="exact"/>
        <w:rPr>
          <w:sz w:val="20"/>
          <w:szCs w:val="20"/>
          <w:color w:val="auto"/>
        </w:rPr>
      </w:pPr>
    </w:p>
    <w:p>
      <w:pPr>
        <w:ind w:right="40" w:firstLine="637"/>
        <w:spacing w:after="0" w:line="260" w:lineRule="auto"/>
        <w:rPr>
          <w:sz w:val="20"/>
          <w:szCs w:val="20"/>
          <w:color w:val="auto"/>
        </w:rPr>
      </w:pPr>
      <w:r>
        <w:rPr>
          <w:rFonts w:ascii="Times New Roman" w:cs="Times New Roman" w:eastAsia="Times New Roman" w:hAnsi="Times New Roman"/>
          <w:sz w:val="18"/>
          <w:szCs w:val="18"/>
          <w:color w:val="auto"/>
        </w:rPr>
        <w:t>On January 7, 2022, we completed the acquisition of Suncrest Bank (“Suncrest”). At close, Citizens Business Bank acquired loans with a fair value of $774.5 million, and assumed $512.8 million of noninterest-bearing deposits and $669.8 million of interest-bearing deposits. The integration of Suncrest was completed in the second quarter with the consolidation of two banking centers. As a result of the Suncrest merger, we incurred $6.0 million in acquisition expenses for the year ended December 31, 2022.</w:t>
      </w:r>
    </w:p>
    <w:p>
      <w:pPr>
        <w:spacing w:after="0" w:line="141" w:lineRule="exact"/>
        <w:rPr>
          <w:sz w:val="20"/>
          <w:szCs w:val="20"/>
          <w:color w:val="auto"/>
        </w:rPr>
      </w:pPr>
    </w:p>
    <w:p>
      <w:pPr>
        <w:jc w:val="both"/>
        <w:ind w:right="60" w:firstLine="637"/>
        <w:spacing w:after="0" w:line="260" w:lineRule="auto"/>
        <w:rPr>
          <w:sz w:val="20"/>
          <w:szCs w:val="20"/>
          <w:color w:val="auto"/>
        </w:rPr>
      </w:pPr>
      <w:r>
        <w:rPr>
          <w:rFonts w:ascii="Times New Roman" w:cs="Times New Roman" w:eastAsia="Times New Roman" w:hAnsi="Times New Roman"/>
          <w:sz w:val="18"/>
          <w:szCs w:val="18"/>
          <w:color w:val="auto"/>
        </w:rPr>
        <w:t>The $20.1 million increase in the ACL from December 31, 2021 to December 31, 2022 was comprised primarily of the $8.6 million ACL increase for the Suncrest purchased credit deteriorated (“PCD”) loans and an $10.6 million provision for credit losses. The $10.6 million provision for credit losses, includes a provision for credit loss of $4.9 million recorded on January 7, 2022 for the Suncrest acquired loans that were not considered PCD. In addition, the ACL increased by $893,000 in net recoveries for the year ended December 31, 2022.</w:t>
      </w:r>
    </w:p>
    <w:p>
      <w:pPr>
        <w:spacing w:after="0" w:line="155" w:lineRule="exact"/>
        <w:rPr>
          <w:sz w:val="20"/>
          <w:szCs w:val="20"/>
          <w:color w:val="auto"/>
        </w:rPr>
      </w:pPr>
    </w:p>
    <w:p>
      <w:pPr>
        <w:ind w:right="60" w:firstLine="637"/>
        <w:spacing w:after="0" w:line="258" w:lineRule="auto"/>
        <w:rPr>
          <w:sz w:val="20"/>
          <w:szCs w:val="20"/>
          <w:color w:val="auto"/>
        </w:rPr>
      </w:pPr>
      <w:r>
        <w:rPr>
          <w:rFonts w:ascii="Times New Roman" w:cs="Times New Roman" w:eastAsia="Times New Roman" w:hAnsi="Times New Roman"/>
          <w:sz w:val="18"/>
          <w:szCs w:val="18"/>
          <w:color w:val="auto"/>
        </w:rPr>
        <w:t>At December 31, 2022, total assets of $16.48 billion increased $592.8 million, or 3.73%, from total assets of $15.88 billion at December 31, 2021. Interest-earning assets of $14.97 billion at December 31, 2022 increased $287.5 million, or 1.96%, when compared with $14.68 billion at December 31, 2021. The increase in interest-earning assets included a $1.19 billion increase in total loans and a $699.6 million increase in investment securities, partially offset by a $1.60 billion decrease in interest-earning balances due from the Federal Reserve. The $1.19 billion increase in total loans included the $774.5 million of loans acquired at fair value from Suncrest.</w:t>
      </w:r>
    </w:p>
    <w:p>
      <w:pPr>
        <w:spacing w:after="0" w:line="141" w:lineRule="exact"/>
        <w:rPr>
          <w:sz w:val="20"/>
          <w:szCs w:val="20"/>
          <w:color w:val="auto"/>
        </w:rPr>
      </w:pPr>
    </w:p>
    <w:p>
      <w:pPr>
        <w:ind w:right="20" w:firstLine="637"/>
        <w:spacing w:after="0" w:line="255" w:lineRule="auto"/>
        <w:rPr>
          <w:sz w:val="20"/>
          <w:szCs w:val="20"/>
          <w:color w:val="auto"/>
        </w:rPr>
      </w:pPr>
      <w:r>
        <w:rPr>
          <w:rFonts w:ascii="Times New Roman" w:cs="Times New Roman" w:eastAsia="Times New Roman" w:hAnsi="Times New Roman"/>
          <w:sz w:val="18"/>
          <w:szCs w:val="18"/>
          <w:color w:val="auto"/>
        </w:rPr>
        <w:t>Total investment securities were $5.81 billion at December 31, 2022, an increase of $699.6 million, or 13.69%, from $5.11 billion at December 31, 2021. We did not purchase any AFS securities during the fourth quarter of 2022, but cash flows from HTM securities were reinvested in the purchase of approximately $32 million in municipal securities with a tax-equivalent yield of approximately 5.5%. We purchased investment securities totaling approximately $1.76 billion in 2022. At December 31, 2022, investment securities held-to-maturity (“HTM”) totaled $2.55 billion. At December 31, 2022, investment securities AFS totaled $3.26 billion, inclusive of a pre-tax net unrealized loss of $500.1 million. The growth in our investment portfolio over the last year resulted in HTM investments increasing by $628.3 million, or 32.62%, and AFS securities increasing by $71.3 million, or 2.24%, from December 31, 2021. Our tax equivalent yield on our investment portfolio grew from 1.56% for 2021 to 2.03% for 2022.</w:t>
      </w:r>
    </w:p>
    <w:p>
      <w:pPr>
        <w:spacing w:after="0" w:line="146"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Total loans and leases, at amortized cost, of $9.08 billion at December 31, 2022, increased by $1.19 billion, or 15.11%, from $7.89 billion at December 31, 2021. The increase in total loans included $774.5 million of loans acquired from Suncrest in the first quarter of 2022. PPP loans decreased by $177.5 million as these loans continued to receive forgiveness, resulting in a remaining balance of $9.1 million at December 31, 2022. After adjusting for acquired loans and forgiveness of PPP loans, our core loans grew by $634.3 million, or 8.24% from December 31, 2021. The $634.3 million core loan growth included $514.4 million in commercial real estate loans, $51.2 million in commercial and industrial loans, $31.9 million in dairy &amp; livestock and agribusiness loans, $25.1 million in SFR mortgage loans, $17.9 million in municipal lease financings, and $9.3 million in construction loans, partially offset by a decrease of $17.8 million in SBA loans. Our yield on loans was 4.49% for the year ended December 31, 2022, compared to 4.42% for 2021. Interest income for yield adjustments related to discount accretion on acquired loans was $7.9 million for 2022, compared to $12.3 million for 2021. Interest and fee income from PPP loans was approximately $5.5 million for 2022, compared to $30.5 million for 2021. After excluding discount accretion and the impact from PPP loans, our core loan yields increased by 17 basis points when compared to 2021. The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line="265" w:lineRule="auto"/>
        <w:rPr>
          <w:sz w:val="20"/>
          <w:szCs w:val="20"/>
          <w:color w:val="auto"/>
        </w:rPr>
      </w:pPr>
      <w:r>
        <w:rPr>
          <w:rFonts w:ascii="Times New Roman" w:cs="Times New Roman" w:eastAsia="Times New Roman" w:hAnsi="Times New Roman"/>
          <w:sz w:val="18"/>
          <w:szCs w:val="18"/>
          <w:color w:val="auto"/>
        </w:rPr>
        <w:t>recent increases in interest rates, including a 425 basis point increase in the Fed Funds rate since the fourth quarter of 2021, contributed to the 17 basis point increase in core loan yields year-over-year, as well as a 59 basis point increase in core loan yields when comparing the fourth quarter of 2022 to the same quarter of 2021.</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Noninterest-bearing deposits were $8.16 billion at December 31, 2022, an increase of $60.3 million, or 0.74%, compared to $8.10 billion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This year-over-year increase in noninterest-bearing deposits includes the noninterest-bearing deposits assumed from Suncrest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$512.8 million. Noninterest-bearing deposits declined $600 million from September 30, 2022 as we typically see seasonal lows in deposits from the latter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the fourth quarter through the first quarter of each calendar year. Additionally, our customers continue to experience an inflationary environment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has contributed to a decline in the balances held in their demand deposit accounts. At December 31, 2022, noninterest-bearing deposits were 63.60%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total deposits, compared to 62.45% at December 31, 2021.</w:t>
      </w:r>
    </w:p>
    <w:p>
      <w:pPr>
        <w:spacing w:after="0" w:line="166" w:lineRule="exact"/>
        <w:rPr>
          <w:sz w:val="20"/>
          <w:szCs w:val="20"/>
          <w:color w:val="auto"/>
        </w:rPr>
      </w:pPr>
    </w:p>
    <w:p>
      <w:pPr>
        <w:ind w:right="180" w:firstLine="644"/>
        <w:spacing w:after="0" w:line="255" w:lineRule="auto"/>
        <w:rPr>
          <w:sz w:val="20"/>
          <w:szCs w:val="20"/>
          <w:color w:val="auto"/>
        </w:rPr>
      </w:pPr>
      <w:r>
        <w:rPr>
          <w:rFonts w:ascii="Times New Roman" w:cs="Times New Roman" w:eastAsia="Times New Roman" w:hAnsi="Times New Roman"/>
          <w:sz w:val="18"/>
          <w:szCs w:val="18"/>
          <w:color w:val="auto"/>
        </w:rPr>
        <w:t>Interest-bearing deposits were $4.67 billion at December 31, 2022, a decrease of $200.5 million, or 4.12%, when compared to $4.87 billion at December 31, 2021. Customer repurchase agreements totaled $565.4 million at December 31, 2022, compared to $642.4 million at December 31, 2021. Interest-bearing deposits and customer repurchase agreements declined $339 million from September 30, 2022, including the impact of some of our customers deploying excess funds with our CitizensTrust Group. Our average cost of total deposits including customer repurchase agreements was 0.05% for both 2022 and 2021. Our average cost of funds for 2022 was 0.06%, compared to 0.05% for 2021. The one basis point increase in the cost of funds year-over-year was the result of a one basis point increase in the cost of interest bearing deposits, as well as noninterest-bearing deposits growing on average by $1.02 billion.</w:t>
      </w:r>
    </w:p>
    <w:p>
      <w:pPr>
        <w:spacing w:after="0" w:line="146" w:lineRule="exact"/>
        <w:rPr>
          <w:sz w:val="20"/>
          <w:szCs w:val="20"/>
          <w:color w:val="auto"/>
        </w:rPr>
      </w:pPr>
    </w:p>
    <w:p>
      <w:pPr>
        <w:ind w:firstLine="637"/>
        <w:spacing w:after="0" w:line="269" w:lineRule="auto"/>
        <w:rPr>
          <w:sz w:val="20"/>
          <w:szCs w:val="20"/>
          <w:color w:val="auto"/>
        </w:rPr>
      </w:pPr>
      <w:r>
        <w:rPr>
          <w:rFonts w:ascii="Times New Roman" w:cs="Times New Roman" w:eastAsia="Times New Roman" w:hAnsi="Times New Roman"/>
          <w:sz w:val="17"/>
          <w:szCs w:val="17"/>
          <w:color w:val="auto"/>
        </w:rPr>
        <w:t>At December 31, 2022, we had $995.0 million in overnight borrowings, compared to $2.3 million in short-term borrowings at December 31, 2021. The combination of seasonal growth in dairy and livestock loans, seasonal deposit declines, the impact of cash burn on deposits from inflationary pressures, and other competitive market conditions resulted in higher overnight borrowings from the Federal Home Loan Bank during the fourth quarter of 2022. With slowing loan demand, cash flow generated from our investment securities, and the normal historical inflows of deposits we experience from the beginning of the year, borrowings may moderate during the first half of 2023. However, continued increases in short-term rates and overall inflationary pressures may continue to create challenges that impact deposit levels and our liquidity. Over the last twelve months, the Federal Reserve has increased the Federal Funds rate by 425 basis points to the target range of 4.25% to 4.50%. In comparison to the rising Federal Funds rate, our average cost of funds increased from 0.05% for 2021 to 0.06% for 2022. We had $161.2 million in average overnight borrowings in the fourth quarter of 2022, at a cost of 4.49%. These overnight borrowings and an increase in the cost of deposits and customer repurchase agreements from 5 basis points in the third quarter of 2022 to 8 basis points in the fourth quarter, increased our cost of funds by 8 basis points to 0.13% for the fourth quarter of 2022. We redeemed our $25.8 million junior subordinated debentures on June 15, 2021. The debentures, bearing interest at three-month LIBOR plus 1.38%, had an original maturity of 2036.</w:t>
      </w:r>
    </w:p>
    <w:p>
      <w:pPr>
        <w:spacing w:after="0" w:line="152" w:lineRule="exact"/>
        <w:rPr>
          <w:sz w:val="20"/>
          <w:szCs w:val="20"/>
          <w:color w:val="auto"/>
        </w:rPr>
      </w:pPr>
    </w:p>
    <w:p>
      <w:pPr>
        <w:ind w:right="20" w:firstLine="681"/>
        <w:spacing w:after="0" w:line="260" w:lineRule="auto"/>
        <w:rPr>
          <w:sz w:val="20"/>
          <w:szCs w:val="20"/>
          <w:color w:val="auto"/>
        </w:rPr>
      </w:pPr>
      <w:r>
        <w:rPr>
          <w:rFonts w:ascii="Times New Roman" w:cs="Times New Roman" w:eastAsia="Times New Roman" w:hAnsi="Times New Roman"/>
          <w:sz w:val="18"/>
          <w:szCs w:val="18"/>
          <w:color w:val="auto"/>
        </w:rPr>
        <w:t>The allowance for credit losses totaled $85.1 million at December 31, 2022, compared to $65.0 million at December 31, 2021. At December 31, 2022, ACL as a percentage of total loans and leases outstanding was 0.94%. This compares to 0.82% December 31, 2021. The increase in the ACL as a percentage of total loans was primarily the result of a deterioration in the forecast of macroeconomic variables due to rampant inflation, rising interest rates, and recent declines in GDP.</w:t>
      </w:r>
    </w:p>
    <w:p>
      <w:pPr>
        <w:spacing w:after="0" w:line="141" w:lineRule="exact"/>
        <w:rPr>
          <w:sz w:val="20"/>
          <w:szCs w:val="20"/>
          <w:color w:val="auto"/>
        </w:rPr>
      </w:pPr>
    </w:p>
    <w:p>
      <w:pPr>
        <w:ind w:right="100" w:firstLine="637"/>
        <w:spacing w:after="0" w:line="255" w:lineRule="auto"/>
        <w:rPr>
          <w:sz w:val="20"/>
          <w:szCs w:val="20"/>
          <w:color w:val="auto"/>
        </w:rPr>
      </w:pPr>
      <w:r>
        <w:rPr>
          <w:rFonts w:ascii="Times New Roman" w:cs="Times New Roman" w:eastAsia="Times New Roman" w:hAnsi="Times New Roman"/>
          <w:sz w:val="18"/>
          <w:szCs w:val="18"/>
          <w:color w:val="auto"/>
        </w:rPr>
        <w:t>The Company’s total equity was $1.95 billion at December 31, 2022. This represented an overall decrease of $133.0 million from total equity of $2.08 billion at December 31, 2021. Increases to equity during 2022, included $197.1 million for the issuance of 8.6 million shares to acquire Suncrest and $235.4 million in net earnings. Decreases included $108.1 million in cash dividends and a $350.8 million decrease in other comprehensive income from the tax effected impact of the decline in fair value of available-for-sale securities. During 2022, we executed on a $70 million accelerated stock repurchase program and retired 2,993,551 shares of common stock at an average price of $23.38. We also repurchased, under our 10b5-1 stock repurchase plan, 1,914,590 shares of common stock, at an average repurchase price of $23.43, totaling $44.9 million. Our tangible book value per share at December 31, 2022 was $8.30.</w:t>
      </w:r>
    </w:p>
    <w:p>
      <w:pPr>
        <w:spacing w:after="0" w:line="146" w:lineRule="exact"/>
        <w:rPr>
          <w:sz w:val="20"/>
          <w:szCs w:val="20"/>
          <w:color w:val="auto"/>
        </w:rPr>
      </w:pPr>
    </w:p>
    <w:p>
      <w:pPr>
        <w:ind w:right="140" w:firstLine="637"/>
        <w:spacing w:after="0" w:line="260" w:lineRule="auto"/>
        <w:rPr>
          <w:sz w:val="20"/>
          <w:szCs w:val="20"/>
          <w:color w:val="auto"/>
        </w:rPr>
      </w:pPr>
      <w:r>
        <w:rPr>
          <w:rFonts w:ascii="Times New Roman" w:cs="Times New Roman" w:eastAsia="Times New Roman" w:hAnsi="Times New Roman"/>
          <w:sz w:val="18"/>
          <w:szCs w:val="18"/>
          <w:color w:val="auto"/>
        </w:rPr>
        <w:t xml:space="preserve">Our capital ratios under the revised capital framework referred to as Basel III remain well-above regulatory requirements. As of December 31, 2022, the Company’s Tier 1 leverage capital ratio totaled 9.53%, our common equity Tier 1 ratio totaled 13.55%, our Tier 1 risk-based capital ratio totaled 13.55%, and our total risk-based capital ratio totaled 14.37%. We did not elect to phase in the impact of CECL on regulatory capital, as allowed under the interim final rule of the FDIC and other U.S. banking agencies. Refer to our </w:t>
      </w:r>
      <w:r>
        <w:rPr>
          <w:rFonts w:ascii="Times New Roman" w:cs="Times New Roman" w:eastAsia="Times New Roman" w:hAnsi="Times New Roman"/>
          <w:sz w:val="18"/>
          <w:szCs w:val="18"/>
          <w:i w:val="1"/>
          <w:iCs w:val="1"/>
          <w:color w:val="auto"/>
        </w:rPr>
        <w:t>Analysis of Financial Condition — Capital Resources.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Acquisition Related</w:t>
      </w:r>
    </w:p>
    <w:p>
      <w:pPr>
        <w:spacing w:after="0" w:line="202" w:lineRule="exact"/>
        <w:rPr>
          <w:sz w:val="20"/>
          <w:szCs w:val="20"/>
          <w:color w:val="auto"/>
        </w:rPr>
      </w:pPr>
    </w:p>
    <w:p>
      <w:pPr>
        <w:ind w:right="80" w:firstLine="637"/>
        <w:spacing w:after="0" w:line="255" w:lineRule="auto"/>
        <w:rPr>
          <w:sz w:val="20"/>
          <w:szCs w:val="20"/>
          <w:color w:val="auto"/>
        </w:rPr>
      </w:pPr>
      <w:r>
        <w:rPr>
          <w:rFonts w:ascii="Times New Roman" w:cs="Times New Roman" w:eastAsia="Times New Roman" w:hAnsi="Times New Roman"/>
          <w:sz w:val="18"/>
          <w:szCs w:val="18"/>
          <w:color w:val="auto"/>
        </w:rPr>
        <w:t>On January 7, 2022, the Company completed the merger transaction whereby Suncrest Bank (“Suncrest”), headquartered in Visalia, California, merged with and into the Company’s wholly-owned subsidiary Citizens Business Bank (“Citizens”), in accordance with the terms and conditions of that certain Agreement and Plan of Reorganization and Merger (“Merger Agreement”), dated as of July 27, 2021, by and among the Company, the Bank and Suncrest, in a stock and cash transaction valued at approximately $237 million in aggregate, or $18.63 per Suncrest share based on CVB Financial Corp.’s closing stock price of $22.87 on January 7, 2022. Under the terms of the Merger Agreement, the Company issued approximately 8.6 million shares of Company common stock and approximately $39.6 million in aggregate cash consideration, including cash paid out in settlement of outstanding incentive stock option awards at Suncrest.</w:t>
      </w:r>
    </w:p>
    <w:p>
      <w:pPr>
        <w:spacing w:after="0" w:line="146"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At close, the total fair value of assets acquired approximated $1.38 billion in total assets, including $329.0 million of cash and cash equivalents, net of cash paid, $131.1 million of investment securities, and $765.9 million in net loans. The acquired loans were recorded at fair value, which reflected a net discount of 1.5% for the entire loan portfolio. Approximately 30% of the acquired loans are considered PCD loans. An allowance for credit loss of $8.6 million was established for these PCD loans at acquisition. In addition, the acquired PCD loans were further discounted by almost 2% to adjust them to fair value. Non-PCD loans were valued at a total premium of 0.3%, net of a credit discount of 1.5%. We recorded a loan loss provision to establish a day one allowance for credit losses of $4.9 million on the non-PCD loans.</w:t>
      </w:r>
    </w:p>
    <w:p>
      <w:pPr>
        <w:spacing w:after="0" w:line="145" w:lineRule="exact"/>
        <w:rPr>
          <w:sz w:val="20"/>
          <w:szCs w:val="20"/>
          <w:color w:val="auto"/>
        </w:rPr>
      </w:pPr>
    </w:p>
    <w:p>
      <w:pPr>
        <w:jc w:val="both"/>
        <w:ind w:right="20" w:firstLine="637"/>
        <w:spacing w:after="0" w:line="265" w:lineRule="auto"/>
        <w:rPr>
          <w:sz w:val="20"/>
          <w:szCs w:val="20"/>
          <w:color w:val="auto"/>
        </w:rPr>
      </w:pPr>
      <w:r>
        <w:rPr>
          <w:rFonts w:ascii="Times New Roman" w:cs="Times New Roman" w:eastAsia="Times New Roman" w:hAnsi="Times New Roman"/>
          <w:sz w:val="18"/>
          <w:szCs w:val="18"/>
          <w:color w:val="auto"/>
        </w:rPr>
        <w:t>Suncrest had seven branch locations and two loan production offices in California’s Central Valley and the Sacramento metro area, which opened as Citizens Business Bank locations on January 10, 2022. The integration of Suncrest, including the conversion of core systems in the first quarter of 2022, was completed with the consolidation of two banking centers during the second quarter of 2022.</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8" w:right="399" w:bottom="1440" w:gutter="0" w:footer="0" w:header="0"/>
        </w:sectPr>
      </w:pPr>
    </w:p>
    <w:bookmarkStart w:id="41" w:name="page42"/>
    <w:bookmarkEnd w:id="41"/>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ANALYSIS OF THE RESULTS OF OPERATIONS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505,513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414,550</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416,053</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90,963</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21.94 %</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(1,503 )</w:t>
            </w:r>
          </w:p>
        </w:tc>
        <w:tc>
          <w:tcPr>
            <w:tcW w:w="1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recapture of credit losses</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(10,600 )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(23,500 )</w:t>
            </w:r>
          </w:p>
        </w:tc>
        <w:tc>
          <w:tcPr>
            <w:tcW w:w="2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(36,100 )</w:t>
            </w:r>
          </w:p>
        </w:tc>
        <w:tc>
          <w:tcPr>
            <w:tcW w:w="18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(141.57 )%</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208.51 %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49,989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47,385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49,870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5.50 %</w:t>
            </w:r>
          </w:p>
        </w:tc>
        <w:tc>
          <w:tcPr>
            <w:tcW w:w="2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(2,485 )</w:t>
            </w:r>
          </w:p>
        </w:tc>
        <w:tc>
          <w:tcPr>
            <w:tcW w:w="1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(216,555 )</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(189,787 )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(192,903 )</w:t>
            </w:r>
          </w:p>
        </w:tc>
        <w:tc>
          <w:tcPr>
            <w:tcW w:w="2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(26,768 )</w:t>
            </w:r>
          </w:p>
        </w:tc>
        <w:tc>
          <w:tcPr>
            <w:tcW w:w="18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(14.10 )%</w:t>
            </w: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(92,922 )</w:t>
            </w: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(85,127 )</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(72,361 )</w:t>
            </w: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(7,795 )</w:t>
            </w: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-9.16 %</w:t>
            </w:r>
          </w:p>
        </w:tc>
        <w:tc>
          <w:tcPr>
            <w:tcW w:w="2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(12,766 )</w:t>
            </w:r>
          </w:p>
        </w:tc>
        <w:tc>
          <w:tcPr>
            <w:tcW w:w="1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235,425</w:t>
            </w:r>
          </w:p>
        </w:tc>
        <w:tc>
          <w:tcPr>
            <w:tcW w:w="22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177,159</w:t>
            </w:r>
          </w:p>
        </w:tc>
        <w:tc>
          <w:tcPr>
            <w:tcW w:w="2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10.78 </w:t>
            </w:r>
            <w:r>
              <w:rPr>
                <w:rFonts w:ascii="Times New Roman" w:cs="Times New Roman" w:eastAsia="Times New Roman" w:hAnsi="Times New Roman"/>
                <w:sz w:val="14"/>
                <w:szCs w:val="14"/>
                <w:color w:val="auto"/>
                <w:highlight w:val="white"/>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19.96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Earnings per common share:</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60" w:type="dxa"/>
            <w:vAlign w:val="bottom"/>
          </w:tcPr>
          <w:p>
            <w:pPr>
              <w:spacing w:after="0"/>
              <w:rPr>
                <w:sz w:val="15"/>
                <w:szCs w:val="15"/>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average assets</w:t>
            </w:r>
          </w:p>
        </w:tc>
        <w:tc>
          <w:tcPr>
            <w:tcW w:w="1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1.39 %</w:t>
            </w:r>
          </w:p>
        </w:tc>
        <w:tc>
          <w:tcPr>
            <w:tcW w:w="18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1.37 %</w:t>
            </w:r>
          </w:p>
        </w:tc>
        <w:tc>
          <w:tcPr>
            <w:tcW w:w="2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0.01 %</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0.01 %</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on average shareholders’ equity</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11.39 %</w:t>
            </w: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10.30 %</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8.90 %</w:t>
            </w: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1.09 %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1.40 %</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Efficiency ratio</w:t>
            </w:r>
          </w:p>
        </w:tc>
        <w:tc>
          <w:tcPr>
            <w:tcW w:w="1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38.98 %</w:t>
            </w:r>
          </w:p>
        </w:tc>
        <w:tc>
          <w:tcPr>
            <w:tcW w:w="18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41.09 %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41.40 %</w:t>
            </w:r>
          </w:p>
        </w:tc>
        <w:tc>
          <w:tcPr>
            <w:tcW w:w="2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-2.11 %</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(0.31 )%</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1.28 %</w:t>
            </w: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1.24 %</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1.49 %</w:t>
            </w: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0.04 %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-0.25 %</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-923925</wp:posOffset>
            </wp:positionV>
            <wp:extent cx="7683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-923925</wp:posOffset>
            </wp:positionV>
            <wp:extent cx="7683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-923925</wp:posOffset>
            </wp:positionV>
            <wp:extent cx="7683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-923925</wp:posOffset>
            </wp:positionV>
            <wp:extent cx="6858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-923925</wp:posOffset>
            </wp:positionV>
            <wp:extent cx="6858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Tangible Common Equity Reconciliations (Non-GAAP)</w:t>
      </w:r>
    </w:p>
    <w:p>
      <w:pPr>
        <w:spacing w:after="0" w:line="188" w:lineRule="exact"/>
        <w:rPr>
          <w:sz w:val="20"/>
          <w:szCs w:val="20"/>
          <w:color w:val="auto"/>
        </w:rPr>
      </w:pPr>
    </w:p>
    <w:p>
      <w:pPr>
        <w:ind w:right="140" w:firstLine="637"/>
        <w:spacing w:after="0" w:line="260" w:lineRule="auto"/>
        <w:rPr>
          <w:sz w:val="20"/>
          <w:szCs w:val="20"/>
          <w:color w:val="auto"/>
        </w:rPr>
      </w:pPr>
      <w:r>
        <w:rPr>
          <w:rFonts w:ascii="Times New Roman" w:cs="Times New Roman" w:eastAsia="Times New Roman" w:hAnsi="Times New Roman"/>
          <w:sz w:val="18"/>
          <w:szCs w:val="18"/>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6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w w:val="91"/>
              </w:rPr>
              <w:t>(Dollars in thousands)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235,425</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212,521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177,159</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 Amortization of intangible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Tax effect of amortization of intangible assets (1)</w:t>
            </w:r>
          </w:p>
        </w:tc>
        <w:tc>
          <w:tcPr>
            <w:tcW w:w="3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(2,237 )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(2,436 )</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(2,765 )</w:t>
            </w:r>
          </w:p>
        </w:tc>
        <w:tc>
          <w:tcPr>
            <w:tcW w:w="40" w:type="dxa"/>
            <w:vAlign w:val="bottom"/>
          </w:tcPr>
          <w:p>
            <w:pPr>
              <w:spacing w:after="0"/>
              <w:rPr>
                <w:sz w:val="20"/>
                <w:szCs w:val="20"/>
                <w:color w:val="auto"/>
              </w:rPr>
            </w:pPr>
          </w:p>
        </w:tc>
      </w:tr>
      <w:tr>
        <w:trPr>
          <w:trHeight w:val="223"/>
        </w:trPr>
        <w:tc>
          <w:tcPr>
            <w:tcW w:w="65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Tangible net income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240,754</w:t>
            </w: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218,325</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183,746</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6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Average stockholders’ equity</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2,066,463</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2,063,360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1,991,664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Average goodwill</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(764,143 )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(663,707 )</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(663,707 )</w:t>
            </w:r>
          </w:p>
        </w:tc>
        <w:tc>
          <w:tcPr>
            <w:tcW w:w="40" w:type="dxa"/>
            <w:vAlign w:val="bottom"/>
          </w:tcPr>
          <w:p>
            <w:pPr>
              <w:spacing w:after="0"/>
              <w:rPr>
                <w:sz w:val="19"/>
                <w:szCs w:val="19"/>
                <w:color w:val="auto"/>
              </w:rPr>
            </w:pPr>
          </w:p>
        </w:tc>
      </w:tr>
      <w:tr>
        <w:trPr>
          <w:trHeight w:val="232"/>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Average intangible assets</w:t>
            </w:r>
          </w:p>
        </w:tc>
        <w:tc>
          <w:tcPr>
            <w:tcW w:w="3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(25,376 )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(29,328 )</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(38,203 )</w:t>
            </w:r>
          </w:p>
        </w:tc>
        <w:tc>
          <w:tcPr>
            <w:tcW w:w="40" w:type="dxa"/>
            <w:vAlign w:val="bottom"/>
          </w:tcPr>
          <w:p>
            <w:pPr>
              <w:spacing w:after="0"/>
              <w:rPr>
                <w:sz w:val="20"/>
                <w:szCs w:val="20"/>
                <w:color w:val="auto"/>
              </w:rPr>
            </w:pPr>
          </w:p>
        </w:tc>
      </w:tr>
      <w:tr>
        <w:trPr>
          <w:trHeight w:val="223"/>
        </w:trPr>
        <w:tc>
          <w:tcPr>
            <w:tcW w:w="65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Average tangible common equity</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1,276,944</w:t>
            </w: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1,370,325</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1,289,754</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2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equity, annualized</w:t>
            </w:r>
          </w:p>
        </w:tc>
        <w:tc>
          <w:tcPr>
            <w:tcW w:w="3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11.39 %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10.30 %</w:t>
            </w:r>
          </w:p>
        </w:tc>
        <w:tc>
          <w:tcPr>
            <w:tcW w:w="3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8.90 %</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tangible common equity</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15.93 %</w:t>
            </w:r>
          </w:p>
        </w:tc>
        <w:tc>
          <w:tcPr>
            <w:tcW w:w="3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-1365885</wp:posOffset>
            </wp:positionV>
            <wp:extent cx="68580" cy="3251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-1365885</wp:posOffset>
            </wp:positionV>
            <wp:extent cx="68580" cy="325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-1365885</wp:posOffset>
            </wp:positionV>
            <wp:extent cx="68580" cy="325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4711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71170"/>
                    </a:xfrm>
                    <a:prstGeom prst="rect">
                      <a:avLst/>
                    </a:prstGeom>
                    <a:noFill/>
                  </pic:spPr>
                </pic:pic>
              </a:graphicData>
            </a:graphic>
          </wp:anchor>
        </w:drawing>
      </w:r>
    </w:p>
    <w:p>
      <w:pPr>
        <w:spacing w:after="0" w:line="66"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6"/>
          <w:szCs w:val="16"/>
          <w:color w:val="auto"/>
        </w:rPr>
        <w:t>(1)</w:t>
        <w:tab/>
        <w:t>Tax effected at respective statutory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188" w:lineRule="exact"/>
        <w:rPr>
          <w:sz w:val="20"/>
          <w:szCs w:val="20"/>
          <w:color w:val="auto"/>
        </w:rPr>
      </w:pPr>
    </w:p>
    <w:p>
      <w:pPr>
        <w:ind w:right="140" w:firstLine="637"/>
        <w:spacing w:after="0" w:line="253" w:lineRule="auto"/>
        <w:rPr>
          <w:sz w:val="20"/>
          <w:szCs w:val="20"/>
          <w:color w:val="auto"/>
        </w:rPr>
      </w:pPr>
      <w:r>
        <w:rPr>
          <w:rFonts w:ascii="Times New Roman" w:cs="Times New Roman" w:eastAsia="Times New Roman" w:hAnsi="Times New Roman"/>
          <w:sz w:val="18"/>
          <w:szCs w:val="18"/>
          <w:color w:val="auto"/>
        </w:rPr>
        <w:t>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years ended December 31, 2022, 2021 and 2020.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08" w:right="299" w:bottom="1440" w:gutter="0" w:footer="0" w:header="0"/>
        </w:sectPr>
      </w:pPr>
    </w:p>
    <w:bookmarkStart w:id="42" w:name="page43"/>
    <w:bookmarkEnd w:id="42"/>
    <w:p>
      <w:pPr>
        <w:ind w:right="220"/>
        <w:spacing w:after="0" w:line="314" w:lineRule="auto"/>
        <w:rPr>
          <w:sz w:val="20"/>
          <w:szCs w:val="20"/>
          <w:color w:val="auto"/>
        </w:rPr>
      </w:pPr>
      <w:r>
        <w:rPr>
          <w:rFonts w:ascii="Times New Roman" w:cs="Times New Roman" w:eastAsia="Times New Roman" w:hAnsi="Times New Roman"/>
          <w:sz w:val="17"/>
          <w:szCs w:val="17"/>
          <w:color w:val="auto"/>
        </w:rPr>
        <w:t xml:space="preserve">proportion to interest-earning assets, and in the growth and maturity of earning assets. See Item 7 — </w:t>
      </w:r>
      <w:r>
        <w:rPr>
          <w:rFonts w:ascii="Times New Roman" w:cs="Times New Roman" w:eastAsia="Times New Roman" w:hAnsi="Times New Roman"/>
          <w:sz w:val="17"/>
          <w:szCs w:val="17"/>
          <w:i w:val="1"/>
          <w:iCs w:val="1"/>
          <w:color w:val="auto"/>
        </w:rPr>
        <w:t>Management’s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Condition and Results of Operations — Asset/Liability and Market Risk Management — Interest Rate Sensitivity Management </w:t>
      </w:r>
      <w:r>
        <w:rPr>
          <w:rFonts w:ascii="Times New Roman" w:cs="Times New Roman" w:eastAsia="Times New Roman" w:hAnsi="Times New Roman"/>
          <w:sz w:val="17"/>
          <w:szCs w:val="17"/>
          <w:color w:val="auto"/>
        </w:rPr>
        <w:t>included herein.</w:t>
      </w:r>
    </w:p>
    <w:p>
      <w:pPr>
        <w:spacing w:after="0" w:line="111" w:lineRule="exact"/>
        <w:rPr>
          <w:sz w:val="20"/>
          <w:szCs w:val="20"/>
          <w:color w:val="auto"/>
        </w:rPr>
      </w:pPr>
    </w:p>
    <w:p>
      <w:pPr>
        <w:ind w:right="240" w:firstLine="644"/>
        <w:spacing w:after="0" w:line="265" w:lineRule="auto"/>
        <w:rPr>
          <w:sz w:val="20"/>
          <w:szCs w:val="20"/>
          <w:color w:val="auto"/>
        </w:rPr>
      </w:pPr>
      <w:r>
        <w:rPr>
          <w:rFonts w:ascii="Times New Roman" w:cs="Times New Roman" w:eastAsia="Times New Roman" w:hAnsi="Times New Roman"/>
          <w:sz w:val="18"/>
          <w:szCs w:val="18"/>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3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Interest-Earning Assets and Interest-Bearing Liabilities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4"/>
              </w:rPr>
              <w:t>Year Ended December 31,</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77"/>
              <w:spacing w:after="0" w:line="122"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2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8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6"/>
          </w:tcPr>
          <w:p>
            <w:pPr>
              <w:jc w:val="center"/>
              <w:ind w:left="197"/>
              <w:spacing w:after="0"/>
              <w:rPr>
                <w:sz w:val="20"/>
                <w:szCs w:val="20"/>
                <w:color w:val="auto"/>
              </w:rPr>
            </w:pPr>
            <w:r>
              <w:rPr>
                <w:rFonts w:ascii="Times New Roman" w:cs="Times New Roman" w:eastAsia="Times New Roman" w:hAnsi="Times New Roman"/>
                <w:sz w:val="13"/>
                <w:szCs w:val="13"/>
                <w:i w:val="1"/>
                <w:iCs w:val="1"/>
                <w:color w:val="auto"/>
                <w:w w:val="96"/>
              </w:rPr>
              <w:t>(Dollars in thousands)</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INTEREST-EARNING ASSETS</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Investment securities (1)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Taxable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3,505,517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67,803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1.96 %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2,820,050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37,532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1.36 %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1,854,964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35,129</w:t>
            </w:r>
          </w:p>
        </w:tc>
        <w:tc>
          <w:tcPr>
            <w:tcW w:w="96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86"/>
              </w:rPr>
              <w:t>1.94 %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rPr>
              <w:t>Tax-advantaged</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27,070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3.12 %</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29,855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2.97 %</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37,110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96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86"/>
              </w:rPr>
              <w:t>3.50 %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Held-to-maturity securities: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rPr>
              <w:t>Taxable</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2,090,984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41,403</w:t>
            </w: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1.99 %</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1,007,982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17,747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1.86 %</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438,190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9,542</w:t>
            </w:r>
          </w:p>
        </w:tc>
        <w:tc>
          <w:tcPr>
            <w:tcW w:w="96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86"/>
              </w:rPr>
              <w:t>2.18 %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Tax-advantaged</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315,983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7,645</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2.97 %</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2.67 %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4,681</w:t>
            </w:r>
          </w:p>
        </w:tc>
        <w:tc>
          <w:tcPr>
            <w:tcW w:w="96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86"/>
              </w:rPr>
              <w:t>3.26 %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Investment in FHLB stock</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18,309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6.59 %</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17,688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5.76 %</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17,688</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96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86"/>
              </w:rPr>
              <w:t>5.53 %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5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Interest-earning deposits with 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institutions</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804,744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0.83 %</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1,953,209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0.13 %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1,098,814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98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w w:val="92"/>
              </w:rPr>
              <w:t>0.15 %</w:t>
            </w:r>
          </w:p>
        </w:tc>
        <w:tc>
          <w:tcPr>
            <w:tcW w:w="0" w:type="dxa"/>
            <w:vAlign w:val="bottom"/>
          </w:tcPr>
          <w:p>
            <w:pPr>
              <w:spacing w:after="0"/>
              <w:rPr>
                <w:sz w:val="1"/>
                <w:szCs w:val="1"/>
                <w:color w:val="auto"/>
              </w:rPr>
            </w:pPr>
          </w:p>
        </w:tc>
      </w:tr>
      <w:tr>
        <w:trPr>
          <w:trHeight w:val="163"/>
        </w:trPr>
        <w:tc>
          <w:tcPr>
            <w:tcW w:w="3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Loans (2)</w:t>
            </w: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8,676,820</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389,192</w:t>
            </w:r>
          </w:p>
        </w:tc>
        <w:tc>
          <w:tcPr>
            <w:tcW w:w="11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4.49 %</w:t>
            </w: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8,065,877</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356,594</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4.42 %</w:t>
            </w: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8,066,483</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377,402</w:t>
            </w:r>
          </w:p>
        </w:tc>
        <w:tc>
          <w:tcPr>
            <w:tcW w:w="960" w:type="dxa"/>
            <w:vAlign w:val="bottom"/>
            <w:tcBorders>
              <w:bottom w:val="single" w:sz="8" w:color="CFF0FC"/>
            </w:tcBorders>
            <w:gridSpan w:val="3"/>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86"/>
              </w:rPr>
              <w:t>4.68 %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interest-earning assets</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15,439,427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514,668</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3.36 %</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14,095,233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420,630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3.02 %</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11,687,005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430,337</w:t>
            </w:r>
          </w:p>
        </w:tc>
        <w:tc>
          <w:tcPr>
            <w:tcW w:w="96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86"/>
              </w:rPr>
              <w:t>3.71 %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Total noninterest-earning assets</w:t>
            </w: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1,472,234</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1,255,288</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1,242,808</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16,911,661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15,350,521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12,929,813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INTEREST-BEARING LIABILITIES</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Savings deposits (3)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4,866,503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6,591</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0.14 %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4,249,379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0.10 %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3,530,606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8,803</w:t>
            </w:r>
          </w:p>
        </w:tc>
        <w:tc>
          <w:tcPr>
            <w:tcW w:w="96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86"/>
              </w:rPr>
              <w:t>0.25 %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Time deposits</w:t>
            </w: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358,578</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1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0.07 %</w:t>
            </w: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375,666</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0.32 %</w:t>
            </w: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445,962</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3,799</w:t>
            </w:r>
          </w:p>
        </w:tc>
        <w:tc>
          <w:tcPr>
            <w:tcW w:w="960" w:type="dxa"/>
            <w:vAlign w:val="bottom"/>
            <w:tcBorders>
              <w:bottom w:val="single" w:sz="8" w:color="CFF0FC"/>
            </w:tcBorders>
            <w:gridSpan w:val="3"/>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86"/>
              </w:rPr>
              <w:t>0.85 %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5,225,081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0.13 %</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4,625,045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0.12 %</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3,976,568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12,602</w:t>
            </w:r>
          </w:p>
        </w:tc>
        <w:tc>
          <w:tcPr>
            <w:tcW w:w="96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86"/>
              </w:rPr>
              <w:t>0.32 %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56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FHLB advances, other borrowings, and</w:t>
            </w:r>
          </w:p>
        </w:tc>
        <w:tc>
          <w:tcPr>
            <w:tcW w:w="1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613,962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2,325</w:t>
            </w: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624,068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511,404</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customer repurchase agreements</w:t>
            </w: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11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0.38 %</w:t>
            </w:r>
          </w:p>
        </w:tc>
        <w:tc>
          <w:tcPr>
            <w:tcW w:w="1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0.12 %</w:t>
            </w:r>
          </w:p>
        </w:tc>
        <w:tc>
          <w:tcPr>
            <w:tcW w:w="1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vMerge w:val="continue"/>
            <w:shd w:val="clear" w:color="auto" w:fill="CFF0FC"/>
          </w:tcPr>
          <w:p>
            <w:pPr>
              <w:spacing w:after="0"/>
              <w:rPr>
                <w:sz w:val="13"/>
                <w:szCs w:val="13"/>
                <w:color w:val="auto"/>
              </w:rPr>
            </w:pPr>
          </w:p>
        </w:tc>
        <w:tc>
          <w:tcPr>
            <w:tcW w:w="960" w:type="dxa"/>
            <w:vAlign w:val="bottom"/>
            <w:tcBorders>
              <w:bottom w:val="single" w:sz="8" w:color="CFF0FC"/>
            </w:tcBorders>
            <w:gridSpan w:val="3"/>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86"/>
              </w:rPr>
              <w:t>0.33 %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Interest-bearing liabilities</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5,839,043</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9,155</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0.16 %</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5,249,113</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0.12 %</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4,487,972</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14,284</w:t>
            </w:r>
          </w:p>
        </w:tc>
        <w:tc>
          <w:tcPr>
            <w:tcW w:w="98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w w:val="92"/>
              </w:rPr>
              <w:t>0.32 %</w:t>
            </w:r>
          </w:p>
        </w:tc>
        <w:tc>
          <w:tcPr>
            <w:tcW w:w="0" w:type="dxa"/>
            <w:vAlign w:val="bottom"/>
          </w:tcPr>
          <w:p>
            <w:pPr>
              <w:spacing w:after="0"/>
              <w:rPr>
                <w:sz w:val="1"/>
                <w:szCs w:val="1"/>
                <w:color w:val="auto"/>
              </w:rPr>
            </w:pPr>
          </w:p>
        </w:tc>
      </w:tr>
      <w:tr>
        <w:trPr>
          <w:trHeight w:val="155"/>
        </w:trPr>
        <w:tc>
          <w:tcPr>
            <w:tcW w:w="3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8,839,577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7,817,627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6,281,989</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166,578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168,188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Stockholders’ equity</w:t>
            </w: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2,066,463</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2,063,360</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1,991,664</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560" w:type="dxa"/>
            <w:vAlign w:val="bottom"/>
          </w:tcPr>
          <w:p>
            <w:pPr>
              <w:ind w:left="160"/>
              <w:spacing w:after="0" w:line="124" w:lineRule="exact"/>
              <w:rPr>
                <w:sz w:val="20"/>
                <w:szCs w:val="20"/>
                <w:color w:val="auto"/>
              </w:rPr>
            </w:pPr>
            <w:r>
              <w:rPr>
                <w:rFonts w:ascii="Times New Roman" w:cs="Times New Roman" w:eastAsia="Times New Roman" w:hAnsi="Times New Roman"/>
                <w:sz w:val="13"/>
                <w:szCs w:val="13"/>
                <w:color w:val="auto"/>
              </w:rPr>
              <w:t>Total liabilities and stockholders’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16,911,661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15,350,521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12,929,813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560" w:type="dxa"/>
            <w:vAlign w:val="bottom"/>
          </w:tcPr>
          <w:p>
            <w:pPr>
              <w:ind w:left="260"/>
              <w:spacing w:after="0" w:line="106" w:lineRule="exact"/>
              <w:rPr>
                <w:sz w:val="20"/>
                <w:szCs w:val="20"/>
                <w:color w:val="auto"/>
              </w:rPr>
            </w:pPr>
            <w:r>
              <w:rPr>
                <w:rFonts w:ascii="Times New Roman" w:cs="Times New Roman" w:eastAsia="Times New Roman" w:hAnsi="Times New Roman"/>
                <w:sz w:val="12"/>
                <w:szCs w:val="12"/>
                <w:color w:val="auto"/>
              </w:rPr>
              <w:t>equity</w:t>
            </w:r>
          </w:p>
        </w:tc>
        <w:tc>
          <w:tcPr>
            <w:tcW w:w="12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60" w:type="dxa"/>
            <w:vAlign w:val="bottom"/>
            <w:shd w:val="clear" w:color="auto" w:fill="CFF0FC"/>
          </w:tcPr>
          <w:p>
            <w:pPr>
              <w:ind w:left="160"/>
              <w:spacing w:after="0" w:line="143" w:lineRule="exact"/>
              <w:rPr>
                <w:sz w:val="20"/>
                <w:szCs w:val="20"/>
                <w:color w:val="auto"/>
              </w:rPr>
            </w:pPr>
            <w:r>
              <w:rPr>
                <w:rFonts w:ascii="Times New Roman" w:cs="Times New Roman" w:eastAsia="Times New Roman" w:hAnsi="Times New Roman"/>
                <w:sz w:val="13"/>
                <w:szCs w:val="13"/>
                <w:color w:val="auto"/>
              </w:rPr>
              <w:t>Net interest income</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505,513</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414,550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9"/>
              </w:rPr>
              <w:t>416,053</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tcBorders>
              <w:top w:val="single" w:sz="8" w:color="CFF0FC"/>
            </w:tcBorders>
          </w:tcPr>
          <w:p>
            <w:pPr>
              <w:ind w:left="300"/>
              <w:spacing w:after="0" w:line="143" w:lineRule="exact"/>
              <w:rPr>
                <w:sz w:val="20"/>
                <w:szCs w:val="20"/>
                <w:color w:val="auto"/>
              </w:rPr>
            </w:pPr>
            <w:r>
              <w:rPr>
                <w:rFonts w:ascii="Times New Roman" w:cs="Times New Roman" w:eastAsia="Times New Roman" w:hAnsi="Times New Roman"/>
                <w:sz w:val="13"/>
                <w:szCs w:val="13"/>
                <w:color w:val="auto"/>
              </w:rPr>
              <w:t>Net interest spread - tax equivalent</w:t>
            </w:r>
          </w:p>
        </w:tc>
        <w:tc>
          <w:tcPr>
            <w:tcW w:w="120" w:type="dxa"/>
            <w:vAlign w:val="bottom"/>
            <w:tcBorders>
              <w:top w:val="single" w:sz="8" w:color="CFF0FC"/>
            </w:tcBorders>
          </w:tcPr>
          <w:p>
            <w:pPr>
              <w:spacing w:after="0"/>
              <w:rPr>
                <w:sz w:val="12"/>
                <w:szCs w:val="12"/>
                <w:color w:val="auto"/>
              </w:rPr>
            </w:pPr>
          </w:p>
        </w:tc>
        <w:tc>
          <w:tcPr>
            <w:tcW w:w="66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00" w:type="dxa"/>
            <w:vAlign w:val="bottom"/>
            <w:tcBorders>
              <w:top w:val="single" w:sz="8" w:color="CFF0FC"/>
            </w:tcBorders>
            <w:gridSpan w:val="3"/>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3.20 %</w:t>
            </w:r>
          </w:p>
        </w:tc>
        <w:tc>
          <w:tcPr>
            <w:tcW w:w="12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720" w:type="dxa"/>
            <w:vAlign w:val="bottom"/>
            <w:tcBorders>
              <w:top w:val="single" w:sz="8" w:color="CFF0FC"/>
            </w:tcBorders>
            <w:gridSpan w:val="2"/>
          </w:tcPr>
          <w:p>
            <w:pPr>
              <w:jc w:val="right"/>
              <w:ind w:right="80"/>
              <w:spacing w:after="0" w:line="143" w:lineRule="exact"/>
              <w:rPr>
                <w:sz w:val="20"/>
                <w:szCs w:val="20"/>
                <w:color w:val="auto"/>
              </w:rPr>
            </w:pPr>
            <w:r>
              <w:rPr>
                <w:rFonts w:ascii="Times New Roman" w:cs="Times New Roman" w:eastAsia="Times New Roman" w:hAnsi="Times New Roman"/>
                <w:sz w:val="13"/>
                <w:szCs w:val="13"/>
                <w:color w:val="auto"/>
              </w:rPr>
              <w:t>2.90 %</w:t>
            </w:r>
          </w:p>
        </w:tc>
        <w:tc>
          <w:tcPr>
            <w:tcW w:w="12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60" w:type="dxa"/>
            <w:vAlign w:val="bottom"/>
            <w:tcBorders>
              <w:top w:val="single" w:sz="8" w:color="CFF0FC"/>
            </w:tcBorders>
            <w:gridSpan w:val="3"/>
          </w:tcPr>
          <w:p>
            <w:pPr>
              <w:ind w:left="620"/>
              <w:spacing w:after="0" w:line="143" w:lineRule="exact"/>
              <w:rPr>
                <w:sz w:val="20"/>
                <w:szCs w:val="20"/>
                <w:color w:val="auto"/>
              </w:rPr>
            </w:pPr>
            <w:r>
              <w:rPr>
                <w:rFonts w:ascii="Times New Roman" w:cs="Times New Roman" w:eastAsia="Times New Roman" w:hAnsi="Times New Roman"/>
                <w:sz w:val="13"/>
                <w:szCs w:val="13"/>
                <w:color w:val="auto"/>
                <w:w w:val="86"/>
              </w:rPr>
              <w:t>3.39 %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Net interest margin</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3.29 %</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2.96 %</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6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86"/>
              </w:rPr>
              <w:t>3.57 %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Net interest margin - tax equivalent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3.30 %</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2.97 %</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86"/>
              </w:rPr>
              <w:t>3.59 %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-2012950</wp:posOffset>
            </wp:positionV>
            <wp:extent cx="76835"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-2012950</wp:posOffset>
            </wp:positionV>
            <wp:extent cx="76835"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-2012950</wp:posOffset>
            </wp:positionV>
            <wp:extent cx="76835"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-2012950</wp:posOffset>
            </wp:positionV>
            <wp:extent cx="68580"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-2012950</wp:posOffset>
            </wp:positionV>
            <wp:extent cx="68580"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-2012950</wp:posOffset>
            </wp:positionV>
            <wp:extent cx="68580"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-1798955</wp:posOffset>
            </wp:positionV>
            <wp:extent cx="7683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-1798955</wp:posOffset>
            </wp:positionV>
            <wp:extent cx="7683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-1798955</wp:posOffset>
            </wp:positionV>
            <wp:extent cx="6858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-1353820</wp:posOffset>
            </wp:positionV>
            <wp:extent cx="76835" cy="1111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-1353820</wp:posOffset>
            </wp:positionV>
            <wp:extent cx="76835" cy="111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-1353820</wp:posOffset>
            </wp:positionV>
            <wp:extent cx="76835" cy="1111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-1353820</wp:posOffset>
            </wp:positionV>
            <wp:extent cx="68580" cy="111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-1353820</wp:posOffset>
            </wp:positionV>
            <wp:extent cx="68580" cy="111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-1353820</wp:posOffset>
            </wp:positionV>
            <wp:extent cx="68580" cy="1111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-1062355</wp:posOffset>
            </wp:positionV>
            <wp:extent cx="76835"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-1062355</wp:posOffset>
            </wp:positionV>
            <wp:extent cx="7683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-1062355</wp:posOffset>
            </wp:positionV>
            <wp:extent cx="76835"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-1062355</wp:posOffset>
            </wp:positionV>
            <wp:extent cx="6858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-1062355</wp:posOffset>
            </wp:positionV>
            <wp:extent cx="6858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-1062355</wp:posOffset>
            </wp:positionV>
            <wp:extent cx="6858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-634365</wp:posOffset>
            </wp:positionV>
            <wp:extent cx="76835" cy="196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-634365</wp:posOffset>
            </wp:positionV>
            <wp:extent cx="76835"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-634365</wp:posOffset>
            </wp:positionV>
            <wp:extent cx="68580" cy="196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-334645</wp:posOffset>
            </wp:positionV>
            <wp:extent cx="3339465" cy="1282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39465" cy="128270"/>
                    </a:xfrm>
                    <a:prstGeom prst="rect">
                      <a:avLst/>
                    </a:prstGeom>
                    <a:noFill/>
                  </pic:spPr>
                </pic:pic>
              </a:graphicData>
            </a:graphic>
          </wp:anchor>
        </w:drawing>
      </w:r>
    </w:p>
    <w:p>
      <w:pPr>
        <w:spacing w:after="0" w:line="198" w:lineRule="exact"/>
        <w:rPr>
          <w:sz w:val="20"/>
          <w:szCs w:val="20"/>
          <w:color w:val="auto"/>
        </w:rPr>
      </w:pPr>
    </w:p>
    <w:p>
      <w:pPr>
        <w:ind w:left="1020" w:right="300" w:hanging="368"/>
        <w:spacing w:after="0" w:line="229"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a federal statutory rate of 21% in effect for the years ended December 31, 2022, 2021 and 2020. The non-TE rates for tax-advantaged HTM investment securities were 2.46%, 2.21% and 2.69% for the years ended December 31, 2022, 2021 and 2020, respectively. The non-TE rates for total investment securities was 2.00%, 1.53% and 2.04% for the years ended December 31, 2022, 2021 and 2020, respectively.</w:t>
      </w:r>
    </w:p>
    <w:p>
      <w:pPr>
        <w:ind w:left="1020" w:right="500" w:hanging="368"/>
        <w:spacing w:after="0" w:line="221"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$8.1 million, $27.5 million and $23.9 million for the years ended December 31, 2022, 2021 and 2020, respectively. Prepayment penalty fees of $6.9 million, $9.0 million and $8.2 million are included in interest income for the years ended December 31, 2022, 2021 and 2020, respectively.</w:t>
      </w:r>
    </w:p>
    <w:p>
      <w:pPr>
        <w:ind w:left="1020" w:hanging="368"/>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0" w:right="319" w:bottom="1440" w:gutter="0" w:footer="0" w:header="0"/>
        </w:sectPr>
      </w:pPr>
    </w:p>
    <w:bookmarkStart w:id="43" w:name="page44"/>
    <w:bookmarkEnd w:id="43"/>
    <w:p>
      <w:pPr>
        <w:ind w:right="220" w:firstLine="644"/>
        <w:spacing w:after="0" w:line="276" w:lineRule="auto"/>
        <w:rPr>
          <w:sz w:val="20"/>
          <w:szCs w:val="20"/>
          <w:color w:val="auto"/>
        </w:rPr>
      </w:pPr>
      <w:r>
        <w:rPr>
          <w:rFonts w:ascii="Times New Roman" w:cs="Times New Roman" w:eastAsia="Times New Roman" w:hAnsi="Times New Roman"/>
          <w:sz w:val="17"/>
          <w:szCs w:val="17"/>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Rate and Volume Analysis for Changes in Interest Income, Interest Expense and Net Interest Income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Comparison of Year Ended December 31,</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5"/>
          </w:tcPr>
          <w:p>
            <w:pPr>
              <w:jc w:val="right"/>
              <w:ind w:right="448"/>
              <w:spacing w:after="0" w:line="131" w:lineRule="exact"/>
              <w:rPr>
                <w:sz w:val="20"/>
                <w:szCs w:val="20"/>
                <w:color w:val="auto"/>
              </w:rPr>
            </w:pPr>
            <w:r>
              <w:rPr>
                <w:rFonts w:ascii="Times New Roman" w:cs="Times New Roman" w:eastAsia="Times New Roman" w:hAnsi="Times New Roman"/>
                <w:sz w:val="14"/>
                <w:szCs w:val="14"/>
                <w:b w:val="1"/>
                <w:bCs w:val="1"/>
                <w:color w:val="auto"/>
              </w:rPr>
              <w:t>2022 Compared to 2021</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gridSpan w:val="5"/>
          </w:tcPr>
          <w:p>
            <w:pPr>
              <w:jc w:val="right"/>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2021 Compared to 2020</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28"/>
              <w:spacing w:after="0" w:line="131" w:lineRule="exact"/>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1"/>
                <w:szCs w:val="11"/>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388"/>
              <w:spacing w:after="0" w:line="131" w:lineRule="exact"/>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1"/>
                <w:szCs w:val="11"/>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380"/>
              <w:spacing w:after="0" w:line="139" w:lineRule="exact"/>
              <w:rPr>
                <w:sz w:val="20"/>
                <w:szCs w:val="20"/>
                <w:color w:val="auto"/>
              </w:rPr>
            </w:pPr>
            <w:r>
              <w:rPr>
                <w:rFonts w:ascii="Times New Roman" w:cs="Times New Roman" w:eastAsia="Times New Roman" w:hAnsi="Times New Roman"/>
                <w:sz w:val="14"/>
                <w:szCs w:val="14"/>
                <w:color w:val="auto"/>
              </w:rPr>
              <w:t>Taxable investment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9,413</w:t>
            </w:r>
          </w:p>
        </w:tc>
        <w:tc>
          <w:tcPr>
            <w:tcW w:w="26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16,675</w:t>
            </w:r>
          </w:p>
        </w:tc>
        <w:tc>
          <w:tcPr>
            <w:tcW w:w="24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24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30,271</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18,449</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(10,522 )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(5,524 )</w:t>
            </w:r>
          </w:p>
        </w:tc>
        <w:tc>
          <w:tcPr>
            <w:tcW w:w="2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securities</w:t>
            </w:r>
          </w:p>
        </w:tc>
        <w:tc>
          <w:tcPr>
            <w:tcW w:w="140" w:type="dxa"/>
            <w:vAlign w:val="bottom"/>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380"/>
              <w:spacing w:after="0" w:line="139" w:lineRule="exact"/>
              <w:rPr>
                <w:sz w:val="20"/>
                <w:szCs w:val="20"/>
                <w:color w:val="auto"/>
              </w:rPr>
            </w:pPr>
            <w:r>
              <w:rPr>
                <w:rFonts w:ascii="Times New Roman" w:cs="Times New Roman" w:eastAsia="Times New Roman" w:hAnsi="Times New Roman"/>
                <w:sz w:val="14"/>
                <w:szCs w:val="14"/>
                <w:color w:val="auto"/>
              </w:rPr>
              <w:t>Tax-advantaged investment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(69 )</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(4 )</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(180 )</w:t>
            </w:r>
          </w:p>
        </w:tc>
        <w:tc>
          <w:tcPr>
            <w:tcW w:w="120" w:type="dxa"/>
            <w:vAlign w:val="bottom"/>
          </w:tcPr>
          <w:p>
            <w:pPr>
              <w:spacing w:after="0"/>
              <w:rPr>
                <w:sz w:val="12"/>
                <w:szCs w:val="12"/>
                <w:color w:val="auto"/>
              </w:rPr>
            </w:pPr>
          </w:p>
        </w:tc>
        <w:tc>
          <w:tcPr>
            <w:tcW w:w="9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0" w:type="dxa"/>
            <w:vAlign w:val="bottom"/>
          </w:tcPr>
          <w:p>
            <w:pPr>
              <w:spacing w:after="0"/>
              <w:rPr>
                <w:sz w:val="1"/>
                <w:szCs w:val="1"/>
                <w:color w:val="auto"/>
              </w:rPr>
            </w:pPr>
          </w:p>
        </w:tc>
      </w:tr>
      <w:tr>
        <w:trPr>
          <w:trHeight w:val="185"/>
        </w:trPr>
        <w:tc>
          <w:tcPr>
            <w:tcW w:w="2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securities</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380"/>
              <w:spacing w:after="0" w:line="139" w:lineRule="exact"/>
              <w:rPr>
                <w:sz w:val="20"/>
                <w:szCs w:val="20"/>
                <w:color w:val="auto"/>
              </w:rPr>
            </w:pPr>
            <w:r>
              <w:rPr>
                <w:rFonts w:ascii="Times New Roman" w:cs="Times New Roman" w:eastAsia="Times New Roman" w:hAnsi="Times New Roman"/>
                <w:sz w:val="14"/>
                <w:szCs w:val="14"/>
                <w:color w:val="auto"/>
              </w:rPr>
              <w:t>Taxable investment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21,048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(1,267 )</w:t>
            </w:r>
          </w:p>
        </w:tc>
        <w:tc>
          <w:tcPr>
            <w:tcW w:w="140" w:type="dxa"/>
            <w:vAlign w:val="bottom"/>
          </w:tcPr>
          <w:p>
            <w:pPr>
              <w:spacing w:after="0"/>
              <w:rPr>
                <w:sz w:val="12"/>
                <w:szCs w:val="12"/>
                <w:color w:val="auto"/>
              </w:rPr>
            </w:pP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(1,647 )</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securities</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380"/>
              <w:spacing w:after="0" w:line="139" w:lineRule="exact"/>
              <w:rPr>
                <w:sz w:val="20"/>
                <w:szCs w:val="20"/>
                <w:color w:val="auto"/>
              </w:rPr>
            </w:pPr>
            <w:r>
              <w:rPr>
                <w:rFonts w:ascii="Times New Roman" w:cs="Times New Roman" w:eastAsia="Times New Roman" w:hAnsi="Times New Roman"/>
                <w:sz w:val="14"/>
                <w:szCs w:val="14"/>
                <w:color w:val="auto"/>
              </w:rPr>
              <w:t>Tax-advantaged investment</w:t>
            </w:r>
          </w:p>
        </w:tc>
        <w:tc>
          <w:tcPr>
            <w:tcW w:w="1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(844 )</w:t>
            </w:r>
          </w:p>
        </w:tc>
        <w:tc>
          <w:tcPr>
            <w:tcW w:w="14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(130 )</w:t>
            </w:r>
          </w:p>
        </w:tc>
        <w:tc>
          <w:tcPr>
            <w:tcW w:w="2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securities</w:t>
            </w:r>
          </w:p>
        </w:tc>
        <w:tc>
          <w:tcPr>
            <w:tcW w:w="1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in FHLB stock</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Interest-earning deposits with</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(1,511 )</w:t>
            </w: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13,724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(8,069 )</w:t>
            </w: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(237 )</w:t>
            </w:r>
          </w:p>
        </w:tc>
        <w:tc>
          <w:tcPr>
            <w:tcW w:w="14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(184 )</w:t>
            </w: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institutions</w:t>
            </w: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Loans</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tcPr>
          <w:p>
            <w:pPr>
              <w:spacing w:after="0"/>
              <w:rPr>
                <w:sz w:val="15"/>
                <w:szCs w:val="15"/>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(20,782 )</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(20,808 )</w:t>
            </w:r>
          </w:p>
        </w:tc>
        <w:tc>
          <w:tcPr>
            <w:tcW w:w="0" w:type="dxa"/>
            <w:vAlign w:val="bottom"/>
          </w:tcPr>
          <w:p>
            <w:pPr>
              <w:spacing w:after="0"/>
              <w:rPr>
                <w:sz w:val="1"/>
                <w:szCs w:val="1"/>
                <w:color w:val="auto"/>
              </w:rPr>
            </w:pPr>
          </w:p>
        </w:tc>
      </w:tr>
      <w:tr>
        <w:trPr>
          <w:trHeight w:val="169"/>
        </w:trPr>
        <w:tc>
          <w:tcPr>
            <w:tcW w:w="2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interest income</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58,367</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37,536</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94,038</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31,389</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(33,613</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(7,483</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Savings deposits</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(5,359 )</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(1,091 )</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(4,658 )</w:t>
            </w:r>
          </w:p>
        </w:tc>
        <w:tc>
          <w:tcPr>
            <w:tcW w:w="0" w:type="dxa"/>
            <w:vAlign w:val="bottom"/>
          </w:tcPr>
          <w:p>
            <w:pPr>
              <w:spacing w:after="0"/>
              <w:rPr>
                <w:sz w:val="1"/>
                <w:szCs w:val="1"/>
                <w:color w:val="auto"/>
              </w:rPr>
            </w:pPr>
          </w:p>
        </w:tc>
      </w:tr>
      <w:tr>
        <w:trPr>
          <w:trHeight w:val="175"/>
        </w:trPr>
        <w:tc>
          <w:tcPr>
            <w:tcW w:w="2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Time deposits</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(951 )</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(962 )</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(599 )</w:t>
            </w:r>
          </w:p>
        </w:tc>
        <w:tc>
          <w:tcPr>
            <w:tcW w:w="120" w:type="dxa"/>
            <w:vAlign w:val="bottom"/>
          </w:tcPr>
          <w:p>
            <w:pPr>
              <w:spacing w:after="0"/>
              <w:rPr>
                <w:sz w:val="15"/>
                <w:szCs w:val="15"/>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(2,373 )</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(2,598 )</w:t>
            </w: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FHLB advances, other</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borrowings, and customer</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(29 )</w:t>
            </w: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(1,081 )</w:t>
            </w:r>
          </w:p>
        </w:tc>
        <w:tc>
          <w:tcPr>
            <w:tcW w:w="14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(239 )</w:t>
            </w:r>
          </w:p>
        </w:tc>
        <w:tc>
          <w:tcPr>
            <w:tcW w:w="2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(948 )</w:t>
            </w:r>
          </w:p>
        </w:tc>
        <w:tc>
          <w:tcPr>
            <w:tcW w:w="0" w:type="dxa"/>
            <w:vAlign w:val="bottom"/>
          </w:tcPr>
          <w:p>
            <w:pPr>
              <w:spacing w:after="0"/>
              <w:rPr>
                <w:sz w:val="1"/>
                <w:szCs w:val="1"/>
                <w:color w:val="auto"/>
              </w:rPr>
            </w:pPr>
          </w:p>
        </w:tc>
      </w:tr>
      <w:tr>
        <w:trPr>
          <w:trHeight w:val="171"/>
        </w:trPr>
        <w:tc>
          <w:tcPr>
            <w:tcW w:w="2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repurchase agreements</w:t>
            </w: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interest expense</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(8,813 )</w:t>
            </w:r>
          </w:p>
        </w:tc>
        <w:tc>
          <w:tcPr>
            <w:tcW w:w="14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(956 )</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(8,204 )</w:t>
            </w:r>
          </w:p>
        </w:tc>
        <w:tc>
          <w:tcPr>
            <w:tcW w:w="0" w:type="dxa"/>
            <w:vAlign w:val="bottom"/>
          </w:tcPr>
          <w:p>
            <w:pPr>
              <w:spacing w:after="0"/>
              <w:rPr>
                <w:sz w:val="1"/>
                <w:szCs w:val="1"/>
                <w:color w:val="auto"/>
              </w:rPr>
            </w:pPr>
          </w:p>
        </w:tc>
      </w:tr>
      <w:tr>
        <w:trPr>
          <w:trHeight w:val="209"/>
        </w:trPr>
        <w:tc>
          <w:tcPr>
            <w:tcW w:w="2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interest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57,832</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35,245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90,963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29,824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(24,800</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(6,527</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-898525</wp:posOffset>
            </wp:positionV>
            <wp:extent cx="76835"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-898525</wp:posOffset>
            </wp:positionV>
            <wp:extent cx="76835"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-898525</wp:posOffset>
            </wp:positionV>
            <wp:extent cx="76835"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-898525</wp:posOffset>
            </wp:positionV>
            <wp:extent cx="6858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-898525</wp:posOffset>
            </wp:positionV>
            <wp:extent cx="6858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-898525</wp:posOffset>
            </wp:positionV>
            <wp:extent cx="6858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-898525</wp:posOffset>
            </wp:positionV>
            <wp:extent cx="6858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-264795</wp:posOffset>
            </wp:positionV>
            <wp:extent cx="76835" cy="128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-264795</wp:posOffset>
            </wp:positionV>
            <wp:extent cx="76835"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-264795</wp:posOffset>
            </wp:positionV>
            <wp:extent cx="76835"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-264795</wp:posOffset>
            </wp:positionV>
            <wp:extent cx="68580" cy="1282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-264795</wp:posOffset>
            </wp:positionV>
            <wp:extent cx="68580" cy="1282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-264795</wp:posOffset>
            </wp:positionV>
            <wp:extent cx="68580" cy="128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-264795</wp:posOffset>
            </wp:positionV>
            <wp:extent cx="68580" cy="128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2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-7620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-24765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-7620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-24765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-7620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186" w:lineRule="exact"/>
        <w:rPr>
          <w:sz w:val="20"/>
          <w:szCs w:val="20"/>
          <w:color w:val="auto"/>
        </w:rPr>
      </w:pPr>
    </w:p>
    <w:p>
      <w:pPr>
        <w:ind w:right="20" w:firstLine="637"/>
        <w:spacing w:after="0" w:line="258" w:lineRule="auto"/>
        <w:rPr>
          <w:sz w:val="20"/>
          <w:szCs w:val="20"/>
          <w:color w:val="auto"/>
        </w:rPr>
      </w:pPr>
      <w:r>
        <w:rPr>
          <w:rFonts w:ascii="Times New Roman" w:cs="Times New Roman" w:eastAsia="Times New Roman" w:hAnsi="Times New Roman"/>
          <w:sz w:val="18"/>
          <w:szCs w:val="18"/>
          <w:color w:val="auto"/>
        </w:rPr>
        <w:t>Net interest income, before provision for (recapture of) credit losses of $505.5 million for 2022 increased $91.0 million, or 21.94%, compared to $414.6 million for 2021. Interest-earning assets grew on average by $1.34 billion, or 9.54%, from $14.10 billion for 2021 to $15.44 billion for 2022. Our net interest margin (TE) was 3.30% for 2022, compared to 2.97% for 2021. The 33 basis point increase in our net interest margin was primarily the result of a 34 basis point increase in earning asset yield, while maintaining our very low cost of funds that increased from five basis points for 2021 to six basis for 2022, during a period of time when the Federal Reserve increased short-term interest rates by 425 basis points.</w:t>
      </w:r>
    </w:p>
    <w:p>
      <w:pPr>
        <w:spacing w:after="0" w:line="155"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Total interest income for 2022 of $514.7 million grew by $94.0 million, or 22.36%, when compared to 2021. The increase in interest income was due to a combination of growth in average interest-earning assets of $1.34 billion and a 34 basis point expansion of the earning asset yield, from 3.02% for 2021 to 3.36% for 2022. The $1.34 billion increase in average earning assets for 2022 benefited from the acquisition of $775 million of loans from Suncrest at the beginning of the year, as well as core loan growth, which excluding Suncrest and the $538.3 million decline in average PPP loans was $374.7 million, and a $1.88 billion increase in the average size of our investment portfolio. The 34 basis point increase in the earning asset yield was due to a 47 basis point increase in security yields, a seven basis point increase in loan yields, and a change in the composition of average earning assets, with the investment portfolio growing from 28.79% to 38.47% of average earnings assets, while funds held at the Federal Reserve on average declined from 13.64% to 5.15% for 2022, compared to 2021. Average loans as a percentage of earning assets declined from 57.22% for 2021 to 56.20% for 2022. Throughout 2022, we deployed some of the excess liquidity previously held on deposit at the Federal Reserve into additional investment securities by purchasing approximately $1.76 billion in securities.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4" w:name="page45"/>
    <w:bookmarkEnd w:id="44"/>
    <w:p>
      <w:pPr>
        <w:ind w:firstLine="637"/>
        <w:spacing w:after="0" w:line="254" w:lineRule="auto"/>
        <w:rPr>
          <w:sz w:val="20"/>
          <w:szCs w:val="20"/>
          <w:color w:val="auto"/>
        </w:rPr>
      </w:pPr>
      <w:r>
        <w:rPr>
          <w:rFonts w:ascii="Times New Roman" w:cs="Times New Roman" w:eastAsia="Times New Roman" w:hAnsi="Times New Roman"/>
          <w:sz w:val="18"/>
          <w:szCs w:val="18"/>
          <w:color w:val="auto"/>
        </w:rPr>
        <w:t>Total interest income and fees on loans for 2022 of $389.2 million increased $32.6 million, or 9.14% when compared to 2021. The increase in interest income and fees on loans was primarily due to a $610.9 million increase in average loans, which included approximately $775 million in loans acquired from Suncrest on January 7, 2022. Average loans grew by approximately $374.7 million, when Suncrest and the $538.3 million decrease in average PPP loans are excluded. Loan yields were 4.49% for 2022, compared to 4.42% for 2021. Interest and fee income from PPP loans declined by $25.0 million from $30.5 million for 2021. Discount accretion on acquired loans decreased by $4.4 million compared to 2021. After excluding discount accretion, nonaccrual interest income and the impact from PPP loans, our ("core") loan yields grew by 17 basis points compared to 2021. Our core loan yields grew throughout 2022, as rising interest rates contributed to an increase from 4.08% in the fourth quarter of 2021 to 4.42% for the third quarter of 2022 and 4.67% in the fourth quarter of 2022.</w:t>
      </w:r>
    </w:p>
    <w:p>
      <w:pPr>
        <w:spacing w:after="0" w:line="162" w:lineRule="exact"/>
        <w:rPr>
          <w:sz w:val="20"/>
          <w:szCs w:val="20"/>
          <w:color w:val="auto"/>
        </w:rPr>
      </w:pPr>
    </w:p>
    <w:p>
      <w:pPr>
        <w:ind w:right="40" w:firstLine="637"/>
        <w:spacing w:after="0" w:line="260" w:lineRule="auto"/>
        <w:rPr>
          <w:sz w:val="20"/>
          <w:szCs w:val="20"/>
          <w:color w:val="auto"/>
        </w:rPr>
      </w:pPr>
      <w:r>
        <w:rPr>
          <w:rFonts w:ascii="Times New Roman" w:cs="Times New Roman" w:eastAsia="Times New Roman" w:hAnsi="Times New Roman"/>
          <w:sz w:val="18"/>
          <w:szCs w:val="18"/>
          <w:color w:val="auto"/>
        </w:rPr>
        <w:t>In general, we stop accruing interest on a loan after its principal or interest becomes 90 days or more past due. When a loan is placed on nonaccrual, all interest previously accrued but not collected is charged against earnings. There was no interest income that was accrued and not reversed on nonaccrual loans at December 31, 2022 and 2021. As of December 31, 2022 and 2021, we had $4.9 million and $6.9 million of nonaccrual loans, respectively.</w:t>
      </w:r>
    </w:p>
    <w:p>
      <w:pPr>
        <w:spacing w:after="0" w:line="141"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color w:val="auto"/>
        </w:rPr>
        <w:t>Interest income from investment securities was $117.6 million for 2022, a $57.1 million, or 94.47%, increase from $60.4 million for 2021. Investment income growth resulted from higher levels of investment securities as a result of purchases of investment securities primarily funded by our funds on deposit at the Federal Reserve, which declined from $1.64 billion at the end of 2021 to $45.2 million at December 31, 2022. As our excess liquidity held at the Federal Reserve was invested into higher yielding investments, our balance at the Federal Reserve averaged $795.8 million for 2022, compared to $1.92 billion for 2021. Investment securities were $5.94 billion on average in 2022, a $1.88 billion increase compared to 2021. During 2022, we purchased approximately $1.76 billion in investment securities, with expected non-TE weighted average yield of approximately 2.94%. Overall, the tax-equivalent yield on securities grew from 1.56% in 2021 to 2.03% in 2022.</w:t>
      </w:r>
    </w:p>
    <w:p>
      <w:pPr>
        <w:spacing w:after="0" w:line="146" w:lineRule="exact"/>
        <w:rPr>
          <w:sz w:val="20"/>
          <w:szCs w:val="20"/>
          <w:color w:val="auto"/>
        </w:rPr>
      </w:pPr>
    </w:p>
    <w:p>
      <w:pPr>
        <w:ind w:right="60" w:firstLine="637"/>
        <w:spacing w:after="0" w:line="271" w:lineRule="auto"/>
        <w:rPr>
          <w:sz w:val="20"/>
          <w:szCs w:val="20"/>
          <w:color w:val="auto"/>
        </w:rPr>
      </w:pPr>
      <w:r>
        <w:rPr>
          <w:rFonts w:ascii="Times New Roman" w:cs="Times New Roman" w:eastAsia="Times New Roman" w:hAnsi="Times New Roman"/>
          <w:sz w:val="17"/>
          <w:szCs w:val="17"/>
          <w:color w:val="auto"/>
        </w:rPr>
        <w:t>Interest expense of $9.2 million for 2022 increased $3.1 million, or 50.58%, compared to $6.1 million for 2021. Although short-term interest rates were 425 basis points higher by the end of 2022 in comparison to the end of the prior year, the average rate paid on interest-bearing liabilities increased by four basis points, to 0.16% for 2022 from 0.12% for 2021. As interest-bearing deposit costs only increased by one basis point, this four basis point increase was the result of overnight borrowings during the fourth quarter of 2022. Average interest-bearing liabilities were $589.9 million higher for 2022 when compared to 2021. On average, noninterest-bearing deposits were 62.85% of our total deposits for 2022, compared to 62.83% for 2021. Our overall cost of funds increased by one basis point compared to 2021, partially due to growth in average noninterest-bearing deposits of $1.02 billion, compared to the increase in average interest-bearing deposits of $600.0 million. Due to recent increases in market rates, we experienced some pressure to increase deposit rates, as reflected in our interest-bearing deposit costs increasing from 13 basis points in the third quarter to 22 basis points in the fourth quarter of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186" w:lineRule="exact"/>
        <w:rPr>
          <w:sz w:val="20"/>
          <w:szCs w:val="20"/>
          <w:color w:val="auto"/>
        </w:rPr>
      </w:pPr>
    </w:p>
    <w:p>
      <w:pPr>
        <w:jc w:val="both"/>
        <w:ind w:right="340" w:firstLine="637"/>
        <w:spacing w:after="0" w:line="265" w:lineRule="auto"/>
        <w:rPr>
          <w:sz w:val="20"/>
          <w:szCs w:val="20"/>
          <w:color w:val="auto"/>
        </w:rPr>
      </w:pPr>
      <w:r>
        <w:rPr>
          <w:rFonts w:ascii="Times New Roman" w:cs="Times New Roman" w:eastAsia="Times New Roman" w:hAnsi="Times New Roman"/>
          <w:sz w:val="18"/>
          <w:szCs w:val="18"/>
          <w:color w:val="auto"/>
        </w:rPr>
        <w:t>Net interest income of $414.6 million for 2021 decreased $1.5 million, or 0.36%, compared to $416.1 million for 2020. Interest-earning assets increased on average by $2.41 billion, or 20.61%, from $11.69 billion for 2020 to $14.10 billion for 2021. Our net interest margin (TE) was 2.97% for 2021, compared to 3.59% for 2020.</w:t>
      </w:r>
    </w:p>
    <w:p>
      <w:pPr>
        <w:spacing w:after="0" w:line="137" w:lineRule="exact"/>
        <w:rPr>
          <w:sz w:val="20"/>
          <w:szCs w:val="20"/>
          <w:color w:val="auto"/>
        </w:rPr>
      </w:pPr>
    </w:p>
    <w:p>
      <w:pPr>
        <w:ind w:right="60" w:firstLine="637"/>
        <w:spacing w:after="0" w:line="254" w:lineRule="auto"/>
        <w:rPr>
          <w:sz w:val="20"/>
          <w:szCs w:val="20"/>
          <w:color w:val="auto"/>
        </w:rPr>
      </w:pPr>
      <w:r>
        <w:rPr>
          <w:rFonts w:ascii="Times New Roman" w:cs="Times New Roman" w:eastAsia="Times New Roman" w:hAnsi="Times New Roman"/>
          <w:sz w:val="18"/>
          <w:szCs w:val="18"/>
          <w:color w:val="auto"/>
        </w:rPr>
        <w:t>Interest income for 2021 of $420.6 million declined by $9.7 million, or 2.26%, when compared to 2020, as interest income and fees on loans declined by $20.8 million, or 5.51%, year-over-year. Compared to 2020, average interest-earning assets increased by $2.41 billion and the yield on average earning assets was 3.02% for 2021, compared to 3.71% for 2020. The 69 basis point decrease in the interest-earning asset yield over 2020 resulted from a 26 basis point decrease in loan yields from 4.68% for 2020 to 4.42% for 2021, and a 51 basis point decline in the non-tax equivalent investment yields, as well as a change in mix of earning assets, resulting from an $857.5 million increase in average balances at the Federal Reserve. The decrease in earning asset yield was impacted by a change in asset mix with average loan balances declining to 57.22% of earning assets for 2021, compared to 69.02% for 2020, as well as lower loan and investment yields. Conversely the average balances at the Federal Reserve grew as a percentage of average earning assets to 13.64% for 2021, compared to 9.11% for 2020.</w:t>
      </w:r>
    </w:p>
    <w:p>
      <w:pPr>
        <w:spacing w:after="0" w:line="162" w:lineRule="exact"/>
        <w:rPr>
          <w:sz w:val="20"/>
          <w:szCs w:val="20"/>
          <w:color w:val="auto"/>
        </w:rPr>
      </w:pPr>
    </w:p>
    <w:p>
      <w:pPr>
        <w:ind w:right="80" w:firstLine="637"/>
        <w:spacing w:after="0" w:line="256" w:lineRule="auto"/>
        <w:rPr>
          <w:sz w:val="20"/>
          <w:szCs w:val="20"/>
          <w:color w:val="auto"/>
        </w:rPr>
      </w:pPr>
      <w:r>
        <w:rPr>
          <w:rFonts w:ascii="Times New Roman" w:cs="Times New Roman" w:eastAsia="Times New Roman" w:hAnsi="Times New Roman"/>
          <w:sz w:val="18"/>
          <w:szCs w:val="18"/>
          <w:color w:val="auto"/>
        </w:rPr>
        <w:t>Interest income and fees on loans for 2021 of $356.6 million decreased $20.8 million, or 5.51% when compared to 2020. The average balance of loans was essentially the same in 2021 when compared to 2020, as core loans grew on average by $85.1 million, while PPP loans on average decreased $85.7 million. Loan yields decreased by 26 basis points from 2020. PPP loans resulted in approximately $24.3 million in fee income and $6.2 million in loan interest during 2021, compared to $21.4 million in fee income and $7.1 million in loan interest during 2020. Discount accretion on acquired loans and nonrecurring nonaccrual interest paid decreased by $5.2 million compared to 2020. The decline in interest rates since the start of the pandemic has had a negative impact on loan yields, which, after excluding discount accretion, nonaccrual interest</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5" w:name="page46"/>
    <w:bookmarkEnd w:id="45"/>
    <w:p>
      <w:pPr>
        <w:spacing w:after="0" w:line="312" w:lineRule="auto"/>
        <w:rPr>
          <w:sz w:val="20"/>
          <w:szCs w:val="20"/>
          <w:color w:val="auto"/>
        </w:rPr>
      </w:pPr>
      <w:r>
        <w:rPr>
          <w:rFonts w:ascii="Times New Roman" w:cs="Times New Roman" w:eastAsia="Times New Roman" w:hAnsi="Times New Roman"/>
          <w:sz w:val="17"/>
          <w:szCs w:val="17"/>
          <w:color w:val="auto"/>
        </w:rPr>
        <w:t>income and the impact from PPP loans, declined by 27 basis points compared to 2020. The decline in loan yields was due to lower rates on loans indexed to variable interest rates such as the Bank’s prime rate and lower yields on new loans in the low rate environment experienced for much of the last two years.</w:t>
      </w:r>
    </w:p>
    <w:p>
      <w:pPr>
        <w:spacing w:after="0" w:line="112" w:lineRule="exact"/>
        <w:rPr>
          <w:sz w:val="20"/>
          <w:szCs w:val="20"/>
          <w:color w:val="auto"/>
        </w:rPr>
      </w:pPr>
    </w:p>
    <w:p>
      <w:pPr>
        <w:ind w:right="220" w:firstLine="637"/>
        <w:spacing w:after="0" w:line="281" w:lineRule="auto"/>
        <w:rPr>
          <w:sz w:val="20"/>
          <w:szCs w:val="20"/>
          <w:color w:val="auto"/>
        </w:rPr>
      </w:pPr>
      <w:r>
        <w:rPr>
          <w:rFonts w:ascii="Times New Roman" w:cs="Times New Roman" w:eastAsia="Times New Roman" w:hAnsi="Times New Roman"/>
          <w:sz w:val="18"/>
          <w:szCs w:val="18"/>
          <w:color w:val="auto"/>
        </w:rPr>
        <w:t>There was no interest income that was accrued and not reversed on nonaccrual loans at December 31, 2021 and 2020. As of December 31, 2021 and 2020, we had $6.9 million and $14.3 million of nonaccrual loans, respectively.</w:t>
      </w:r>
    </w:p>
    <w:p>
      <w:pPr>
        <w:spacing w:after="0" w:line="122" w:lineRule="exact"/>
        <w:rPr>
          <w:sz w:val="20"/>
          <w:szCs w:val="20"/>
          <w:color w:val="auto"/>
        </w:rPr>
      </w:pPr>
    </w:p>
    <w:p>
      <w:pPr>
        <w:ind w:right="60" w:firstLine="637"/>
        <w:spacing w:after="0" w:line="255" w:lineRule="auto"/>
        <w:rPr>
          <w:sz w:val="20"/>
          <w:szCs w:val="20"/>
          <w:color w:val="auto"/>
        </w:rPr>
      </w:pPr>
      <w:r>
        <w:rPr>
          <w:rFonts w:ascii="Times New Roman" w:cs="Times New Roman" w:eastAsia="Times New Roman" w:hAnsi="Times New Roman"/>
          <w:sz w:val="18"/>
          <w:szCs w:val="18"/>
          <w:color w:val="auto"/>
        </w:rPr>
        <w:t>Interest income from investment securities was $60.4 million for 2021, a $10.2 million, or 20.23%, increase from $50.3 million for 2020. Investment income growth resulted from higher levels of investment securities as a result of purchases of investment securities funded by the growth in the Bank's deposits. This increase was the net result of a $1.55 billion increase in average investment securities, partially offset by a 51 basis point decline in the non TE yield on securities, compared to 2020. The significant decline in interest rates from 2020 to 2021 decreased yields on investment securities due partly to higher levels of premium amortization, as well as lower yields on investments purchased during the years of 2020 and 2021. We continued to maintain a significant amount of funds at the Federal Reserve in 2021. Our Federal Reserve balance averaged more than $1.9 billion for 2021, which was $857,000 greater than the average for 2020.</w:t>
      </w:r>
    </w:p>
    <w:p>
      <w:pPr>
        <w:spacing w:after="0" w:line="146" w:lineRule="exact"/>
        <w:rPr>
          <w:sz w:val="20"/>
          <w:szCs w:val="20"/>
          <w:color w:val="auto"/>
        </w:rPr>
      </w:pPr>
    </w:p>
    <w:p>
      <w:pPr>
        <w:ind w:right="100" w:firstLine="637"/>
        <w:spacing w:after="0" w:line="258" w:lineRule="auto"/>
        <w:rPr>
          <w:sz w:val="20"/>
          <w:szCs w:val="20"/>
          <w:color w:val="auto"/>
        </w:rPr>
      </w:pPr>
      <w:r>
        <w:rPr>
          <w:rFonts w:ascii="Times New Roman" w:cs="Times New Roman" w:eastAsia="Times New Roman" w:hAnsi="Times New Roman"/>
          <w:sz w:val="18"/>
          <w:szCs w:val="18"/>
          <w:color w:val="auto"/>
        </w:rPr>
        <w:t>Interest expense of $6.1 million for 2021 decreased $8.2 million, or 57.43%, compared to $14.3 million for 2020. The average rate paid on interest-bearing liabilities decreased by 20 basis points, to 0.12% for 2021, from 0.32% for 2020. Average interest-bearing liabilities were $761.1 million higher for 2021 when compared to 2020. Noninterest-bearing deposits grew on average by $1.54 billion, or 24.45% compared to 2020, while interest-bearing deposits and customer repurchase agreements grew on average by $779.0 million for 2021. On average, noninterest-bearing deposits were 62.83% of our total deposits for 2021, compared to 61.24% for 2020. Total cost of funds was 0.05% for 2021, compared with 0.13% for 2020.</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88" w:lineRule="exact"/>
        <w:rPr>
          <w:sz w:val="20"/>
          <w:szCs w:val="20"/>
          <w:color w:val="auto"/>
        </w:rPr>
      </w:pPr>
    </w:p>
    <w:p>
      <w:pPr>
        <w:ind w:right="240" w:firstLine="637"/>
        <w:spacing w:after="0" w:line="281" w:lineRule="auto"/>
        <w:rPr>
          <w:sz w:val="20"/>
          <w:szCs w:val="20"/>
          <w:color w:val="auto"/>
        </w:rPr>
      </w:pPr>
      <w:r>
        <w:rPr>
          <w:rFonts w:ascii="Times New Roman" w:cs="Times New Roman" w:eastAsia="Times New Roman" w:hAnsi="Times New Roman"/>
          <w:sz w:val="18"/>
          <w:szCs w:val="18"/>
          <w:color w:val="auto"/>
        </w:rPr>
        <w:t>The provision for (recapture of) credit losses is a charge (credit) to earnings to maintain the allowance for credit losses at a level consistent with management’s assessment of expected lifetime losses in the loan portfolio as of the balance sheet date.</w:t>
      </w:r>
    </w:p>
    <w:p>
      <w:pPr>
        <w:spacing w:after="0" w:line="122" w:lineRule="exact"/>
        <w:rPr>
          <w:sz w:val="20"/>
          <w:szCs w:val="20"/>
          <w:color w:val="auto"/>
        </w:rPr>
      </w:pPr>
    </w:p>
    <w:p>
      <w:pPr>
        <w:ind w:right="20" w:firstLine="681"/>
        <w:spacing w:after="0" w:line="253" w:lineRule="auto"/>
        <w:rPr>
          <w:sz w:val="20"/>
          <w:szCs w:val="20"/>
          <w:color w:val="auto"/>
        </w:rPr>
      </w:pPr>
      <w:r>
        <w:rPr>
          <w:rFonts w:ascii="Times New Roman" w:cs="Times New Roman" w:eastAsia="Times New Roman" w:hAnsi="Times New Roman"/>
          <w:sz w:val="18"/>
          <w:szCs w:val="18"/>
          <w:color w:val="auto"/>
        </w:rPr>
        <w:t>We recorded provision for credit losses of $10.6 million in 2022 due to both core loan growth of approximately $600 million and a deteriorating economic forecast of key macroeconomic variables. During 2022, we experienced credit charge-offs of $197,000 and total recoveries of $1.1 million, resulting in net recoveries of $893,000. A $25.5 million recapture of provision for credit losses was recorded for the year ended December 31, 2021, resulting from improvements in our economic forecast that resulted from the unprecedented impact and uncertainty of the pandemic in 2020. This recapture, generally reversed the increase in the allowance for credit loss for 2020 that was due to the severe economic disruption forecasted as a result of the onset of the COVID-19 pandemic. For 2021, we experienced credit charge-offs of $3.4 million and total recoveries of $198,000, resulting in net charge-offs of $3.2 million. Our economic forecast continues to be a blend of multiple forecasts produced by Moody’s. These U.S. economic forecasts include a baseline forecast, as well as downside forecasts. We continue to have the largest individual scenario weighting on the baseline forecast, with downside risks weighted among multiple forecasts. As of December 31, 2022, the resulting weighted forecast assumes GDP will increase by 0.3% in 2023, including a decline in GDP for the first half of 2023, followed by modest growth of 1.3% for 2024 and then grow by 2.8% in 2025. The unemployment rate is forecasted to be 4.8% in 2023, 5.1% in 2024 and then decline to 4.5% in 2025.</w:t>
      </w:r>
    </w:p>
    <w:p>
      <w:pPr>
        <w:spacing w:after="0" w:line="162" w:lineRule="exact"/>
        <w:rPr>
          <w:sz w:val="20"/>
          <w:szCs w:val="20"/>
          <w:color w:val="auto"/>
        </w:rPr>
      </w:pPr>
    </w:p>
    <w:p>
      <w:pPr>
        <w:ind w:right="100" w:firstLine="637"/>
        <w:spacing w:after="0" w:line="276" w:lineRule="auto"/>
        <w:rPr>
          <w:sz w:val="20"/>
          <w:szCs w:val="20"/>
          <w:color w:val="auto"/>
        </w:rPr>
      </w:pPr>
      <w:r>
        <w:rPr>
          <w:rFonts w:ascii="Times New Roman" w:cs="Times New Roman" w:eastAsia="Times New Roman" w:hAnsi="Times New Roman"/>
          <w:sz w:val="17"/>
          <w:szCs w:val="17"/>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the recent rise in interest rates, geopolitical events in Europe, and global inflation will have on future interest rates, unemployment, the overall economy and resulting impact on our customers. See “Allowance for Credit Losses” under </w:t>
      </w:r>
      <w:r>
        <w:rPr>
          <w:rFonts w:ascii="Times New Roman" w:cs="Times New Roman" w:eastAsia="Times New Roman" w:hAnsi="Times New Roman"/>
          <w:sz w:val="17"/>
          <w:szCs w:val="17"/>
          <w:i w:val="1"/>
          <w:iCs w:val="1"/>
          <w:color w:val="auto"/>
        </w:rPr>
        <w:t>Analysis of Financial Condition</w:t>
      </w:r>
      <w:r>
        <w:rPr>
          <w:rFonts w:ascii="Times New Roman" w:cs="Times New Roman" w:eastAsia="Times New Roman" w:hAnsi="Times New Roman"/>
          <w:sz w:val="17"/>
          <w:szCs w:val="17"/>
          <w:color w:val="auto"/>
        </w:rPr>
        <w:t xml:space="preserve"> herein.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88" w:lineRule="exact"/>
        <w:rPr>
          <w:sz w:val="20"/>
          <w:szCs w:val="20"/>
          <w:color w:val="auto"/>
        </w:rPr>
      </w:pPr>
    </w:p>
    <w:p>
      <w:pPr>
        <w:ind w:right="40" w:firstLine="637"/>
        <w:spacing w:after="0" w:line="260" w:lineRule="auto"/>
        <w:rPr>
          <w:sz w:val="20"/>
          <w:szCs w:val="20"/>
          <w:color w:val="auto"/>
        </w:rPr>
      </w:pPr>
      <w:r>
        <w:rPr>
          <w:rFonts w:ascii="Times New Roman" w:cs="Times New Roman" w:eastAsia="Times New Roman" w:hAnsi="Times New Roman"/>
          <w:sz w:val="18"/>
          <w:szCs w:val="18"/>
          <w:color w:val="auto"/>
        </w:rPr>
        <w:t>Noninterest income includes income derived from financial services offered to our customers, such as CitizensTrust, BankCard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noninterest income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 charges on deposit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21,382</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17,152</w:t>
            </w:r>
          </w:p>
        </w:tc>
        <w:tc>
          <w:tcPr>
            <w:tcW w:w="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16,561</w:t>
            </w:r>
          </w:p>
        </w:tc>
        <w:tc>
          <w:tcPr>
            <w:tcW w:w="2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24.66 %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3.57 %</w:t>
            </w:r>
          </w:p>
        </w:tc>
        <w:tc>
          <w:tcPr>
            <w:tcW w:w="0" w:type="dxa"/>
            <w:vAlign w:val="bottom"/>
          </w:tcPr>
          <w:p>
            <w:pPr>
              <w:spacing w:after="0"/>
              <w:rPr>
                <w:sz w:val="1"/>
                <w:szCs w:val="1"/>
                <w:color w:val="auto"/>
              </w:rPr>
            </w:pPr>
          </w:p>
        </w:tc>
      </w:tr>
      <w:tr>
        <w:trPr>
          <w:trHeight w:val="229"/>
        </w:trPr>
        <w:tc>
          <w:tcPr>
            <w:tcW w:w="2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Trust and investment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(53 )</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(0.46 )%</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15.97 %</w:t>
            </w:r>
          </w:p>
        </w:tc>
        <w:tc>
          <w:tcPr>
            <w:tcW w:w="0" w:type="dxa"/>
            <w:vAlign w:val="bottom"/>
          </w:tcPr>
          <w:p>
            <w:pPr>
              <w:spacing w:after="0"/>
              <w:rPr>
                <w:sz w:val="1"/>
                <w:szCs w:val="1"/>
                <w:color w:val="auto"/>
              </w:rPr>
            </w:pPr>
          </w:p>
        </w:tc>
      </w:tr>
      <w:tr>
        <w:trPr>
          <w:trHeight w:val="229"/>
        </w:trPr>
        <w:tc>
          <w:tcPr>
            <w:tcW w:w="2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Bankcard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(319 )</w:t>
            </w:r>
          </w:p>
        </w:tc>
        <w:tc>
          <w:tcPr>
            <w:tcW w:w="2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-17.83 %</w:t>
            </w:r>
          </w:p>
        </w:tc>
        <w:tc>
          <w:tcPr>
            <w:tcW w:w="3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(97 )</w:t>
            </w:r>
          </w:p>
        </w:tc>
        <w:tc>
          <w:tcPr>
            <w:tcW w:w="2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-5.14 %</w:t>
            </w:r>
          </w:p>
        </w:tc>
        <w:tc>
          <w:tcPr>
            <w:tcW w:w="0" w:type="dxa"/>
            <w:vAlign w:val="bottom"/>
          </w:tcPr>
          <w:p>
            <w:pPr>
              <w:spacing w:after="0"/>
              <w:rPr>
                <w:sz w:val="1"/>
                <w:szCs w:val="1"/>
                <w:color w:val="auto"/>
              </w:rPr>
            </w:pPr>
          </w:p>
        </w:tc>
      </w:tr>
      <w:tr>
        <w:trPr>
          <w:trHeight w:val="229"/>
        </w:trPr>
        <w:tc>
          <w:tcPr>
            <w:tcW w:w="2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BOLI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(3,144 )</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(36.99 )%</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4.94 %</w:t>
            </w:r>
          </w:p>
        </w:tc>
        <w:tc>
          <w:tcPr>
            <w:tcW w:w="0" w:type="dxa"/>
            <w:vAlign w:val="bottom"/>
          </w:tcPr>
          <w:p>
            <w:pPr>
              <w:spacing w:after="0"/>
              <w:rPr>
                <w:sz w:val="1"/>
                <w:szCs w:val="1"/>
                <w:color w:val="auto"/>
              </w:rPr>
            </w:pPr>
          </w:p>
        </w:tc>
      </w:tr>
      <w:tr>
        <w:trPr>
          <w:trHeight w:val="229"/>
        </w:trPr>
        <w:tc>
          <w:tcPr>
            <w:tcW w:w="2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Swap fee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(382 )</w:t>
            </w:r>
          </w:p>
        </w:tc>
        <w:tc>
          <w:tcPr>
            <w:tcW w:w="2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-100.00 %</w:t>
            </w:r>
          </w:p>
        </w:tc>
        <w:tc>
          <w:tcPr>
            <w:tcW w:w="3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(4,643 )</w:t>
            </w:r>
          </w:p>
        </w:tc>
        <w:tc>
          <w:tcPr>
            <w:tcW w:w="2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(92.40 )%</w:t>
            </w:r>
          </w:p>
        </w:tc>
        <w:tc>
          <w:tcPr>
            <w:tcW w:w="0" w:type="dxa"/>
            <w:vAlign w:val="bottom"/>
          </w:tcPr>
          <w:p>
            <w:pPr>
              <w:spacing w:after="0"/>
              <w:rPr>
                <w:sz w:val="1"/>
                <w:szCs w:val="1"/>
                <w:color w:val="auto"/>
              </w:rPr>
            </w:pPr>
          </w:p>
        </w:tc>
      </w:tr>
      <w:tr>
        <w:trPr>
          <w:trHeight w:val="229"/>
        </w:trPr>
        <w:tc>
          <w:tcPr>
            <w:tcW w:w="2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OREO,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(1,177 )</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(100.00 )%</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203.35 %</w:t>
            </w:r>
          </w:p>
        </w:tc>
        <w:tc>
          <w:tcPr>
            <w:tcW w:w="0" w:type="dxa"/>
            <w:vAlign w:val="bottom"/>
          </w:tcPr>
          <w:p>
            <w:pPr>
              <w:spacing w:after="0"/>
              <w:rPr>
                <w:sz w:val="1"/>
                <w:szCs w:val="1"/>
                <w:color w:val="auto"/>
              </w:rPr>
            </w:pPr>
          </w:p>
        </w:tc>
      </w:tr>
      <w:tr>
        <w:trPr>
          <w:trHeight w:val="229"/>
        </w:trPr>
        <w:tc>
          <w:tcPr>
            <w:tcW w:w="2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sale of building,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1337.57 %</w:t>
            </w:r>
          </w:p>
        </w:tc>
        <w:tc>
          <w:tcPr>
            <w:tcW w:w="3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(1,491 )</w:t>
            </w:r>
          </w:p>
        </w:tc>
        <w:tc>
          <w:tcPr>
            <w:tcW w:w="2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-88.75 %</w:t>
            </w:r>
          </w:p>
        </w:tc>
        <w:tc>
          <w:tcPr>
            <w:tcW w:w="0" w:type="dxa"/>
            <w:vAlign w:val="bottom"/>
          </w:tcPr>
          <w:p>
            <w:pPr>
              <w:spacing w:after="0"/>
              <w:rPr>
                <w:sz w:val="1"/>
                <w:szCs w:val="1"/>
                <w:color w:val="auto"/>
              </w:rPr>
            </w:pPr>
          </w:p>
        </w:tc>
      </w:tr>
      <w:tr>
        <w:trPr>
          <w:trHeight w:val="229"/>
        </w:trPr>
        <w:tc>
          <w:tcPr>
            <w:tcW w:w="2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13.90 %</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5.97 %</w:t>
            </w:r>
          </w:p>
        </w:tc>
        <w:tc>
          <w:tcPr>
            <w:tcW w:w="0" w:type="dxa"/>
            <w:vAlign w:val="bottom"/>
          </w:tcPr>
          <w:p>
            <w:pPr>
              <w:spacing w:after="0"/>
              <w:rPr>
                <w:sz w:val="1"/>
                <w:szCs w:val="1"/>
                <w:color w:val="auto"/>
              </w:rPr>
            </w:pPr>
          </w:p>
        </w:tc>
      </w:tr>
      <w:tr>
        <w:trPr>
          <w:trHeight w:val="33"/>
        </w:trPr>
        <w:tc>
          <w:tcPr>
            <w:tcW w:w="29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vMerge w:val="continue"/>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49,989</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47,385</w:t>
            </w:r>
          </w:p>
        </w:tc>
        <w:tc>
          <w:tcPr>
            <w:tcW w:w="2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49,870</w:t>
            </w:r>
          </w:p>
        </w:tc>
        <w:tc>
          <w:tcPr>
            <w:tcW w:w="220" w:type="dxa"/>
            <w:vAlign w:val="bottom"/>
          </w:tcPr>
          <w:p>
            <w:pPr>
              <w:spacing w:after="0"/>
              <w:rPr>
                <w:sz w:val="19"/>
                <w:szCs w:val="19"/>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 xml:space="preserve">5.50 </w:t>
            </w:r>
            <w:r>
              <w:rPr>
                <w:rFonts w:ascii="Times New Roman" w:cs="Times New Roman" w:eastAsia="Times New Roman" w:hAnsi="Times New Roman"/>
                <w:sz w:val="16"/>
                <w:szCs w:val="16"/>
                <w:color w:val="auto"/>
                <w:highlight w:val="white"/>
              </w:rPr>
              <w:t>%</w:t>
            </w:r>
            <w:r>
              <w:rPr>
                <w:rFonts w:ascii="Times New Roman" w:cs="Times New Roman" w:eastAsia="Times New Roman" w:hAnsi="Times New Roman"/>
                <w:sz w:val="16"/>
                <w:szCs w:val="16"/>
                <w:color w:val="auto"/>
              </w:rPr>
              <w:t xml:space="preserve">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(2,485 )</w:t>
            </w:r>
          </w:p>
        </w:tc>
        <w:tc>
          <w:tcPr>
            <w:tcW w:w="2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-4.98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200" w:lineRule="exact"/>
        <w:rPr>
          <w:sz w:val="20"/>
          <w:szCs w:val="20"/>
          <w:color w:val="auto"/>
        </w:rPr>
      </w:pPr>
    </w:p>
    <w:p>
      <w:pPr>
        <w:ind w:right="160" w:firstLine="637"/>
        <w:spacing w:after="0" w:line="256" w:lineRule="auto"/>
        <w:rPr>
          <w:sz w:val="20"/>
          <w:szCs w:val="20"/>
          <w:color w:val="auto"/>
        </w:rPr>
      </w:pPr>
      <w:r>
        <w:rPr>
          <w:rFonts w:ascii="Times New Roman" w:cs="Times New Roman" w:eastAsia="Times New Roman" w:hAnsi="Times New Roman"/>
          <w:sz w:val="18"/>
          <w:szCs w:val="18"/>
          <w:color w:val="auto"/>
        </w:rPr>
        <w:t>The $2.6 million increase in noninterest income included an increase of $4.2 million, or 24.66%, in service charges on deposit accounts, $2.4 million in net gain on the sale of one of our properties, and a $2.1 million gain from a distribution related to one of our CRA investments. Income from BOLI declined by $3.1 million from the prior year, as we incurred a $2.7 million decline in the market value of separate account life insurance policies that are used to fund our deferred compensation liabilities. Offsetting the $2.1 million gain on a CRA investment, 2022 also included a $1.1 million decrease in certain CRA investments due to valuation changes. Noninterest income for 2021 included $1.2 million net gain on the sale of three OREO properties and $890,000 for recovery of an acquired loan charged off prior to a previous acquisition.</w:t>
      </w:r>
    </w:p>
    <w:p>
      <w:pPr>
        <w:spacing w:after="0" w:line="145" w:lineRule="exact"/>
        <w:rPr>
          <w:sz w:val="20"/>
          <w:szCs w:val="20"/>
          <w:color w:val="auto"/>
        </w:rPr>
      </w:pPr>
    </w:p>
    <w:p>
      <w:pPr>
        <w:ind w:right="240" w:firstLine="637"/>
        <w:spacing w:after="0" w:line="274" w:lineRule="auto"/>
        <w:rPr>
          <w:sz w:val="20"/>
          <w:szCs w:val="20"/>
          <w:color w:val="auto"/>
        </w:rPr>
      </w:pPr>
      <w:r>
        <w:rPr>
          <w:rFonts w:ascii="Times New Roman" w:cs="Times New Roman" w:eastAsia="Times New Roman" w:hAnsi="Times New Roman"/>
          <w:sz w:val="17"/>
          <w:szCs w:val="17"/>
          <w:color w:val="auto"/>
        </w:rPr>
        <w:t xml:space="preserve">The Bank enters into interest rate swap agreements with our customers to manage our interest rate risk and enters into identical offsetting swaps with a counterparty. The changes in the fair value of the swaps primarily offset each other resulting in swap fee income (refer to Note 20 — </w:t>
      </w:r>
      <w:r>
        <w:rPr>
          <w:rFonts w:ascii="Times New Roman" w:cs="Times New Roman" w:eastAsia="Times New Roman" w:hAnsi="Times New Roman"/>
          <w:sz w:val="17"/>
          <w:szCs w:val="17"/>
          <w:i w:val="1"/>
          <w:iCs w:val="1"/>
          <w:color w:val="auto"/>
        </w:rPr>
        <w:t>Derivative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Instruments </w:t>
      </w:r>
      <w:r>
        <w:rPr>
          <w:rFonts w:ascii="Times New Roman" w:cs="Times New Roman" w:eastAsia="Times New Roman" w:hAnsi="Times New Roman"/>
          <w:sz w:val="17"/>
          <w:szCs w:val="17"/>
          <w:color w:val="auto"/>
        </w:rPr>
        <w:t>of the notes to the consolidated financial statements of this report for additional information). Swap fee income decreased $382,000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2021, as there were no executed swap agreements related to new loan originations for 2022. Generally speaking, our volume of interest rate swaps is impacted by the shape of the yield curve, with a relatively flat yield curve more conducive to a higher volume of swaps, while an inverted yield curve less conducive. We executed on swap agreements related to new loan originations with a notional amount totaling $25.3 million for 2021.</w:t>
      </w:r>
    </w:p>
    <w:p>
      <w:pPr>
        <w:spacing w:after="0" w:line="131" w:lineRule="exact"/>
        <w:rPr>
          <w:sz w:val="20"/>
          <w:szCs w:val="20"/>
          <w:color w:val="auto"/>
        </w:rPr>
      </w:pPr>
    </w:p>
    <w:p>
      <w:pPr>
        <w:ind w:right="240" w:firstLine="637"/>
        <w:spacing w:after="0" w:line="254" w:lineRule="auto"/>
        <w:rPr>
          <w:sz w:val="20"/>
          <w:szCs w:val="20"/>
          <w:color w:val="auto"/>
        </w:rPr>
      </w:pPr>
      <w:r>
        <w:rPr>
          <w:rFonts w:ascii="Times New Roman" w:cs="Times New Roman" w:eastAsia="Times New Roman" w:hAnsi="Times New Roman"/>
          <w:sz w:val="18"/>
          <w:szCs w:val="18"/>
          <w:color w:val="auto"/>
        </w:rPr>
        <w:t>CitizensTrust consists of Wealth Management and Investment Services income. The Wealth Management group provides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December 31, 2022, CitizensTrust had approximately $2.9 billion in assets under management and administration, including $1.92 billion in assets under management. CitizensTrust generated fees of $11.5 million for 2022, which were nearly flat compared to $11.6 million for 2021. Market conditions have continued to negatively impact assets under management and trust fee income. Additionally, a large trust relationship with more than $800 million in assets was transitioned to a financial institution outside of California. The transition was completed by the end of 2022, with the impact on fee income expected to be reflected in 2023. Offsetting this transfer of assets and the impact of the market on our assets under management and administration, was the growth in managed assets from $350 million of our customer deposits that are now being managed by CitizensTrust in various liquidity strategies.</w:t>
      </w:r>
    </w:p>
    <w:p>
      <w:pPr>
        <w:spacing w:after="0" w:line="159" w:lineRule="exact"/>
        <w:rPr>
          <w:sz w:val="20"/>
          <w:szCs w:val="20"/>
          <w:color w:val="auto"/>
        </w:rPr>
      </w:pPr>
    </w:p>
    <w:p>
      <w:pPr>
        <w:ind w:right="140" w:firstLine="637"/>
        <w:spacing w:after="0" w:line="258" w:lineRule="auto"/>
        <w:rPr>
          <w:sz w:val="20"/>
          <w:szCs w:val="20"/>
          <w:color w:val="auto"/>
        </w:rPr>
      </w:pPr>
      <w:r>
        <w:rPr>
          <w:rFonts w:ascii="Times New Roman" w:cs="Times New Roman" w:eastAsia="Times New Roman" w:hAnsi="Times New Roman"/>
          <w:sz w:val="18"/>
          <w:szCs w:val="18"/>
          <w:color w:val="auto"/>
        </w:rPr>
        <w:t>The Bank’s investment in BOLI includes life insurance policies acquired through acquisitions and the purchase of life insurance by the Bank on a select group of employees. The Bank is the owner and beneficiary of these policies. BOLI is recorded as an asset at its cash surrender value. The policies consist of general account, separate account, and hybrid policies. Increases in the cash value of these policies, as well as insurance proceeds received, are recorded in noninterest income and are not subject to income tax, as long as they are held for the life of the covered parties. Income from our BOLI policies for 2022 included $3.6 million of death benefits that exceeded cash surrender values, compared to $3.9 million of death benefits for 2021.</w:t>
      </w:r>
    </w:p>
    <w:p>
      <w:pPr>
        <w:spacing w:after="0" w:line="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2"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00" w:lineRule="exact"/>
        <w:rPr>
          <w:sz w:val="20"/>
          <w:szCs w:val="20"/>
          <w:color w:val="auto"/>
        </w:rPr>
      </w:pPr>
    </w:p>
    <w:p>
      <w:pPr>
        <w:ind w:right="120" w:firstLine="637"/>
        <w:spacing w:after="0" w:line="256" w:lineRule="auto"/>
        <w:rPr>
          <w:sz w:val="20"/>
          <w:szCs w:val="20"/>
          <w:color w:val="auto"/>
        </w:rPr>
      </w:pPr>
      <w:r>
        <w:rPr>
          <w:rFonts w:ascii="Times New Roman" w:cs="Times New Roman" w:eastAsia="Times New Roman" w:hAnsi="Times New Roman"/>
          <w:sz w:val="18"/>
          <w:szCs w:val="18"/>
          <w:color w:val="auto"/>
        </w:rPr>
        <w:t>The $2.5 million decrease in noninterest income was primarily due to a $4.6 million decrease in swap fee income from 2020 due to lower volume of swap transactions. Partially offsetting the overall decrease in noninterest income was a $1.6 million increase in Trust and investment services income and a $591,000 year-over-year increase in service charges on deposit accounts. Noninterest income for 2021 also included $1.2 million in net gain on the sale of three OREO properties, while 2020 included $1.7 million net gain on the sale of one of our owned buildings and a $365,000 net gain on the sale of two OREO properties. The $373,000 increase in other income in 2021 included $890,000 for recovery of an acquired loan charged off prior to a previous acquisition.</w:t>
      </w:r>
    </w:p>
    <w:p>
      <w:pPr>
        <w:spacing w:after="0" w:line="145" w:lineRule="exact"/>
        <w:rPr>
          <w:sz w:val="20"/>
          <w:szCs w:val="20"/>
          <w:color w:val="auto"/>
        </w:rPr>
      </w:pPr>
    </w:p>
    <w:p>
      <w:pPr>
        <w:jc w:val="both"/>
        <w:ind w:right="120" w:firstLine="637"/>
        <w:spacing w:after="0" w:line="265" w:lineRule="auto"/>
        <w:rPr>
          <w:sz w:val="20"/>
          <w:szCs w:val="20"/>
          <w:color w:val="auto"/>
        </w:rPr>
      </w:pPr>
      <w:r>
        <w:rPr>
          <w:rFonts w:ascii="Times New Roman" w:cs="Times New Roman" w:eastAsia="Times New Roman" w:hAnsi="Times New Roman"/>
          <w:sz w:val="18"/>
          <w:szCs w:val="18"/>
          <w:color w:val="auto"/>
        </w:rPr>
        <w:t>Swap fee income decreased $4.6 million compared to 2020, due to lower volume of swap transactions. We executed on swap agreements related to new loan originations with a notional amount totaling $25.3 million for 2021, compared to $280.4 million for 2020. The volume of interest rate swaps can be impacted by competitive factors, as well as the current and forecasted interest rate environment.</w:t>
      </w:r>
    </w:p>
    <w:p>
      <w:pPr>
        <w:spacing w:after="0" w:line="137" w:lineRule="exact"/>
        <w:rPr>
          <w:sz w:val="20"/>
          <w:szCs w:val="20"/>
          <w:color w:val="auto"/>
        </w:rPr>
      </w:pPr>
    </w:p>
    <w:p>
      <w:pPr>
        <w:jc w:val="both"/>
        <w:ind w:right="280" w:firstLine="637"/>
        <w:spacing w:after="0" w:line="265" w:lineRule="auto"/>
        <w:rPr>
          <w:sz w:val="20"/>
          <w:szCs w:val="20"/>
          <w:color w:val="auto"/>
        </w:rPr>
      </w:pPr>
      <w:r>
        <w:rPr>
          <w:rFonts w:ascii="Times New Roman" w:cs="Times New Roman" w:eastAsia="Times New Roman" w:hAnsi="Times New Roman"/>
          <w:sz w:val="18"/>
          <w:szCs w:val="18"/>
          <w:color w:val="auto"/>
        </w:rPr>
        <w:t>At December 31, 2021, CitizensTrust had approximately $3.45 billion in assets under management and administration, including $2.50 billion in assets under management. CitizensTrust generated fees of $11.6 million for 2021, an increase of $1.6 million compared to $10.0 million for 2020, due to the growth in assets under management.</w:t>
      </w:r>
    </w:p>
    <w:p>
      <w:pPr>
        <w:spacing w:after="0" w:line="150" w:lineRule="exact"/>
        <w:rPr>
          <w:sz w:val="20"/>
          <w:szCs w:val="20"/>
          <w:color w:val="auto"/>
        </w:rPr>
      </w:pPr>
    </w:p>
    <w:p>
      <w:pPr>
        <w:ind w:right="200" w:firstLine="637"/>
        <w:spacing w:after="0" w:line="281" w:lineRule="auto"/>
        <w:rPr>
          <w:sz w:val="20"/>
          <w:szCs w:val="20"/>
          <w:color w:val="auto"/>
        </w:rPr>
      </w:pPr>
      <w:r>
        <w:rPr>
          <w:rFonts w:ascii="Times New Roman" w:cs="Times New Roman" w:eastAsia="Times New Roman" w:hAnsi="Times New Roman"/>
          <w:sz w:val="18"/>
          <w:szCs w:val="18"/>
          <w:color w:val="auto"/>
        </w:rPr>
        <w:t>Income from our BOLI policies for 2021 included $3.9 million of death benefits that exceeded cash surrender values, compared to $2.8 million of death benefits for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various components of noninterest expense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131,596</w:t>
            </w:r>
          </w:p>
        </w:tc>
        <w:tc>
          <w:tcPr>
            <w:tcW w:w="2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117,871</w:t>
            </w:r>
          </w:p>
        </w:tc>
        <w:tc>
          <w:tcPr>
            <w:tcW w:w="2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119,759</w:t>
            </w:r>
          </w:p>
        </w:tc>
        <w:tc>
          <w:tcPr>
            <w:tcW w:w="2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11.64 % $</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(1,888 )</w:t>
            </w:r>
          </w:p>
        </w:tc>
        <w:tc>
          <w:tcPr>
            <w:tcW w:w="3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Occupancy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12.29 %</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0.53 %</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30.79 %</w:t>
            </w:r>
          </w:p>
        </w:tc>
        <w:tc>
          <w:tcPr>
            <w:tcW w:w="320" w:type="dxa"/>
            <w:vAlign w:val="bottom"/>
          </w:tcPr>
          <w:p>
            <w:pPr>
              <w:spacing w:after="0"/>
              <w:rPr>
                <w:sz w:val="19"/>
                <w:szCs w:val="19"/>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(954 )</w:t>
            </w:r>
          </w:p>
        </w:tc>
        <w:tc>
          <w:tcPr>
            <w:tcW w:w="3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(24.18 )%</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17.51 %</w:t>
            </w:r>
          </w:p>
        </w:tc>
        <w:tc>
          <w:tcPr>
            <w:tcW w:w="320" w:type="dxa"/>
            <w:vAlign w:val="bottom"/>
          </w:tcPr>
          <w:p>
            <w:pPr>
              <w:spacing w:after="0"/>
              <w:rPr>
                <w:sz w:val="19"/>
                <w:szCs w:val="19"/>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(1,493 )</w:t>
            </w:r>
          </w:p>
        </w:tc>
        <w:tc>
          <w:tcPr>
            <w:tcW w:w="3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(15.78 )%</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Computer software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16.57 %</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2.50 %</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Marketing and promotion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36.19 %</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3.01 %</w:t>
            </w:r>
          </w:p>
        </w:tc>
        <w:tc>
          <w:tcPr>
            <w:tcW w:w="0" w:type="dxa"/>
            <w:vAlign w:val="bottom"/>
          </w:tcPr>
          <w:p>
            <w:pPr>
              <w:spacing w:after="0"/>
              <w:rPr>
                <w:sz w:val="1"/>
                <w:szCs w:val="1"/>
                <w:color w:val="auto"/>
              </w:rPr>
            </w:pPr>
          </w:p>
        </w:tc>
      </w:tr>
      <w:tr>
        <w:trPr>
          <w:trHeight w:val="221"/>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(674 )</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-8.18 %</w:t>
            </w:r>
          </w:p>
        </w:tc>
        <w:tc>
          <w:tcPr>
            <w:tcW w:w="320" w:type="dxa"/>
            <w:vAlign w:val="bottom"/>
          </w:tcPr>
          <w:p>
            <w:pPr>
              <w:spacing w:after="0"/>
              <w:rPr>
                <w:sz w:val="18"/>
                <w:szCs w:val="18"/>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(1,112 )</w:t>
            </w:r>
          </w:p>
        </w:tc>
        <w:tc>
          <w:tcPr>
            <w:tcW w:w="3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-11.89 %</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Telecommunications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320" w:type="dxa"/>
            <w:vAlign w:val="bottom"/>
          </w:tcPr>
          <w:p>
            <w:pPr>
              <w:spacing w:after="0"/>
              <w:rPr>
                <w:sz w:val="19"/>
                <w:szCs w:val="19"/>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(461 )</w:t>
            </w:r>
          </w:p>
        </w:tc>
        <w:tc>
          <w:tcPr>
            <w:tcW w:w="3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-17.97 %</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Regulatory assessments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16.66 %</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97.68 %</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Insurance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6.96 %</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12.47 %</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(72 )</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-6.47 %</w:t>
            </w:r>
          </w:p>
        </w:tc>
        <w:tc>
          <w:tcPr>
            <w:tcW w:w="320" w:type="dxa"/>
            <w:vAlign w:val="bottom"/>
          </w:tcPr>
          <w:p>
            <w:pPr>
              <w:spacing w:after="0"/>
              <w:rPr>
                <w:sz w:val="19"/>
                <w:szCs w:val="19"/>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(46 )</w:t>
            </w:r>
          </w:p>
        </w:tc>
        <w:tc>
          <w:tcPr>
            <w:tcW w:w="3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-3.97 %</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OREO expense</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(52 )</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-106.12 %</w:t>
            </w:r>
          </w:p>
        </w:tc>
        <w:tc>
          <w:tcPr>
            <w:tcW w:w="320" w:type="dxa"/>
            <w:vAlign w:val="bottom"/>
          </w:tcPr>
          <w:p>
            <w:pPr>
              <w:spacing w:after="0"/>
              <w:rPr>
                <w:sz w:val="19"/>
                <w:szCs w:val="19"/>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(1,198 )</w:t>
            </w:r>
          </w:p>
        </w:tc>
        <w:tc>
          <w:tcPr>
            <w:tcW w:w="3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(96.07 )%</w:t>
            </w:r>
          </w:p>
        </w:tc>
        <w:tc>
          <w:tcPr>
            <w:tcW w:w="0" w:type="dxa"/>
            <w:vAlign w:val="bottom"/>
          </w:tcPr>
          <w:p>
            <w:pPr>
              <w:spacing w:after="0"/>
              <w:rPr>
                <w:sz w:val="1"/>
                <w:szCs w:val="1"/>
                <w:color w:val="auto"/>
              </w:rPr>
            </w:pPr>
          </w:p>
        </w:tc>
      </w:tr>
      <w:tr>
        <w:trPr>
          <w:trHeight w:val="221"/>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Recapture of provision for</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unfunded loan commitments</w:t>
            </w:r>
          </w:p>
        </w:tc>
        <w:tc>
          <w:tcPr>
            <w:tcW w:w="2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320" w:type="dxa"/>
            <w:vAlign w:val="bottom"/>
          </w:tcPr>
          <w:p>
            <w:pPr>
              <w:spacing w:after="0"/>
              <w:rPr>
                <w:sz w:val="18"/>
                <w:szCs w:val="18"/>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(1,000 )</w:t>
            </w:r>
          </w:p>
        </w:tc>
        <w:tc>
          <w:tcPr>
            <w:tcW w:w="3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Directors’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(113 )</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-7.34 %</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8.38 %</w:t>
            </w:r>
          </w:p>
        </w:tc>
        <w:tc>
          <w:tcPr>
            <w:tcW w:w="0" w:type="dxa"/>
            <w:vAlign w:val="bottom"/>
          </w:tcPr>
          <w:p>
            <w:pPr>
              <w:spacing w:after="0"/>
              <w:rPr>
                <w:sz w:val="1"/>
                <w:szCs w:val="1"/>
                <w:color w:val="auto"/>
              </w:rPr>
            </w:pPr>
          </w:p>
        </w:tc>
      </w:tr>
      <w:tr>
        <w:trPr>
          <w:trHeight w:val="239"/>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Stationery and supplies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320" w:type="dxa"/>
            <w:vAlign w:val="bottom"/>
          </w:tcPr>
          <w:p>
            <w:pPr>
              <w:spacing w:after="0"/>
              <w:rPr>
                <w:sz w:val="20"/>
                <w:szCs w:val="20"/>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(210 )</w:t>
            </w:r>
          </w:p>
        </w:tc>
        <w:tc>
          <w:tcPr>
            <w:tcW w:w="30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-17.92 %</w:t>
            </w:r>
          </w:p>
        </w:tc>
        <w:tc>
          <w:tcPr>
            <w:tcW w:w="0" w:type="dxa"/>
            <w:vAlign w:val="bottom"/>
          </w:tcPr>
          <w:p>
            <w:pPr>
              <w:spacing w:after="0"/>
              <w:rPr>
                <w:sz w:val="1"/>
                <w:szCs w:val="1"/>
                <w:color w:val="auto"/>
              </w:rPr>
            </w:pPr>
          </w:p>
        </w:tc>
      </w:tr>
      <w:tr>
        <w:trPr>
          <w:trHeight w:val="239"/>
        </w:trPr>
        <w:tc>
          <w:tcPr>
            <w:tcW w:w="2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525.05 %</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(1,089 )</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-14.56 %</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17.90 %</w:t>
            </w:r>
          </w:p>
        </w:tc>
        <w:tc>
          <w:tcPr>
            <w:tcW w:w="0" w:type="dxa"/>
            <w:vAlign w:val="bottom"/>
          </w:tcPr>
          <w:p>
            <w:pPr>
              <w:spacing w:after="0"/>
              <w:rPr>
                <w:sz w:val="1"/>
                <w:szCs w:val="1"/>
                <w:color w:val="auto"/>
              </w:rPr>
            </w:pPr>
          </w:p>
        </w:tc>
      </w:tr>
      <w:tr>
        <w:trPr>
          <w:trHeight w:val="223"/>
        </w:trPr>
        <w:tc>
          <w:tcPr>
            <w:tcW w:w="2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216,555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189,787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192,903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26,768</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2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Noninterest expense to average</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1.28 %</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1.24 %</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1.49 %</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Efficiency ratio (1)</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38.98 %</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41.09 %</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41.40 %</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-3329940</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-3039110</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-2747645</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-2328545</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-2037080</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-1326515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-735965</wp:posOffset>
            </wp:positionV>
            <wp:extent cx="7132320" cy="5905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590550"/>
                    </a:xfrm>
                    <a:prstGeom prst="rect">
                      <a:avLst/>
                    </a:prstGeom>
                    <a:noFill/>
                  </pic:spPr>
                </pic:pic>
              </a:graphicData>
            </a:graphic>
          </wp:anchor>
        </w:drawing>
      </w:r>
    </w:p>
    <w:p>
      <w:pPr>
        <w:spacing w:after="0" w:line="182" w:lineRule="exact"/>
        <w:rPr>
          <w:sz w:val="20"/>
          <w:szCs w:val="20"/>
          <w:color w:val="auto"/>
        </w:rPr>
      </w:pPr>
    </w:p>
    <w:p>
      <w:pPr>
        <w:ind w:left="1540" w:hanging="514"/>
        <w:spacing w:after="0"/>
        <w:tabs>
          <w:tab w:leader="none" w:pos="1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Noninterest expense divided by net interest income before provision for credit losses plus noninterest income.</w:t>
      </w:r>
    </w:p>
    <w:p>
      <w:pPr>
        <w:spacing w:after="0" w:line="121"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0" w:right="239" w:bottom="1440" w:gutter="0" w:footer="0" w:header="0"/>
        </w:sectPr>
      </w:pPr>
    </w:p>
    <w:bookmarkStart w:id="48" w:name="page49"/>
    <w:bookmarkEnd w:id="48"/>
    <w:p>
      <w:pPr>
        <w:ind w:right="20" w:firstLine="637"/>
        <w:spacing w:after="0" w:line="256"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asset growth can be measured in terms of total noninterest expenses as a percentage of average assets. Noninterest expense as a percentage of average assets was 1.28% for 2022, compared to 1.24% for 2021 and 1.49% for 2020, respectively. The increase in this ratio from 2021 to 2022, reflects the impact of inflationary pressures on staff related expenses and payments to vendors. In addition, we continued to invest in technology to enhance the products and services offered to our customers, as well as automation of administrative processes throughout the Bank. The decline in this ratio for 2021 compared with 2020 reflects the $2.42 billion growth in average assets that resulted primarily from $2.18 billion in average deposit growth that fueled an average balance at the Federal Reserve of $1.92 billion.</w:t>
      </w:r>
    </w:p>
    <w:p>
      <w:pPr>
        <w:spacing w:after="0" w:line="159"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38.98% for 2022, compared to 41.09% for 2021 and 41.40% for 2020. The decline in the efficiency ratio in 2022 was primarily due to the expansion of the net interest margin.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227" w:lineRule="exact"/>
        <w:rPr>
          <w:sz w:val="20"/>
          <w:szCs w:val="20"/>
          <w:color w:val="auto"/>
        </w:rPr>
      </w:pPr>
    </w:p>
    <w:p>
      <w:pPr>
        <w:ind w:right="40" w:firstLine="539"/>
        <w:spacing w:after="0" w:line="254" w:lineRule="auto"/>
        <w:rPr>
          <w:sz w:val="20"/>
          <w:szCs w:val="20"/>
          <w:color w:val="auto"/>
        </w:rPr>
      </w:pPr>
      <w:r>
        <w:rPr>
          <w:rFonts w:ascii="Times New Roman" w:cs="Times New Roman" w:eastAsia="Times New Roman" w:hAnsi="Times New Roman"/>
          <w:sz w:val="18"/>
          <w:szCs w:val="18"/>
          <w:color w:val="auto"/>
        </w:rPr>
        <w:t>Noninterest expense of $216.6 million for the year ended December 31, 2022 was $26.8 million higher than 2021. The year-over-year increase included a $13.7 million increase in salaries and employee benefits, which included additional compensation related expenses for the newly hired and former Suncrest associates. Occupancy and equipment increased by $3.0 million due to the addition of seven banking centers resulting from the acquisition of Suncrest, two of which were subsequently consolidated by the end of the second quarter of 2022. Acquisition expense related to the merger of Suncrest was $6.0 million for 2022, compared with $962,000 for 2021. The increase in software expense of $1.9 million, included costs associated with the continued use of Suncrest's legacy banking systems, prior to conversions, as well as continued investments in technology. A $1.7 million increase in marketing and promotion expense for 2022 was primarily due to the impact that the COVID-19 pandemic had on marketing and promotional events in 2021. Professional service expense grew by $1.4 million, including increased costs for legal and employee recruiting of $854,000. The year-over-year increase also included a $1.0 million recapture of provision for unfunded loan commitments recorded in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ind w:right="20" w:firstLine="584"/>
        <w:spacing w:after="0" w:line="271" w:lineRule="auto"/>
        <w:rPr>
          <w:sz w:val="20"/>
          <w:szCs w:val="20"/>
          <w:color w:val="auto"/>
        </w:rPr>
      </w:pPr>
      <w:r>
        <w:rPr>
          <w:rFonts w:ascii="Times New Roman" w:cs="Times New Roman" w:eastAsia="Times New Roman" w:hAnsi="Times New Roman"/>
          <w:sz w:val="17"/>
          <w:szCs w:val="17"/>
          <w:color w:val="auto"/>
        </w:rPr>
        <w:t>Noninterest expense of $189.8 million for the year ended December 31, 2021 was $3.1 million, or 1.62% lower than 2020. This year-over-year decrease included a $1.9 million decrease in salaries and employee benefits, partially due to a $1.1 million in additional bonus expense for “Thank You Awards” paid to all Bank employees during the third quarter of 2020. The year-over-year decrease also included a $1.5 million decrease in professional services expense, a $1.1 million decrease in Core Deposit Intangible ("CDI") amortization, a $1.2 million decrease in OREO expense primarily due to a $700,000 write-down of one OREO property in 2020, and a $1.0 million recapture of provision for unfunded loan commitments recorded in 2021, compared to no recapture of provision in 2020. These decreases were partially offset by a $2.3 million increase in regulatory assessment expense compared to the prior year, which resulted from the final application of assessment credits provided by the FDIC at the end of the second quarter of 2020. Additionally, there were $962,000 in acquisition related expenses for the year ended December 31, 2021, compared to no merger related expenses for 2020.</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8" w:lineRule="exact"/>
        <w:rPr>
          <w:sz w:val="20"/>
          <w:szCs w:val="20"/>
          <w:color w:val="auto"/>
        </w:rPr>
      </w:pPr>
    </w:p>
    <w:p>
      <w:pPr>
        <w:ind w:right="140" w:firstLine="637"/>
        <w:spacing w:after="0" w:line="265" w:lineRule="auto"/>
        <w:rPr>
          <w:sz w:val="20"/>
          <w:szCs w:val="20"/>
          <w:color w:val="auto"/>
        </w:rPr>
      </w:pPr>
      <w:r>
        <w:rPr>
          <w:rFonts w:ascii="Times New Roman" w:cs="Times New Roman" w:eastAsia="Times New Roman" w:hAnsi="Times New Roman"/>
          <w:sz w:val="18"/>
          <w:szCs w:val="18"/>
          <w:color w:val="auto"/>
        </w:rPr>
        <w:t xml:space="preserve">The Company’s effective tax rate for the year ended December 31, 2022 was 28.30%, compared with 28.60% and 29.00% for the year ended December 31, 2021 and 2020, respectively. Our estimated annual effective tax rate also varies depending upon the level of tax-advantaged income as well as available tax credits. Refer to Note 11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consolidated financial statements for more information.</w:t>
      </w:r>
    </w:p>
    <w:p>
      <w:pPr>
        <w:spacing w:after="0" w:line="137" w:lineRule="exact"/>
        <w:rPr>
          <w:sz w:val="20"/>
          <w:szCs w:val="20"/>
          <w:color w:val="auto"/>
        </w:rPr>
      </w:pPr>
    </w:p>
    <w:p>
      <w:pPr>
        <w:ind w:right="340" w:firstLine="637"/>
        <w:spacing w:after="0" w:line="281" w:lineRule="auto"/>
        <w:rPr>
          <w:sz w:val="20"/>
          <w:szCs w:val="20"/>
          <w:color w:val="auto"/>
        </w:rPr>
      </w:pPr>
      <w:r>
        <w:rPr>
          <w:rFonts w:ascii="Times New Roman" w:cs="Times New Roman" w:eastAsia="Times New Roman" w:hAnsi="Times New Roman"/>
          <w:sz w:val="18"/>
          <w:szCs w:val="18"/>
          <w:color w:val="auto"/>
        </w:rPr>
        <w:t>The effective tax rates are below the nominal combined Federal and State tax rate as a result of tax-advantaged income from certain municipal security investments, municipal loans and leases and BOLI, as well as available tax credits for each period.</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9" w:name="page50"/>
    <w:bookmarkEnd w:id="49"/>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02" w:lineRule="exact"/>
        <w:rPr>
          <w:sz w:val="20"/>
          <w:szCs w:val="20"/>
          <w:color w:val="auto"/>
        </w:rPr>
      </w:pPr>
    </w:p>
    <w:p>
      <w:pPr>
        <w:jc w:val="both"/>
        <w:ind w:right="60" w:firstLine="637"/>
        <w:spacing w:after="0" w:line="260" w:lineRule="auto"/>
        <w:rPr>
          <w:sz w:val="20"/>
          <w:szCs w:val="20"/>
          <w:color w:val="auto"/>
        </w:rPr>
      </w:pPr>
      <w:r>
        <w:rPr>
          <w:rFonts w:ascii="Times New Roman" w:cs="Times New Roman" w:eastAsia="Times New Roman" w:hAnsi="Times New Roman"/>
          <w:sz w:val="18"/>
          <w:szCs w:val="18"/>
          <w:color w:val="auto"/>
        </w:rPr>
        <w:t>Total assets of $16.48 billion at December 31, 2022 increased $592.8 million, or 3.73%, from total assets of $15.88 billion at December 31, 2021. Interest-earning assets of $14.97 billion at December 31, 2022, increased by $287.5 million, or 1.96%, when compared with $14.68 billion at December 31, 2021. The increase in interest-earning assets included a $1.19 billion increase in total loans and a $699.6 million increase in investment securities, partially offset by a $1.60 billion decrease in interest-earning balances due from the Federal Reserve.</w:t>
      </w:r>
    </w:p>
    <w:p>
      <w:pPr>
        <w:spacing w:after="0" w:line="141" w:lineRule="exact"/>
        <w:rPr>
          <w:sz w:val="20"/>
          <w:szCs w:val="20"/>
          <w:color w:val="auto"/>
        </w:rPr>
      </w:pPr>
    </w:p>
    <w:p>
      <w:pPr>
        <w:ind w:right="100" w:firstLine="637"/>
        <w:spacing w:after="0" w:line="260" w:lineRule="auto"/>
        <w:rPr>
          <w:sz w:val="20"/>
          <w:szCs w:val="20"/>
          <w:color w:val="auto"/>
        </w:rPr>
      </w:pPr>
      <w:r>
        <w:rPr>
          <w:rFonts w:ascii="Times New Roman" w:cs="Times New Roman" w:eastAsia="Times New Roman" w:hAnsi="Times New Roman"/>
          <w:sz w:val="18"/>
          <w:szCs w:val="18"/>
          <w:color w:val="auto"/>
        </w:rPr>
        <w:t>On January 7, 2022, we completed the acquisition of Suncrest with approximately $1.38 billion in total assets, acquired at fair value, and seven banking centers. The increase in total assets at December 31, 2022 included $765.9 million of acquired net loans at fair value, $131.1 million of investment securities, and $9 million in bank-owned life insurance. The acquisition resulted in $102.1 million of goodwill and $3.9 million in core deposit intangibles. Net cash proceeds were used to fund the $39.6 million in cash paid to the former shareholders of Suncrest as part of the merger consideration.</w:t>
      </w:r>
    </w:p>
    <w:p>
      <w:pPr>
        <w:spacing w:after="0" w:line="141" w:lineRule="exact"/>
        <w:rPr>
          <w:sz w:val="20"/>
          <w:szCs w:val="20"/>
          <w:color w:val="auto"/>
        </w:rPr>
      </w:pPr>
    </w:p>
    <w:p>
      <w:pPr>
        <w:ind w:right="80" w:firstLine="637"/>
        <w:spacing w:after="0" w:line="253" w:lineRule="auto"/>
        <w:rPr>
          <w:sz w:val="20"/>
          <w:szCs w:val="20"/>
          <w:color w:val="auto"/>
        </w:rPr>
      </w:pPr>
      <w:r>
        <w:rPr>
          <w:rFonts w:ascii="Times New Roman" w:cs="Times New Roman" w:eastAsia="Times New Roman" w:hAnsi="Times New Roman"/>
          <w:sz w:val="18"/>
          <w:szCs w:val="18"/>
          <w:color w:val="auto"/>
        </w:rPr>
        <w:t>Total liabilities were $14.53 billion at December 31, 2022, an increase of $725.8 million, or 5.26%, from total liabilities of $13.80 billion at December 31, 2021. Total deposits declined by $140.2 million, or 1.08%. We had borrowings of $995 million overnight from the Federal Home Loan Bank as of December 31, 2022. The seasonal increase in dairy &amp; livestock loans that occurs every year end, as well as a decrease in deposits late in 2022, driven by the higher interest rates and an inflationary environment, as well as seasonal declines in deposits, resulted in higher levels of borrowing at year end. Total equity decreased $133.0 million, or 6.39%, to $1.95 billion at December 31, 2022, compared to total equity of $2.08 billion at December 31, 2021. Increases to equity during 2022, included $197.1 million for the issuance of 8.6 million shares to acquire Suncrest and $235.4 million in net earnings. Decreases included $108.1 million in cash dividends and a $350.8 million decrease in other comprehensive income from the tax effected impact of the decline in market value of available-for-sale securities. During 2022, we executed on a $70 million accelerated stock repurchase program and retired 2,993,551 shares of common stock at an average price of $23.38. We also repurchased, under our 10b5-1 stock repurchase plan, 1,914,590 shares of common stock, at an average repurchase price of $23.43, totaling $44.9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88" w:lineRule="exact"/>
        <w:rPr>
          <w:sz w:val="20"/>
          <w:szCs w:val="20"/>
          <w:color w:val="auto"/>
        </w:rPr>
      </w:pPr>
    </w:p>
    <w:p>
      <w:pPr>
        <w:ind w:right="140" w:firstLine="637"/>
        <w:spacing w:after="0" w:line="254" w:lineRule="auto"/>
        <w:rPr>
          <w:sz w:val="20"/>
          <w:szCs w:val="20"/>
          <w:color w:val="auto"/>
        </w:rPr>
      </w:pPr>
      <w:r>
        <w:rPr>
          <w:rFonts w:ascii="Times New Roman" w:cs="Times New Roman" w:eastAsia="Times New Roman" w:hAnsi="Times New Roman"/>
          <w:sz w:val="18"/>
          <w:szCs w:val="18"/>
          <w:color w:val="auto"/>
        </w:rPr>
        <w:t>The Company maintains a portfolio of investment securities to provide interest income and to serve as a source of liquidity for our ongoing operations. At December 31, 2022, total investment securities were $5.81 billion. This represented an increase of $699.6 million, or 13.69%, from total investment securities of $5.11 billion at December 31, 2021. The increase in investment securities was primarily due to new securities purchased in excess of the cash outflow from the portfolio in 2022. At December 31, 2022, investment securities HTM totaled $2.55 billion. At December 31, 2022, our AFS investment securities totaled $3.26 billion, inclusive of a pre-tax net unrealized loss of $500.1 million. The after-tax unrealized loss reported in AOCI on AFS investment securities was $352.2 million. The changes in the net unrealized holding gain (loss) resulted primarily from fluctuations in market interest rates. For the years ended December 31, 2022 and 2021, repayments/maturities of investment securities totaled $661.5 million and $928.4 million, respectively. The Company purchased additional investment securities totaling $1.76 billion and $3.16 billion for the years ended December 31, 2022 and 2021, respectively. There were no investment securities sold during the years ended December 31, 2022 and 2021.</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tables below set forth our investment securities AFS and HTM portfolio by type for the dates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w w:val="87"/>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9"/>
                <w:szCs w:val="19"/>
                <w:color w:val="auto"/>
              </w:rPr>
            </w:pPr>
          </w:p>
        </w:tc>
        <w:tc>
          <w:tcPr>
            <w:tcW w:w="15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2,789,141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85.68 %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2,563,214</w:t>
            </w: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80.50 %</w:t>
            </w:r>
          </w:p>
        </w:tc>
        <w:tc>
          <w:tcPr>
            <w:tcW w:w="0" w:type="dxa"/>
            <w:vAlign w:val="bottom"/>
          </w:tcPr>
          <w:p>
            <w:pPr>
              <w:spacing w:after="0"/>
              <w:rPr>
                <w:sz w:val="1"/>
                <w:szCs w:val="1"/>
                <w:color w:val="auto"/>
              </w:rPr>
            </w:pPr>
          </w:p>
        </w:tc>
      </w:tr>
      <w:tr>
        <w:trPr>
          <w:trHeight w:val="229"/>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13.49 %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590,158</w:t>
            </w: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18.53 %</w:t>
            </w:r>
          </w:p>
        </w:tc>
        <w:tc>
          <w:tcPr>
            <w:tcW w:w="0" w:type="dxa"/>
            <w:vAlign w:val="bottom"/>
          </w:tcPr>
          <w:p>
            <w:pPr>
              <w:spacing w:after="0"/>
              <w:rPr>
                <w:sz w:val="1"/>
                <w:szCs w:val="1"/>
                <w:color w:val="auto"/>
              </w:rPr>
            </w:pPr>
          </w:p>
        </w:tc>
      </w:tr>
      <w:tr>
        <w:trPr>
          <w:trHeight w:val="229"/>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0.79 %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29,468</w:t>
            </w: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0.93 %</w:t>
            </w:r>
          </w:p>
        </w:tc>
        <w:tc>
          <w:tcPr>
            <w:tcW w:w="0" w:type="dxa"/>
            <w:vAlign w:val="bottom"/>
          </w:tcPr>
          <w:p>
            <w:pPr>
              <w:spacing w:after="0"/>
              <w:rPr>
                <w:sz w:val="1"/>
                <w:szCs w:val="1"/>
                <w:color w:val="auto"/>
              </w:rPr>
            </w:pPr>
          </w:p>
        </w:tc>
      </w:tr>
      <w:tr>
        <w:trPr>
          <w:trHeight w:val="229"/>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securities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0.04 %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0" w:type="dxa"/>
            <w:vAlign w:val="bottom"/>
          </w:tcPr>
          <w:p>
            <w:pPr>
              <w:spacing w:after="0"/>
              <w:rPr>
                <w:sz w:val="1"/>
                <w:szCs w:val="1"/>
                <w:color w:val="auto"/>
              </w:rPr>
            </w:pPr>
          </w:p>
        </w:tc>
      </w:tr>
      <w:tr>
        <w:trPr>
          <w:trHeight w:val="33"/>
        </w:trPr>
        <w:tc>
          <w:tcPr>
            <w:tcW w:w="43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3,255,211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100.00 </w:t>
            </w:r>
            <w:r>
              <w:rPr>
                <w:rFonts w:ascii="Times New Roman" w:cs="Times New Roman" w:eastAsia="Times New Roman" w:hAnsi="Times New Roman"/>
                <w:sz w:val="16"/>
                <w:szCs w:val="16"/>
                <w:color w:val="auto"/>
                <w:highlight w:val="white"/>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3,183,923</w:t>
            </w: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100.00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62" w:right="2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3"/>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9"/>
                <w:szCs w:val="19"/>
                <w:color w:val="auto"/>
              </w:rPr>
            </w:pPr>
          </w:p>
        </w:tc>
        <w:tc>
          <w:tcPr>
            <w:tcW w:w="15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548,771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21.48 %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576,899</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29.95 %</w:t>
            </w:r>
          </w:p>
        </w:tc>
        <w:tc>
          <w:tcPr>
            <w:tcW w:w="0" w:type="dxa"/>
            <w:vAlign w:val="bottom"/>
          </w:tcPr>
          <w:p>
            <w:pPr>
              <w:spacing w:after="0"/>
              <w:rPr>
                <w:sz w:val="1"/>
                <w:szCs w:val="1"/>
                <w:color w:val="auto"/>
              </w:rPr>
            </w:pPr>
          </w:p>
        </w:tc>
      </w:tr>
      <w:tr>
        <w:trPr>
          <w:trHeight w:val="229"/>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27.67 %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647,390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33.61 %</w:t>
            </w:r>
          </w:p>
        </w:tc>
        <w:tc>
          <w:tcPr>
            <w:tcW w:w="0" w:type="dxa"/>
            <w:vAlign w:val="bottom"/>
          </w:tcPr>
          <w:p>
            <w:pPr>
              <w:spacing w:after="0"/>
              <w:rPr>
                <w:sz w:val="1"/>
                <w:szCs w:val="1"/>
                <w:color w:val="auto"/>
              </w:rPr>
            </w:pPr>
          </w:p>
        </w:tc>
      </w:tr>
      <w:tr>
        <w:trPr>
          <w:trHeight w:val="229"/>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32.39 %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490,670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25.48 %</w:t>
            </w:r>
          </w:p>
        </w:tc>
        <w:tc>
          <w:tcPr>
            <w:tcW w:w="0" w:type="dxa"/>
            <w:vAlign w:val="bottom"/>
          </w:tcPr>
          <w:p>
            <w:pPr>
              <w:spacing w:after="0"/>
              <w:rPr>
                <w:sz w:val="1"/>
                <w:szCs w:val="1"/>
                <w:color w:val="auto"/>
              </w:rPr>
            </w:pPr>
          </w:p>
        </w:tc>
      </w:tr>
      <w:tr>
        <w:trPr>
          <w:trHeight w:val="229"/>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471,388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18.46 %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211,011</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10.96 %</w:t>
            </w:r>
          </w:p>
        </w:tc>
        <w:tc>
          <w:tcPr>
            <w:tcW w:w="0" w:type="dxa"/>
            <w:vAlign w:val="bottom"/>
          </w:tcPr>
          <w:p>
            <w:pPr>
              <w:spacing w:after="0"/>
              <w:rPr>
                <w:sz w:val="1"/>
                <w:szCs w:val="1"/>
                <w:color w:val="auto"/>
              </w:rPr>
            </w:pPr>
          </w:p>
        </w:tc>
      </w:tr>
      <w:tr>
        <w:trPr>
          <w:trHeight w:val="33"/>
        </w:trPr>
        <w:tc>
          <w:tcPr>
            <w:tcW w:w="43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2,554,301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xml:space="preserve">100.00 </w:t>
            </w:r>
            <w:r>
              <w:rPr>
                <w:rFonts w:ascii="Times New Roman" w:cs="Times New Roman" w:eastAsia="Times New Roman" w:hAnsi="Times New Roman"/>
                <w:sz w:val="16"/>
                <w:szCs w:val="16"/>
                <w:color w:val="auto"/>
                <w:highlight w:val="white"/>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1,925,970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100.00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Fair Value</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2,155,587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1,921,693</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-787400</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3251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-24765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distribution of the AFS and HTM portfolios consist of the following as of the date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After One</w:t>
            </w:r>
          </w:p>
        </w:tc>
        <w:tc>
          <w:tcPr>
            <w:tcW w:w="140" w:type="dxa"/>
            <w:vAlign w:val="bottom"/>
          </w:tcPr>
          <w:p>
            <w:pPr>
              <w:spacing w:after="0"/>
              <w:rPr>
                <w:sz w:val="11"/>
                <w:szCs w:val="11"/>
                <w:color w:val="auto"/>
              </w:rPr>
            </w:pPr>
          </w:p>
        </w:tc>
        <w:tc>
          <w:tcPr>
            <w:tcW w:w="1120" w:type="dxa"/>
            <w:vAlign w:val="bottom"/>
            <w:gridSpan w:val="2"/>
          </w:tcPr>
          <w:p>
            <w:pPr>
              <w:jc w:val="center"/>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One Year or</w:t>
            </w: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2"/>
                <w:szCs w:val="12"/>
                <w:color w:val="auto"/>
              </w:rPr>
            </w:pPr>
          </w:p>
        </w:tc>
        <w:tc>
          <w:tcPr>
            <w:tcW w:w="112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Five Years</w:t>
            </w:r>
          </w:p>
        </w:tc>
        <w:tc>
          <w:tcPr>
            <w:tcW w:w="160" w:type="dxa"/>
            <w:vAlign w:val="bottom"/>
          </w:tcPr>
          <w:p>
            <w:pPr>
              <w:spacing w:after="0"/>
              <w:rPr>
                <w:sz w:val="12"/>
                <w:szCs w:val="12"/>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After Ten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 to</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0" w:type="dxa"/>
            <w:vAlign w:val="bottom"/>
          </w:tcPr>
          <w:p>
            <w:pPr>
              <w:spacing w:after="0"/>
              <w:rPr>
                <w:sz w:val="12"/>
                <w:szCs w:val="12"/>
                <w:color w:val="auto"/>
              </w:rPr>
            </w:pPr>
          </w:p>
        </w:tc>
        <w:tc>
          <w:tcPr>
            <w:tcW w:w="112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Less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Five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Ten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128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i w:val="1"/>
                <w:iCs w:val="1"/>
                <w:color w:val="auto"/>
                <w:w w:val="94"/>
              </w:rPr>
              <w:t>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321,976</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1,392,229</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1,074,766</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2,789,141</w:t>
            </w:r>
          </w:p>
        </w:tc>
        <w:tc>
          <w:tcPr>
            <w:tcW w:w="2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85.68 %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CMO/REMIC</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10,795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421,505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439,303</w:t>
            </w:r>
          </w:p>
        </w:tc>
        <w:tc>
          <w:tcPr>
            <w:tcW w:w="2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Municipal bonds (1)</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25,687</w:t>
            </w:r>
          </w:p>
        </w:tc>
        <w:tc>
          <w:tcPr>
            <w:tcW w:w="2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securities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330,565</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1,420,508</w:t>
            </w: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1,502,555</w:t>
            </w:r>
          </w:p>
        </w:tc>
        <w:tc>
          <w:tcPr>
            <w:tcW w:w="2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3,255,211</w:t>
            </w:r>
          </w:p>
        </w:tc>
        <w:tc>
          <w:tcPr>
            <w:tcW w:w="2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100.00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yield:</w:t>
            </w: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3.45 %</w:t>
            </w: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2.87 %</w:t>
            </w:r>
          </w:p>
        </w:tc>
        <w:tc>
          <w:tcPr>
            <w:tcW w:w="14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1.82 %</w:t>
            </w:r>
          </w:p>
        </w:tc>
        <w:tc>
          <w:tcPr>
            <w:tcW w:w="16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2.46 %</w:t>
            </w:r>
          </w:p>
        </w:tc>
        <w:tc>
          <w:tcPr>
            <w:tcW w:w="2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2.19 %</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CMO/REMIC</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2.66 %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2.85 %</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1.56 %</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1.61 %</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Municipal bonds (1)</w:t>
            </w: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5.13 %</w:t>
            </w: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3.63 %</w:t>
            </w:r>
          </w:p>
        </w:tc>
        <w:tc>
          <w:tcPr>
            <w:tcW w:w="14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2.38 %</w:t>
            </w:r>
          </w:p>
        </w:tc>
        <w:tc>
          <w:tcPr>
            <w:tcW w:w="16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2.50 %</w:t>
            </w:r>
          </w:p>
        </w:tc>
        <w:tc>
          <w:tcPr>
            <w:tcW w:w="2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2.53 %</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securities</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2.51 %</w:t>
            </w: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2.51 %</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3.16 %</w:t>
            </w: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2.87 %</w:t>
            </w:r>
          </w:p>
        </w:tc>
        <w:tc>
          <w:tcPr>
            <w:tcW w:w="140" w:type="dxa"/>
            <w:vAlign w:val="bottom"/>
          </w:tcPr>
          <w:p>
            <w:pPr>
              <w:spacing w:after="0"/>
              <w:rPr>
                <w:sz w:val="16"/>
                <w:szCs w:val="16"/>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1.83 %</w:t>
            </w:r>
          </w:p>
        </w:tc>
        <w:tc>
          <w:tcPr>
            <w:tcW w:w="16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2.21 %</w:t>
            </w:r>
          </w:p>
        </w:tc>
        <w:tc>
          <w:tcPr>
            <w:tcW w:w="2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2.11 %</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-819785</wp:posOffset>
            </wp:positionV>
            <wp:extent cx="76835"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-819785</wp:posOffset>
            </wp:positionV>
            <wp:extent cx="7683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-819785</wp:posOffset>
            </wp:positionV>
            <wp:extent cx="6858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-819785</wp:posOffset>
            </wp:positionV>
            <wp:extent cx="6858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-819785</wp:posOffset>
            </wp:positionV>
            <wp:extent cx="6858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1" w:lineRule="exact"/>
        <w:rPr>
          <w:sz w:val="20"/>
          <w:szCs w:val="20"/>
          <w:color w:val="auto"/>
        </w:rPr>
      </w:pPr>
    </w:p>
    <w:p>
      <w:pPr>
        <w:ind w:left="1520" w:right="140" w:hanging="374"/>
        <w:spacing w:after="0" w:line="297" w:lineRule="auto"/>
        <w:tabs>
          <w:tab w:leader="none" w:pos="15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yield for the portfolio is based on projected duration and is not tax-equivalent. The tax-equivalent yield at December 31, 2022 was 3.20%.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After One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One Year 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Five Years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After Ten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 to</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Less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Five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Ten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128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i w:val="1"/>
                <w:iCs w:val="1"/>
                <w:color w:val="auto"/>
                <w:w w:val="94"/>
              </w:rPr>
              <w:t>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Government agency/GSE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418,481</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548,771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21.48 %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20,903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31,924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653,969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706,796</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CMO/REMIC</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827,346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827,346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32.39 %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Municipal bonds (1)</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20,992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101,338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347,058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471,388</w:t>
            </w:r>
          </w:p>
        </w:tc>
        <w:tc>
          <w:tcPr>
            <w:tcW w:w="2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41,895</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263,552</w:t>
            </w: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2,246,854</w:t>
            </w:r>
          </w:p>
        </w:tc>
        <w:tc>
          <w:tcPr>
            <w:tcW w:w="2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2,554,301</w:t>
            </w:r>
          </w:p>
        </w:tc>
        <w:tc>
          <w:tcPr>
            <w:tcW w:w="2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100.00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-144780</wp:posOffset>
            </wp:positionV>
            <wp:extent cx="76835"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-144780</wp:posOffset>
            </wp:positionV>
            <wp:extent cx="76835"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-144780</wp:posOffset>
            </wp:positionV>
            <wp:extent cx="6858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-144780</wp:posOffset>
            </wp:positionV>
            <wp:extent cx="6858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-144780</wp:posOffset>
            </wp:positionV>
            <wp:extent cx="6858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yield:</w:t>
            </w:r>
          </w:p>
        </w:tc>
        <w:tc>
          <w:tcPr>
            <w:tcW w:w="21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080" w:type="dxa"/>
            <w:vAlign w:val="bottom"/>
            <w:shd w:val="clear" w:color="auto" w:fill="CFF0FC"/>
          </w:tcPr>
          <w:p>
            <w:pPr>
              <w:spacing w:after="0"/>
              <w:rPr>
                <w:sz w:val="13"/>
                <w:szCs w:val="13"/>
                <w:color w:val="auto"/>
              </w:rPr>
            </w:pPr>
          </w:p>
        </w:tc>
      </w:tr>
      <w:tr>
        <w:trPr>
          <w:trHeight w:val="175"/>
        </w:trPr>
        <w:tc>
          <w:tcPr>
            <w:tcW w:w="3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Government agency/GSE</w:t>
            </w:r>
          </w:p>
        </w:tc>
        <w:tc>
          <w:tcPr>
            <w:tcW w:w="21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1.52 %</w:t>
            </w:r>
          </w:p>
        </w:tc>
        <w:tc>
          <w:tcPr>
            <w:tcW w:w="12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1.90 %</w:t>
            </w:r>
          </w:p>
        </w:tc>
        <w:tc>
          <w:tcPr>
            <w:tcW w:w="208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1.81 %</w:t>
            </w:r>
          </w:p>
        </w:tc>
      </w:tr>
      <w:tr>
        <w:trPr>
          <w:trHeight w:val="175"/>
        </w:trPr>
        <w:tc>
          <w:tcPr>
            <w:tcW w:w="3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180" w:type="dxa"/>
            <w:vAlign w:val="bottom"/>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1.87 %</w:t>
            </w:r>
          </w:p>
        </w:tc>
        <w:tc>
          <w:tcPr>
            <w:tcW w:w="12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2.67 %</w:t>
            </w:r>
          </w:p>
        </w:tc>
        <w:tc>
          <w:tcPr>
            <w:tcW w:w="126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2.46 %</w:t>
            </w:r>
          </w:p>
        </w:tc>
        <w:tc>
          <w:tcPr>
            <w:tcW w:w="2080" w:type="dxa"/>
            <w:vAlign w:val="bottom"/>
            <w:shd w:val="clear" w:color="auto" w:fill="CFF0FC"/>
          </w:tcPr>
          <w:p>
            <w:pPr>
              <w:jc w:val="right"/>
              <w:ind w:right="1168"/>
              <w:spacing w:after="0"/>
              <w:rPr>
                <w:sz w:val="20"/>
                <w:szCs w:val="20"/>
                <w:color w:val="auto"/>
              </w:rPr>
            </w:pPr>
            <w:r>
              <w:rPr>
                <w:rFonts w:ascii="Times New Roman" w:cs="Times New Roman" w:eastAsia="Times New Roman" w:hAnsi="Times New Roman"/>
                <w:sz w:val="14"/>
                <w:szCs w:val="14"/>
                <w:color w:val="auto"/>
              </w:rPr>
              <w:t>2.45 %</w:t>
            </w:r>
          </w:p>
        </w:tc>
      </w:tr>
      <w:tr>
        <w:trPr>
          <w:trHeight w:val="175"/>
        </w:trPr>
        <w:tc>
          <w:tcPr>
            <w:tcW w:w="3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CMO/REMIC</w:t>
            </w:r>
          </w:p>
        </w:tc>
        <w:tc>
          <w:tcPr>
            <w:tcW w:w="21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1.89 %</w:t>
            </w:r>
          </w:p>
        </w:tc>
        <w:tc>
          <w:tcPr>
            <w:tcW w:w="208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1.89 %</w:t>
            </w:r>
          </w:p>
        </w:tc>
      </w:tr>
      <w:tr>
        <w:trPr>
          <w:trHeight w:val="175"/>
        </w:trPr>
        <w:tc>
          <w:tcPr>
            <w:tcW w:w="3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Municipal bonds (1)</w:t>
            </w:r>
          </w:p>
        </w:tc>
        <w:tc>
          <w:tcPr>
            <w:tcW w:w="2180" w:type="dxa"/>
            <w:vAlign w:val="bottom"/>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2.58 %</w:t>
            </w:r>
          </w:p>
        </w:tc>
        <w:tc>
          <w:tcPr>
            <w:tcW w:w="1320" w:type="dxa"/>
            <w:vAlign w:val="bottom"/>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2.72 %</w:t>
            </w:r>
          </w:p>
        </w:tc>
        <w:tc>
          <w:tcPr>
            <w:tcW w:w="128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2.47 %</w:t>
            </w:r>
          </w:p>
        </w:tc>
        <w:tc>
          <w:tcPr>
            <w:tcW w:w="126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2.68 %</w:t>
            </w:r>
          </w:p>
        </w:tc>
        <w:tc>
          <w:tcPr>
            <w:tcW w:w="2080" w:type="dxa"/>
            <w:vAlign w:val="bottom"/>
            <w:shd w:val="clear" w:color="auto" w:fill="CFF0FC"/>
          </w:tcPr>
          <w:p>
            <w:pPr>
              <w:jc w:val="right"/>
              <w:ind w:right="1168"/>
              <w:spacing w:after="0"/>
              <w:rPr>
                <w:sz w:val="20"/>
                <w:szCs w:val="20"/>
                <w:color w:val="auto"/>
              </w:rPr>
            </w:pPr>
            <w:r>
              <w:rPr>
                <w:rFonts w:ascii="Times New Roman" w:cs="Times New Roman" w:eastAsia="Times New Roman" w:hAnsi="Times New Roman"/>
                <w:sz w:val="14"/>
                <w:szCs w:val="14"/>
                <w:color w:val="auto"/>
              </w:rPr>
              <w:t>2.63 %</w:t>
            </w:r>
          </w:p>
        </w:tc>
      </w:tr>
      <w:tr>
        <w:trPr>
          <w:trHeight w:val="186"/>
        </w:trPr>
        <w:tc>
          <w:tcPr>
            <w:tcW w:w="3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21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2.58 %</w:t>
            </w: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2.30 %</w:t>
            </w: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2.02 %</w:t>
            </w:r>
          </w:p>
        </w:tc>
        <w:tc>
          <w:tcPr>
            <w:tcW w:w="12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2.18 %</w:t>
            </w:r>
          </w:p>
        </w:tc>
        <w:tc>
          <w:tcPr>
            <w:tcW w:w="208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2.16 %</w:t>
            </w:r>
          </w:p>
        </w:tc>
      </w:tr>
    </w:tbl>
    <w:p>
      <w:pPr>
        <w:spacing w:after="0" w:line="191" w:lineRule="exact"/>
        <w:rPr>
          <w:sz w:val="20"/>
          <w:szCs w:val="20"/>
          <w:color w:val="auto"/>
        </w:rPr>
      </w:pPr>
    </w:p>
    <w:p>
      <w:pPr>
        <w:ind w:left="1520" w:right="160" w:hanging="374"/>
        <w:spacing w:after="0" w:line="297" w:lineRule="auto"/>
        <w:tabs>
          <w:tab w:leader="none" w:pos="1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yield for the portfolio is based on projected duration and is not tax-equivalent. The tax equivalent yield at December 31, 2022 was 3.33%.</w:t>
      </w:r>
    </w:p>
    <w:p>
      <w:pPr>
        <w:spacing w:after="0" w:line="160" w:lineRule="exact"/>
        <w:rPr>
          <w:sz w:val="20"/>
          <w:szCs w:val="20"/>
          <w:color w:val="auto"/>
        </w:rPr>
      </w:pPr>
    </w:p>
    <w:p>
      <w:pPr>
        <w:ind w:right="120" w:firstLine="637"/>
        <w:spacing w:after="0" w:line="256" w:lineRule="auto"/>
        <w:rPr>
          <w:sz w:val="20"/>
          <w:szCs w:val="20"/>
          <w:color w:val="auto"/>
        </w:rPr>
      </w:pPr>
      <w:r>
        <w:rPr>
          <w:rFonts w:ascii="Times New Roman" w:cs="Times New Roman" w:eastAsia="Times New Roman" w:hAnsi="Times New Roman"/>
          <w:sz w:val="18"/>
          <w:szCs w:val="18"/>
          <w:color w:val="auto"/>
        </w:rPr>
        <w:t>The maturity of each security category is defined as the contractual maturity except for the categories of mortgage-backed securities and CMO/REMIC whose maturities are defined as the estimated average life. The final maturity of mortgage-backed securities and CMO/REMIC will differ from their contractual maturities because the underlying mortgages have the right to repay such obligations without penalty. The speed at which the underlying mortgages repay is influenced by many factors, one of which is interest rates. Mortgages tend to repay faster as interest rates fall and slower as interest rate rise. This will either shorten or extend the estimated average life. Also, the yield on mortgage-backed securities and CMO/REMIC are affected by the speed at which the underlying mortgages repay. This is caused by the change in the amount</w:t>
      </w:r>
    </w:p>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53" w:right="299" w:bottom="1440" w:gutter="0" w:footer="0" w:header="0"/>
        </w:sectPr>
      </w:pPr>
    </w:p>
    <w:bookmarkStart w:id="51" w:name="page52"/>
    <w:bookmarkEnd w:id="51"/>
    <w:p>
      <w:pPr>
        <w:ind w:right="100"/>
        <w:spacing w:after="0" w:line="281" w:lineRule="auto"/>
        <w:rPr>
          <w:sz w:val="20"/>
          <w:szCs w:val="20"/>
          <w:color w:val="auto"/>
        </w:rPr>
      </w:pPr>
      <w:r>
        <w:rPr>
          <w:rFonts w:ascii="Times New Roman" w:cs="Times New Roman" w:eastAsia="Times New Roman" w:hAnsi="Times New Roman"/>
          <w:sz w:val="18"/>
          <w:szCs w:val="18"/>
          <w:color w:val="auto"/>
        </w:rPr>
        <w:t>of amortization of premiums or accretion of discounts of each security as repayments increase or decrease. The Company obtains the estimated average life of each security from independent third parties.</w:t>
      </w:r>
    </w:p>
    <w:p>
      <w:pPr>
        <w:spacing w:after="0" w:line="163" w:lineRule="exact"/>
        <w:rPr>
          <w:sz w:val="20"/>
          <w:szCs w:val="20"/>
          <w:color w:val="auto"/>
        </w:rPr>
      </w:pPr>
    </w:p>
    <w:p>
      <w:pPr>
        <w:ind w:right="260" w:firstLine="637"/>
        <w:spacing w:after="0" w:line="260" w:lineRule="auto"/>
        <w:rPr>
          <w:sz w:val="20"/>
          <w:szCs w:val="20"/>
          <w:color w:val="auto"/>
        </w:rPr>
      </w:pPr>
      <w:r>
        <w:rPr>
          <w:rFonts w:ascii="Times New Roman" w:cs="Times New Roman" w:eastAsia="Times New Roman" w:hAnsi="Times New Roman"/>
          <w:sz w:val="18"/>
          <w:szCs w:val="18"/>
          <w:color w:val="auto"/>
        </w:rPr>
        <w:t>The weighted-average yield on the total investment portfolio at December 31, 2022 was 2.13% with a weighted-average life of 6.9 years. This compares to a weighted-average yield of 1.71% at December 31, 2021 with a weighted-average life of 5.5 years. The weighted 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spacing w:after="0" w:line="182" w:lineRule="exact"/>
        <w:rPr>
          <w:sz w:val="20"/>
          <w:szCs w:val="20"/>
          <w:color w:val="auto"/>
        </w:rPr>
      </w:pPr>
    </w:p>
    <w:p>
      <w:pPr>
        <w:ind w:right="160" w:firstLine="637"/>
        <w:spacing w:after="0" w:line="260" w:lineRule="auto"/>
        <w:rPr>
          <w:sz w:val="20"/>
          <w:szCs w:val="20"/>
          <w:color w:val="auto"/>
        </w:rPr>
      </w:pPr>
      <w:r>
        <w:rPr>
          <w:rFonts w:ascii="Times New Roman" w:cs="Times New Roman" w:eastAsia="Times New Roman" w:hAnsi="Times New Roman"/>
          <w:sz w:val="18"/>
          <w:szCs w:val="18"/>
          <w:color w:val="auto"/>
        </w:rPr>
        <w:t>Approximately 91% of the securities in the total investment portfolio, at December 31, 2022, are issued by the U.S. government or U.S. government-sponsored agencies and enterprises, which have the implied guarantee of payment of principal and interest. As of December 31, 2022, approximately $43.0 million in U.S. government agency bonds are callable. The Agency CMO/REMIC are backed by agency-pooled collateral. Municipal bonds, which represented approximately 9% of the total investment portfolio, are predominately AA or higher rated securities.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held investment securities in excess of 10% of shareholders’ equity from the following issuers as of the dates presented.</w:t>
      </w:r>
    </w:p>
    <w:p>
      <w:pPr>
        <w:spacing w:after="0" w:line="26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9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100" w:type="dxa"/>
            <w:vAlign w:val="bottom"/>
          </w:tcPr>
          <w:p>
            <w:pPr>
              <w:spacing w:after="0"/>
              <w:rPr>
                <w:sz w:val="20"/>
                <w:szCs w:val="20"/>
                <w:color w:val="auto"/>
              </w:rPr>
            </w:pPr>
          </w:p>
        </w:tc>
      </w:tr>
      <w:tr>
        <w:trPr>
          <w:trHeight w:val="235"/>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Major issuer:</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2,335,820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2,027,891</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1,889,580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1,894,361</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1,660,357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1,441,555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1,459,217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1,461,769</w:t>
            </w:r>
          </w:p>
        </w:tc>
        <w:tc>
          <w:tcPr>
            <w:tcW w:w="100" w:type="dxa"/>
            <w:vAlign w:val="bottom"/>
            <w:shd w:val="clear" w:color="auto" w:fill="CFF0FC"/>
          </w:tcPr>
          <w:p>
            <w:pPr>
              <w:spacing w:after="0"/>
              <w:rPr>
                <w:sz w:val="21"/>
                <w:szCs w:val="21"/>
                <w:color w:val="auto"/>
              </w:rPr>
            </w:pPr>
          </w:p>
        </w:tc>
      </w:tr>
      <w:tr>
        <w:trPr>
          <w:trHeight w:val="234"/>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National Mortgage Association</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1,346,251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1,010,558</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740" w:firstLine="644"/>
        <w:spacing w:after="0" w:line="281" w:lineRule="auto"/>
        <w:rPr>
          <w:sz w:val="20"/>
          <w:szCs w:val="20"/>
          <w:color w:val="auto"/>
        </w:rPr>
      </w:pPr>
      <w:r>
        <w:rPr>
          <w:rFonts w:ascii="Times New Roman" w:cs="Times New Roman" w:eastAsia="Times New Roman" w:hAnsi="Times New Roman"/>
          <w:sz w:val="18"/>
          <w:szCs w:val="18"/>
          <w:color w:val="auto"/>
        </w:rPr>
        <w:t>Municipal securities held by the Company are issued by various states and their various local municipalities. The following tables present municipal securities by the top holdings by state as of the dates presented.</w:t>
      </w:r>
    </w:p>
    <w:p>
      <w:pPr>
        <w:spacing w:after="0" w:line="17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1"/>
                <w:szCs w:val="21"/>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Securities available-for-sale:</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Minnesota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41.2 %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38"/>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Connecticut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Massachusetts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15.5 %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5.6 %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5.3 %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Wisconsin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4.4 %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5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 states (2 states)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7.0 %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6"/>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24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24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Municipal Securities held-to-maturity: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Texas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78,864</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16.7 %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71,453</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Minnesota</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45,589</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9.7 %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44,570</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9.5 %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38,839</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6.4 %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26,845</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Massachusetts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27,212</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5.8 %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25,667</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Washington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28,898</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6.1 %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 states (27 states)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216,155</w:t>
            </w:r>
          </w:p>
        </w:tc>
        <w:tc>
          <w:tcPr>
            <w:tcW w:w="240" w:type="dxa"/>
            <w:vAlign w:val="bottom"/>
          </w:tcPr>
          <w:p>
            <w:pPr>
              <w:spacing w:after="0"/>
              <w:rPr>
                <w:sz w:val="21"/>
                <w:szCs w:val="21"/>
                <w:color w:val="auto"/>
              </w:rPr>
            </w:pP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45.8 %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193,509</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0" w:type="dxa"/>
            <w:vAlign w:val="bottom"/>
          </w:tcPr>
          <w:p>
            <w:pPr>
              <w:spacing w:after="0"/>
              <w:rPr>
                <w:sz w:val="1"/>
                <w:szCs w:val="1"/>
                <w:color w:val="auto"/>
              </w:rPr>
            </w:pPr>
          </w:p>
        </w:tc>
      </w:tr>
      <w:tr>
        <w:trPr>
          <w:trHeight w:val="27"/>
        </w:trPr>
        <w:tc>
          <w:tcPr>
            <w:tcW w:w="43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471,388</w:t>
            </w:r>
          </w:p>
        </w:tc>
        <w:tc>
          <w:tcPr>
            <w:tcW w:w="240" w:type="dxa"/>
            <w:vAlign w:val="bottom"/>
          </w:tcPr>
          <w:p>
            <w:pPr>
              <w:spacing w:after="0"/>
              <w:rPr>
                <w:sz w:val="20"/>
                <w:szCs w:val="20"/>
                <w:color w:val="auto"/>
              </w:rPr>
            </w:pP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424,614</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-2961640</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-2653665</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-2345690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-2028825</wp:posOffset>
            </wp:positionV>
            <wp:extent cx="7132320" cy="4883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-1386205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-1078230</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3422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17"/>
                <w:szCs w:val="17"/>
                <w:color w:val="auto"/>
              </w:rPr>
            </w:pPr>
          </w:p>
        </w:tc>
        <w:tc>
          <w:tcPr>
            <w:tcW w:w="20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204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7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200" w:type="dxa"/>
            <w:vAlign w:val="bottom"/>
          </w:tcPr>
          <w:p>
            <w:pPr>
              <w:spacing w:after="0"/>
              <w:rPr>
                <w:sz w:val="20"/>
                <w:szCs w:val="20"/>
                <w:color w:val="auto"/>
              </w:rPr>
            </w:pPr>
          </w:p>
        </w:tc>
        <w:tc>
          <w:tcPr>
            <w:tcW w:w="1480" w:type="dxa"/>
            <w:vAlign w:val="bottom"/>
            <w:tcBorders>
              <w:top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i w:val="1"/>
                <w:iCs w:val="1"/>
                <w:color w:val="auto"/>
                <w:w w:val="80"/>
              </w:rPr>
              <w:t>thousands)</w:t>
            </w:r>
          </w:p>
        </w:tc>
        <w:tc>
          <w:tcPr>
            <w:tcW w:w="2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Securities available-for-sale:</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Minnesota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22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38.9 %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38"/>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Connecticut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Massachusetts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Iowa</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Ohio</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5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 states (2 states)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6"/>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28,365</w:t>
            </w:r>
          </w:p>
        </w:tc>
        <w:tc>
          <w:tcPr>
            <w:tcW w:w="24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22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Municipal Securities held-to-maturity: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Minnesota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38,905</w:t>
            </w:r>
          </w:p>
        </w:tc>
        <w:tc>
          <w:tcPr>
            <w:tcW w:w="22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18.4 %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39,724</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Texas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25,160</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25,083</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Massachusetts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Ohio</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17,617</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Washington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Tennessee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 states (20 states)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84,385</w:t>
            </w:r>
          </w:p>
        </w:tc>
        <w:tc>
          <w:tcPr>
            <w:tcW w:w="24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85,564</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7"/>
        </w:trPr>
        <w:tc>
          <w:tcPr>
            <w:tcW w:w="43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211,011</w:t>
            </w:r>
          </w:p>
        </w:tc>
        <w:tc>
          <w:tcPr>
            <w:tcW w:w="240" w:type="dxa"/>
            <w:vAlign w:val="bottom"/>
          </w:tcPr>
          <w:p>
            <w:pPr>
              <w:spacing w:after="0"/>
              <w:rPr>
                <w:sz w:val="20"/>
                <w:szCs w:val="20"/>
                <w:color w:val="auto"/>
              </w:rPr>
            </w:pPr>
          </w:p>
        </w:tc>
        <w:tc>
          <w:tcPr>
            <w:tcW w:w="2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214,570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-1917065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4883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177"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Under ASU 2016-13, once it is determined that a credit loss has occurred, an allowance for credit losses is established on our available-for-sale and held-to-maturity securities. Prior to adoption of this standard, when a decline in fair value of a debt security was determined to be other than temporary, an impairment charge for the credit component was recorded, and a new cost basis in the investment was established. As of December 31, 2022 and 2021, management determined that credit losses did not exist for securities in an unrealized loss position.</w:t>
      </w:r>
    </w:p>
    <w:p>
      <w:pPr>
        <w:spacing w:after="0" w:line="141" w:lineRule="exact"/>
        <w:rPr>
          <w:sz w:val="20"/>
          <w:szCs w:val="20"/>
          <w:color w:val="auto"/>
        </w:rPr>
      </w:pPr>
    </w:p>
    <w:p>
      <w:pPr>
        <w:ind w:right="420" w:firstLine="644"/>
        <w:spacing w:after="0" w:line="281" w:lineRule="auto"/>
        <w:rPr>
          <w:sz w:val="20"/>
          <w:szCs w:val="20"/>
          <w:color w:val="auto"/>
        </w:rPr>
      </w:pPr>
      <w:r>
        <w:rPr>
          <w:rFonts w:ascii="Times New Roman" w:cs="Times New Roman" w:eastAsia="Times New Roman" w:hAnsi="Times New Roman"/>
          <w:sz w:val="18"/>
          <w:szCs w:val="18"/>
          <w:color w:val="auto"/>
        </w:rPr>
        <w:t>The following tables present the Company’s available-for-sale investment securities, by investment category, in an unrealized loss position for which an allowance for credit losses has not been recorded as of December 31, 2022 and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4"/>
                <w:szCs w:val="14"/>
                <w:color w:val="auto"/>
              </w:rPr>
            </w:pPr>
          </w:p>
        </w:tc>
        <w:tc>
          <w:tcPr>
            <w:tcW w:w="2460" w:type="dxa"/>
            <w:vAlign w:val="bottom"/>
            <w:gridSpan w:val="6"/>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4"/>
                <w:szCs w:val="14"/>
                <w:color w:val="auto"/>
              </w:rPr>
            </w:pPr>
          </w:p>
        </w:tc>
        <w:tc>
          <w:tcPr>
            <w:tcW w:w="13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60" w:type="dxa"/>
            <w:vAlign w:val="bottom"/>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60" w:type="dxa"/>
            <w:vAlign w:val="bottom"/>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6"/>
          </w:tcPr>
          <w:p>
            <w:pPr>
              <w:jc w:val="right"/>
              <w:ind w:right="72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1,658,331</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(187,842 )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1,129,257</w:t>
            </w:r>
          </w:p>
        </w:tc>
        <w:tc>
          <w:tcPr>
            <w:tcW w:w="3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(215,207 )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2,787,588</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(403,049 )</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CMO/REMIC</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54,005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(4,796 )</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385,295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(91,170 )</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439,300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(95,966 )</w:t>
            </w:r>
          </w:p>
        </w:tc>
        <w:tc>
          <w:tcPr>
            <w:tcW w:w="0" w:type="dxa"/>
            <w:vAlign w:val="bottom"/>
          </w:tcPr>
          <w:p>
            <w:pPr>
              <w:spacing w:after="0"/>
              <w:rPr>
                <w:sz w:val="1"/>
                <w:szCs w:val="1"/>
                <w:color w:val="auto"/>
              </w:rPr>
            </w:pPr>
          </w:p>
        </w:tc>
      </w:tr>
      <w:tr>
        <w:trPr>
          <w:trHeight w:val="175"/>
        </w:trPr>
        <w:tc>
          <w:tcPr>
            <w:tcW w:w="3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Municipal bonds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(1,177 )</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(1,177 )</w:t>
            </w: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1,736,843</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(193,815</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1,514,552</w:t>
            </w: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(306,377</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3,251,395</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(500,192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56"/>
        </w:trPr>
        <w:tc>
          <w:tcPr>
            <w:tcW w:w="336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Investment securities held-to-maturity:</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Government agency/GSE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179,348</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(39,866 )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255,080</w:t>
            </w:r>
          </w:p>
        </w:tc>
        <w:tc>
          <w:tcPr>
            <w:tcW w:w="38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(74,477 )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434,428</w:t>
            </w:r>
          </w:p>
        </w:tc>
        <w:tc>
          <w:tcPr>
            <w:tcW w:w="3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(114,343 )</w:t>
            </w:r>
          </w:p>
        </w:tc>
        <w:tc>
          <w:tcPr>
            <w:tcW w:w="0" w:type="dxa"/>
            <w:vAlign w:val="bottom"/>
          </w:tcPr>
          <w:p>
            <w:pPr>
              <w:spacing w:after="0"/>
              <w:rPr>
                <w:sz w:val="1"/>
                <w:szCs w:val="1"/>
                <w:color w:val="auto"/>
              </w:rPr>
            </w:pPr>
          </w:p>
        </w:tc>
      </w:tr>
      <w:tr>
        <w:trPr>
          <w:trHeight w:val="175"/>
        </w:trPr>
        <w:tc>
          <w:tcPr>
            <w:tcW w:w="3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(9,042 )</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(96,825 )</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600,929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(105,867 )</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CMO/REMIC</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376,540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(60,598 )</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319,076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(71,132 )</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695,616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(131,730 )</w:t>
            </w:r>
          </w:p>
        </w:tc>
        <w:tc>
          <w:tcPr>
            <w:tcW w:w="0" w:type="dxa"/>
            <w:vAlign w:val="bottom"/>
          </w:tcPr>
          <w:p>
            <w:pPr>
              <w:spacing w:after="0"/>
              <w:rPr>
                <w:sz w:val="1"/>
                <w:szCs w:val="1"/>
                <w:color w:val="auto"/>
              </w:rPr>
            </w:pPr>
          </w:p>
        </w:tc>
      </w:tr>
      <w:tr>
        <w:trPr>
          <w:trHeight w:val="175"/>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Municipal bonds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312,702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(35,656 )</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(12,031 )</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366,052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(47,687 )</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Total held-to-maturity securities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1,057,070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(145,162</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1,039,955</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(254,465</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2,097,025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(399,627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-727075</wp:posOffset>
            </wp:positionV>
            <wp:extent cx="4307205"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07205" cy="137160"/>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-24765</wp:posOffset>
            </wp:positionV>
            <wp:extent cx="430720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0720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46" w:right="2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4"/>
                <w:szCs w:val="14"/>
                <w:color w:val="auto"/>
              </w:rPr>
            </w:pPr>
          </w:p>
        </w:tc>
        <w:tc>
          <w:tcPr>
            <w:tcW w:w="2460" w:type="dxa"/>
            <w:vAlign w:val="bottom"/>
            <w:gridSpan w:val="5"/>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4"/>
                <w:szCs w:val="14"/>
                <w:color w:val="auto"/>
              </w:rPr>
            </w:pPr>
          </w:p>
        </w:tc>
        <w:tc>
          <w:tcPr>
            <w:tcW w:w="13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60" w:type="dxa"/>
            <w:vAlign w:val="bottom"/>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60" w:type="dxa"/>
            <w:vAlign w:val="bottom"/>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right"/>
              <w:ind w:right="72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1,465,647</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(15,099 )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44,244</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(806 )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1,509,891</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(15,905 )</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CMO/REMIC</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450,393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(11,515 )</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53,745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(2,468 )</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504,138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(13,983 )</w:t>
            </w:r>
          </w:p>
        </w:tc>
        <w:tc>
          <w:tcPr>
            <w:tcW w:w="0" w:type="dxa"/>
            <w:vAlign w:val="bottom"/>
          </w:tcPr>
          <w:p>
            <w:pPr>
              <w:spacing w:after="0"/>
              <w:rPr>
                <w:sz w:val="1"/>
                <w:szCs w:val="1"/>
                <w:color w:val="auto"/>
              </w:rPr>
            </w:pPr>
          </w:p>
        </w:tc>
      </w:tr>
      <w:tr>
        <w:trPr>
          <w:trHeight w:val="175"/>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Municipal bonds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1,916,040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(26,614</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97,989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2,014,029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-24765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right="560" w:firstLine="689"/>
        <w:spacing w:after="0" w:line="283" w:lineRule="auto"/>
        <w:rPr>
          <w:sz w:val="20"/>
          <w:szCs w:val="20"/>
          <w:color w:val="auto"/>
        </w:rPr>
      </w:pPr>
      <w:r>
        <w:rPr>
          <w:rFonts w:ascii="Times New Roman" w:cs="Times New Roman" w:eastAsia="Times New Roman" w:hAnsi="Times New Roman"/>
          <w:sz w:val="18"/>
          <w:szCs w:val="18"/>
          <w:color w:val="auto"/>
        </w:rPr>
        <w:t xml:space="preserve">Refer to Note 5 –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of the notes to the consolidated financial statements of this report for additional information on our investment securities portfolio.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02"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color w:val="auto"/>
        </w:rPr>
        <w:t>Total loans and leases, at amortized cost, of $9.08 billion at December 31, 2022, increased by $1.19 billion, or 15.11%, from $7.89 billion at December 31, 2021. The increase in total loans included $774.5 million of loans acquired from Suncrest in the first quarter of 2022. After adjusting for acquired loans and forgiveness of PPP loans, our core loans grew by $634.3 million, or 8.24% from December 31, 2021. The $634.3 million core loan growth included $514.4 million in commercial real estate loans, $51.2 million in commercial and industrial loans, $31.9 million in dairy &amp; livestock and agribusiness loans, $25.1 million in SFR mortgage loans, $17.9 million in municipal lease financings, and $9.3 million in construction loans, partially offset by a decrease of $17.8 million in SBA loans. PPP loans decreased by $217.1 million, resulting in a remaining balance of $9.1 million at December 31, 2022.</w:t>
      </w:r>
    </w:p>
    <w:p>
      <w:pPr>
        <w:spacing w:after="0" w:line="146" w:lineRule="exact"/>
        <w:rPr>
          <w:sz w:val="20"/>
          <w:szCs w:val="20"/>
          <w:color w:val="auto"/>
        </w:rPr>
      </w:pPr>
    </w:p>
    <w:p>
      <w:pPr>
        <w:ind w:right="520" w:firstLine="644"/>
        <w:spacing w:after="0" w:line="281" w:lineRule="auto"/>
        <w:rPr>
          <w:sz w:val="20"/>
          <w:szCs w:val="20"/>
          <w:color w:val="auto"/>
        </w:rPr>
      </w:pPr>
      <w:r>
        <w:rPr>
          <w:rFonts w:ascii="Times New Roman" w:cs="Times New Roman" w:eastAsia="Times New Roman" w:hAnsi="Times New Roman"/>
          <w:sz w:val="18"/>
          <w:szCs w:val="18"/>
          <w:color w:val="auto"/>
        </w:rPr>
        <w:t>Total loans, at amortized cost, comprised 60.65% of our total earning assets as of December 31, 2022. The following table presents our loan portfolio by type as of the dates presented.</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Distribution of Loan Portfolio by Type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2019 (1)</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Commercial real estate</w:t>
            </w:r>
          </w:p>
        </w:tc>
        <w:tc>
          <w:tcPr>
            <w:tcW w:w="3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6,884,948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5,789,730</w:t>
            </w:r>
          </w:p>
        </w:tc>
        <w:tc>
          <w:tcPr>
            <w:tcW w:w="14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5,501,509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5,374,617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5,394,229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Construction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88,271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62,264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85,145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116,925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122,782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SBA</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290,908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288,600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303,896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305,008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350,043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SBA - PPP</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9,087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186,585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882,986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948,683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813,063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812,062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935,127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1,002,209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Dairy &amp; livestock and agribusiness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433,564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386,219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361,146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383,709</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393,843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Municipal lease finance receivables</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81,126</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45,933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45,547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53,146</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64,186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SFR mortgage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266,024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240,654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270,511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283,468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296,504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Consumer and other loans</w:t>
            </w: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76,781</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74,665</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86,006</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116,319</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128,429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Gross loans (Non-PCI)</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9,079,392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7,887,713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8,348,808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7,568,319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7,752,225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Less: Deferred loan fees, net (2)</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(3,742 )</w:t>
            </w:r>
          </w:p>
        </w:tc>
        <w:tc>
          <w:tcPr>
            <w:tcW w:w="2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(4,828 )</w:t>
            </w:r>
          </w:p>
        </w:tc>
        <w:tc>
          <w:tcPr>
            <w:tcW w:w="0" w:type="dxa"/>
            <w:vAlign w:val="bottom"/>
          </w:tcPr>
          <w:p>
            <w:pPr>
              <w:spacing w:after="0"/>
              <w:rPr>
                <w:sz w:val="1"/>
                <w:szCs w:val="1"/>
                <w:color w:val="auto"/>
              </w:rPr>
            </w:pPr>
          </w:p>
        </w:tc>
      </w:tr>
      <w:tr>
        <w:trPr>
          <w:trHeight w:val="151"/>
        </w:trPr>
        <w:tc>
          <w:tcPr>
            <w:tcW w:w="3760" w:type="dxa"/>
            <w:vAlign w:val="bottom"/>
            <w:tcBorders>
              <w:top w:val="single" w:sz="8" w:color="CFF0FC"/>
            </w:tcBorders>
          </w:tcPr>
          <w:p>
            <w:pPr>
              <w:ind w:left="380"/>
              <w:spacing w:after="0" w:line="151" w:lineRule="exact"/>
              <w:rPr>
                <w:sz w:val="20"/>
                <w:szCs w:val="20"/>
                <w:color w:val="auto"/>
              </w:rPr>
            </w:pPr>
            <w:r>
              <w:rPr>
                <w:rFonts w:ascii="Times New Roman" w:cs="Times New Roman" w:eastAsia="Times New Roman" w:hAnsi="Times New Roman"/>
                <w:sz w:val="15"/>
                <w:szCs w:val="15"/>
                <w:color w:val="auto"/>
              </w:rPr>
              <w:t>Total loans, at amortized cost</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(Non-PCI)</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9,079,392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7,887,713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8,348,808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7,564,577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7,747,397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Less: Allowance for credit losses</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(85,117 )</w:t>
            </w: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(65,019 )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(93,692 )</w:t>
            </w:r>
          </w:p>
        </w:tc>
        <w:tc>
          <w:tcPr>
            <w:tcW w:w="2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(68,660 )</w:t>
            </w:r>
          </w:p>
        </w:tc>
        <w:tc>
          <w:tcPr>
            <w:tcW w:w="2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(63,409 )</w:t>
            </w:r>
          </w:p>
        </w:tc>
        <w:tc>
          <w:tcPr>
            <w:tcW w:w="0" w:type="dxa"/>
            <w:vAlign w:val="bottom"/>
          </w:tcPr>
          <w:p>
            <w:pPr>
              <w:spacing w:after="0"/>
              <w:rPr>
                <w:sz w:val="1"/>
                <w:szCs w:val="1"/>
                <w:color w:val="auto"/>
              </w:rPr>
            </w:pPr>
          </w:p>
        </w:tc>
      </w:tr>
      <w:tr>
        <w:trPr>
          <w:trHeight w:val="182"/>
        </w:trPr>
        <w:tc>
          <w:tcPr>
            <w:tcW w:w="37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5"/>
                <w:szCs w:val="15"/>
                <w:color w:val="auto"/>
              </w:rPr>
              <w:t>Net loans (Non-PCI)</w:t>
            </w: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8,994,275</w:t>
            </w:r>
          </w:p>
        </w:tc>
        <w:tc>
          <w:tcPr>
            <w:tcW w:w="26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7,822,694</w:t>
            </w: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8,255,116</w:t>
            </w:r>
          </w:p>
        </w:tc>
        <w:tc>
          <w:tcPr>
            <w:tcW w:w="2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7,495,917</w:t>
            </w:r>
          </w:p>
        </w:tc>
        <w:tc>
          <w:tcPr>
            <w:tcW w:w="26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7,683,988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6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color w:val="auto"/>
              </w:rPr>
              <w:t>PCI Loans</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17,214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Discount on PCI loans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Less: Allowance for credit losses</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(204 )</w:t>
            </w:r>
          </w:p>
        </w:tc>
        <w:tc>
          <w:tcPr>
            <w:tcW w:w="0" w:type="dxa"/>
            <w:vAlign w:val="bottom"/>
          </w:tcPr>
          <w:p>
            <w:pPr>
              <w:spacing w:after="0"/>
              <w:rPr>
                <w:sz w:val="1"/>
                <w:szCs w:val="1"/>
                <w:color w:val="auto"/>
              </w:rPr>
            </w:pPr>
          </w:p>
        </w:tc>
      </w:tr>
      <w:tr>
        <w:trPr>
          <w:trHeight w:val="182"/>
        </w:trPr>
        <w:tc>
          <w:tcPr>
            <w:tcW w:w="37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5"/>
                <w:szCs w:val="15"/>
                <w:color w:val="auto"/>
              </w:rPr>
              <w:t>PCI loans, net</w:t>
            </w:r>
          </w:p>
        </w:tc>
        <w:tc>
          <w:tcPr>
            <w:tcW w:w="3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1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2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17,010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760" w:type="dxa"/>
            <w:vAlign w:val="bottom"/>
            <w:shd w:val="clear" w:color="auto" w:fill="CFF0FC"/>
          </w:tcPr>
          <w:p>
            <w:pPr>
              <w:ind w:left="740"/>
              <w:spacing w:after="0" w:line="151" w:lineRule="exact"/>
              <w:rPr>
                <w:sz w:val="20"/>
                <w:szCs w:val="20"/>
                <w:color w:val="auto"/>
              </w:rPr>
            </w:pPr>
            <w:r>
              <w:rPr>
                <w:rFonts w:ascii="Times New Roman" w:cs="Times New Roman" w:eastAsia="Times New Roman" w:hAnsi="Times New Roman"/>
                <w:sz w:val="15"/>
                <w:szCs w:val="15"/>
                <w:color w:val="auto"/>
              </w:rPr>
              <w:t>Total loans and lease finance</w:t>
            </w: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vMerge w:val="restart"/>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7,700,998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FF0FC"/>
            </w:tcBorders>
            <w:shd w:val="clear" w:color="auto" w:fill="CFF0FC"/>
          </w:tcPr>
          <w:p>
            <w:pPr>
              <w:ind w:left="860"/>
              <w:spacing w:after="0" w:line="132" w:lineRule="exact"/>
              <w:rPr>
                <w:sz w:val="20"/>
                <w:szCs w:val="20"/>
                <w:color w:val="auto"/>
              </w:rPr>
            </w:pPr>
            <w:r>
              <w:rPr>
                <w:rFonts w:ascii="Times New Roman" w:cs="Times New Roman" w:eastAsia="Times New Roman" w:hAnsi="Times New Roman"/>
                <w:sz w:val="15"/>
                <w:szCs w:val="15"/>
                <w:color w:val="auto"/>
              </w:rPr>
              <w:t>receivables, net</w:t>
            </w:r>
          </w:p>
        </w:tc>
        <w:tc>
          <w:tcPr>
            <w:tcW w:w="3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-1471930</wp:posOffset>
            </wp:positionV>
            <wp:extent cx="76835" cy="1282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-1471930</wp:posOffset>
            </wp:positionV>
            <wp:extent cx="76835" cy="1282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-1471930</wp:posOffset>
            </wp:positionV>
            <wp:extent cx="68580" cy="1282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-1471930</wp:posOffset>
            </wp:positionV>
            <wp:extent cx="68580" cy="128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-1471930</wp:posOffset>
            </wp:positionV>
            <wp:extent cx="68580" cy="128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-1223645</wp:posOffset>
            </wp:positionV>
            <wp:extent cx="76835" cy="2311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23114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-1223645</wp:posOffset>
            </wp:positionV>
            <wp:extent cx="76835" cy="2311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23114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-1223645</wp:posOffset>
            </wp:positionV>
            <wp:extent cx="68580" cy="2311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-1223645</wp:posOffset>
            </wp:positionV>
            <wp:extent cx="68580" cy="2311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2311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-872490</wp:posOffset>
            </wp:positionV>
            <wp:extent cx="7683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-872490</wp:posOffset>
            </wp:positionV>
            <wp:extent cx="7683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-872490</wp:posOffset>
            </wp:positionV>
            <wp:extent cx="6858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-872490</wp:posOffset>
            </wp:positionV>
            <wp:extent cx="6858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020" w:right="720" w:hanging="368"/>
        <w:spacing w:after="0" w:line="268" w:lineRule="auto"/>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 June 30, 2019, PCI loans were accounted for and combined with Non-PCI loans and were reflected in total loans and lease finance receivables.</w:t>
      </w:r>
    </w:p>
    <w:p>
      <w:pPr>
        <w:spacing w:after="0" w:line="1" w:lineRule="exact"/>
        <w:rPr>
          <w:rFonts w:ascii="Times New Roman" w:cs="Times New Roman" w:eastAsia="Times New Roman" w:hAnsi="Times New Roman"/>
          <w:sz w:val="16"/>
          <w:szCs w:val="16"/>
          <w:color w:val="auto"/>
        </w:rPr>
      </w:pPr>
    </w:p>
    <w:p>
      <w:pPr>
        <w:ind w:left="1020" w:hanging="368"/>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 March 31, 2020, gross loans are presented net of deferred loan fees (at amortized cost) by respective class of financing receivables.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54" w:name="page55"/>
    <w:bookmarkEnd w:id="54"/>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As of December 31, 2022, $517.8 million, or 7.52% of the total commercial real estate loans included loans secured by farmland, compared to $364.4 million, or 6.29%, at December 31, 2021. The loans secured by farmland included $140.5 million for loans secured by dairy &amp; livestock land and $377.3 million for loans secured by agricultural land at December 31, 2022, compared to $134.9 million for loans secured by dairy &amp; livestock land and $229.5 million for loans secured by agricultural land at December 31, 2021. As of December 31, 2022, dairy &amp; livestock and agribusiness loans of $433.6 million were comprised of $388.5 million for dairy &amp; livestock loans and $45.1 million for agribusiness loans. This compares to $351.7 million for dairy &amp; livestock loans and $34.5 million for agribusiness loans at December 31, 2021.</w:t>
      </w:r>
    </w:p>
    <w:p>
      <w:pPr>
        <w:spacing w:after="0" w:line="159"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41" w:lineRule="exact"/>
        <w:rPr>
          <w:sz w:val="20"/>
          <w:szCs w:val="20"/>
          <w:color w:val="auto"/>
        </w:rPr>
      </w:pPr>
    </w:p>
    <w:p>
      <w:pPr>
        <w:ind w:right="20" w:firstLine="637"/>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had $211.5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December 31, 2022, the Company had $79.4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45" w:lineRule="exact"/>
        <w:rPr>
          <w:sz w:val="20"/>
          <w:szCs w:val="20"/>
          <w:color w:val="auto"/>
        </w:rPr>
      </w:pPr>
    </w:p>
    <w:p>
      <w:pPr>
        <w:ind w:right="20" w:firstLine="637"/>
        <w:spacing w:after="0" w:line="265" w:lineRule="auto"/>
        <w:rPr>
          <w:sz w:val="20"/>
          <w:szCs w:val="20"/>
          <w:color w:val="auto"/>
        </w:rPr>
      </w:pPr>
      <w:r>
        <w:rPr>
          <w:rFonts w:ascii="Times New Roman" w:cs="Times New Roman" w:eastAsia="Times New Roman" w:hAnsi="Times New Roman"/>
          <w:sz w:val="18"/>
          <w:szCs w:val="18"/>
          <w:color w:val="auto"/>
        </w:rPr>
        <w:t>As an active participant in the SBA’s Paycheck Protection Program, we originated approximately 4,100 PPP loans totaling $1.10 billion in round one and originated approximately 1,900 PPP loans totaling $420 million in round two. As of December 31, 2022, the remaining outstanding balance of PPP loans totaled $9.1 million.</w:t>
      </w:r>
    </w:p>
    <w:p>
      <w:pPr>
        <w:spacing w:after="0" w:line="150" w:lineRule="exact"/>
        <w:rPr>
          <w:sz w:val="20"/>
          <w:szCs w:val="20"/>
          <w:color w:val="auto"/>
        </w:rPr>
      </w:pPr>
    </w:p>
    <w:p>
      <w:pPr>
        <w:ind w:right="220" w:firstLine="637"/>
        <w:spacing w:after="0" w:line="260" w:lineRule="auto"/>
        <w:rPr>
          <w:sz w:val="20"/>
          <w:szCs w:val="20"/>
          <w:color w:val="auto"/>
        </w:rPr>
      </w:pPr>
      <w:r>
        <w:rPr>
          <w:rFonts w:ascii="Times New Roman" w:cs="Times New Roman" w:eastAsia="Times New Roman" w:hAnsi="Times New Roman"/>
          <w:sz w:val="18"/>
          <w:szCs w:val="18"/>
          <w:color w:val="auto"/>
        </w:rPr>
        <w:t>As of December 31, 2022, the Company had $88.3 million in construction loans. This represents 0.97% of total gross loans held-for-investment. Although our construction loans are located throughout our market footprint, the majority of construction loans consist of commercial land development and construction projects in Los Angeles County, Orange County, and the Inland Empire region of Southern California. There were no nonperforming construction loans at December 31, 2022.</w:t>
      </w:r>
    </w:p>
    <w:p>
      <w:pPr>
        <w:spacing w:after="0" w:line="141" w:lineRule="exact"/>
        <w:rPr>
          <w:sz w:val="20"/>
          <w:szCs w:val="20"/>
          <w:color w:val="auto"/>
        </w:rPr>
      </w:pPr>
    </w:p>
    <w:p>
      <w:pPr>
        <w:ind w:right="540" w:firstLine="637"/>
        <w:spacing w:after="0" w:line="281" w:lineRule="auto"/>
        <w:rPr>
          <w:sz w:val="20"/>
          <w:szCs w:val="20"/>
          <w:color w:val="auto"/>
        </w:rPr>
      </w:pPr>
      <w:r>
        <w:rPr>
          <w:rFonts w:ascii="Times New Roman" w:cs="Times New Roman" w:eastAsia="Times New Roman" w:hAnsi="Times New Roman"/>
          <w:sz w:val="18"/>
          <w:szCs w:val="18"/>
          <w:color w:val="auto"/>
        </w:rPr>
        <w:t>Our loan portfolio is geographically disbursed throughout our marketplace. The following is the breakdown of our total held-for-investment commercial real estate loans, by region as of December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6"/>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80" w:type="dxa"/>
            <w:vAlign w:val="bottom"/>
            <w:tcBorders>
              <w:bottom w:val="single" w:sz="8" w:color="auto"/>
            </w:tcBorders>
          </w:tcPr>
          <w:p>
            <w:pPr>
              <w:spacing w:after="0"/>
              <w:rPr>
                <w:sz w:val="21"/>
                <w:szCs w:val="21"/>
                <w:color w:val="auto"/>
              </w:rPr>
            </w:pPr>
          </w:p>
        </w:tc>
        <w:tc>
          <w:tcPr>
            <w:tcW w:w="600" w:type="dxa"/>
            <w:vAlign w:val="bottom"/>
          </w:tcPr>
          <w:p>
            <w:pPr>
              <w:spacing w:after="0"/>
              <w:rPr>
                <w:sz w:val="21"/>
                <w:szCs w:val="21"/>
                <w:color w:val="auto"/>
              </w:rPr>
            </w:pPr>
          </w:p>
        </w:tc>
      </w:t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Commercial Real Estate</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45"/>
        </w:trPr>
        <w:tc>
          <w:tcPr>
            <w:tcW w:w="4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9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480" w:type="dxa"/>
            <w:vAlign w:val="bottom"/>
            <w:tcBorders>
              <w:bottom w:val="single" w:sz="8" w:color="auto"/>
            </w:tcBorders>
          </w:tcPr>
          <w:p>
            <w:pPr>
              <w:spacing w:after="0"/>
              <w:rPr>
                <w:sz w:val="21"/>
                <w:szCs w:val="21"/>
                <w:color w:val="auto"/>
              </w:rPr>
            </w:pPr>
          </w:p>
        </w:tc>
        <w:tc>
          <w:tcPr>
            <w:tcW w:w="600" w:type="dxa"/>
            <w:vAlign w:val="bottom"/>
          </w:tcPr>
          <w:p>
            <w:pPr>
              <w:spacing w:after="0"/>
              <w:rPr>
                <w:sz w:val="21"/>
                <w:szCs w:val="21"/>
                <w:color w:val="auto"/>
              </w:rPr>
            </w:pPr>
          </w:p>
        </w:tc>
      </w:tr>
      <w:tr>
        <w:trPr>
          <w:trHeight w:val="236"/>
        </w:trPr>
        <w:tc>
          <w:tcPr>
            <w:tcW w:w="4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0" w:type="dxa"/>
            <w:vAlign w:val="bottom"/>
            <w:gridSpan w:val="6"/>
          </w:tcPr>
          <w:p>
            <w:pPr>
              <w:jc w:val="center"/>
              <w:ind w:right="166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6"/>
        </w:trPr>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Los Angeles County</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3,341,516</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2,423,839</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35.2 %</w:t>
            </w:r>
          </w:p>
        </w:tc>
      </w:tr>
      <w:tr>
        <w:trPr>
          <w:trHeight w:val="243"/>
        </w:trPr>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Central Valley</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2,224,652</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24.5 %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1,703,280</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24.7 %</w:t>
            </w:r>
          </w:p>
        </w:tc>
      </w:tr>
      <w:tr>
        <w:trPr>
          <w:trHeight w:val="243"/>
        </w:trPr>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Orange County</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1,123,896</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12.4 %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708,688</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10.3 %</w:t>
            </w:r>
          </w:p>
        </w:tc>
      </w:tr>
      <w:tr>
        <w:trPr>
          <w:trHeight w:val="243"/>
        </w:trPr>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Inland Empire</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1,047,693</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11.5 %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904,713</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13.1 %</w:t>
            </w:r>
          </w:p>
        </w:tc>
      </w:tr>
      <w:tr>
        <w:trPr>
          <w:trHeight w:val="243"/>
        </w:trPr>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Central Coast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480,415</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406,829</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San Diego</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337,497</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333,227</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4.9 %</w:t>
            </w:r>
          </w:p>
        </w:tc>
      </w:tr>
      <w:tr>
        <w:trPr>
          <w:trHeight w:val="243"/>
        </w:trPr>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California</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144,835</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96,977</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1.4 %</w:t>
            </w:r>
          </w:p>
        </w:tc>
      </w:tr>
      <w:tr>
        <w:trPr>
          <w:trHeight w:val="250"/>
        </w:trPr>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 of State</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378,888</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307,395</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4.5 %</w:t>
            </w:r>
          </w:p>
        </w:tc>
      </w:tr>
      <w:tr>
        <w:trPr>
          <w:trHeight w:val="238"/>
        </w:trPr>
        <w:tc>
          <w:tcPr>
            <w:tcW w:w="44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9,079,392</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6,884,948</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24"/>
        </w:trPr>
        <w:tc>
          <w:tcPr>
            <w:tcW w:w="4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-1849120</wp:posOffset>
            </wp:positionV>
            <wp:extent cx="6490335"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90335" cy="15430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-1540510</wp:posOffset>
            </wp:positionV>
            <wp:extent cx="649033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90335" cy="15430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-1232535</wp:posOffset>
            </wp:positionV>
            <wp:extent cx="649033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90335" cy="15430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-923925</wp:posOffset>
            </wp:positionV>
            <wp:extent cx="6490335"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90335" cy="15430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-607060</wp:posOffset>
            </wp:positionV>
            <wp:extent cx="6490335"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90335"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The table below breaks down our real estate portfolio.</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Owner-</w:t>
            </w:r>
          </w:p>
        </w:tc>
        <w:tc>
          <w:tcPr>
            <w:tcW w:w="140" w:type="dxa"/>
            <w:vAlign w:val="bottom"/>
          </w:tcPr>
          <w:p>
            <w:pPr>
              <w:spacing w:after="0"/>
              <w:rPr>
                <w:sz w:val="17"/>
                <w:szCs w:val="17"/>
                <w:color w:val="auto"/>
              </w:rPr>
            </w:pP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r>
      <w:tr>
        <w:trPr>
          <w:trHeight w:val="225"/>
        </w:trPr>
        <w:tc>
          <w:tcPr>
            <w:tcW w:w="3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220" w:type="dxa"/>
            <w:vAlign w:val="bottom"/>
          </w:tcPr>
          <w:p>
            <w:pPr>
              <w:spacing w:after="0"/>
              <w:rPr>
                <w:sz w:val="19"/>
                <w:szCs w:val="19"/>
                <w:color w:val="auto"/>
              </w:rPr>
            </w:pPr>
          </w:p>
        </w:tc>
        <w:tc>
          <w:tcPr>
            <w:tcW w:w="1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8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Occupied (1)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100" w:type="dxa"/>
            <w:vAlign w:val="bottom"/>
          </w:tcPr>
          <w:p>
            <w:pPr>
              <w:spacing w:after="0"/>
              <w:rPr>
                <w:sz w:val="19"/>
                <w:szCs w:val="19"/>
                <w:color w:val="auto"/>
              </w:rPr>
            </w:pPr>
          </w:p>
        </w:tc>
      </w:tr>
      <w:tr>
        <w:trPr>
          <w:trHeight w:val="221"/>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gridSpan w:val="4"/>
          </w:tcPr>
          <w:p>
            <w:pPr>
              <w:jc w:val="right"/>
              <w:ind w:right="10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Industrial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2,279,901</w:t>
            </w:r>
          </w:p>
        </w:tc>
        <w:tc>
          <w:tcPr>
            <w:tcW w:w="1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33.1 %</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48.4 %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shd w:val="clear" w:color="auto" w:fill="CFF0FC"/>
          </w:tcPr>
          <w:p>
            <w:pPr>
              <w:spacing w:after="0"/>
              <w:rPr>
                <w:sz w:val="20"/>
                <w:szCs w:val="20"/>
                <w:color w:val="auto"/>
              </w:rPr>
            </w:pPr>
          </w:p>
        </w:tc>
      </w:tr>
      <w:tr>
        <w:trPr>
          <w:trHeight w:val="220"/>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Office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1,175,126</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17.1 %</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24.4 %</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9"/>
                <w:szCs w:val="19"/>
                <w:color w:val="auto"/>
              </w:rPr>
            </w:pPr>
          </w:p>
        </w:tc>
      </w:tr>
      <w:tr>
        <w:trPr>
          <w:trHeight w:val="239"/>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981,746</w:t>
            </w:r>
          </w:p>
        </w:tc>
        <w:tc>
          <w:tcPr>
            <w:tcW w:w="1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14.3 %</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10.2 %</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shd w:val="clear" w:color="auto" w:fill="CFF0FC"/>
          </w:tcPr>
          <w:p>
            <w:pPr>
              <w:spacing w:after="0"/>
              <w:rPr>
                <w:sz w:val="20"/>
                <w:szCs w:val="20"/>
                <w:color w:val="auto"/>
              </w:rPr>
            </w:pPr>
          </w:p>
        </w:tc>
      </w:tr>
      <w:tr>
        <w:trPr>
          <w:trHeight w:val="220"/>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793,810</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11.5 %</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0.8 %</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Pr>
          <w:p>
            <w:pPr>
              <w:spacing w:after="0"/>
              <w:rPr>
                <w:sz w:val="19"/>
                <w:szCs w:val="19"/>
                <w:color w:val="auto"/>
              </w:rPr>
            </w:pPr>
          </w:p>
        </w:tc>
      </w:tr>
      <w:tr>
        <w:trPr>
          <w:trHeight w:val="239"/>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Secured by farmland (2)</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517,774</w:t>
            </w:r>
          </w:p>
        </w:tc>
        <w:tc>
          <w:tcPr>
            <w:tcW w:w="1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7.5 %</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98.9 %</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shd w:val="clear" w:color="auto" w:fill="CFF0FC"/>
          </w:tcPr>
          <w:p>
            <w:pPr>
              <w:spacing w:after="0"/>
              <w:rPr>
                <w:sz w:val="20"/>
                <w:szCs w:val="20"/>
                <w:color w:val="auto"/>
              </w:rPr>
            </w:pPr>
          </w:p>
        </w:tc>
      </w:tr>
      <w:tr>
        <w:trPr>
          <w:trHeight w:val="220"/>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Medical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336,562</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34.2 %</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(3)</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800,029</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11.6 %</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45.2 %</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00" w:type="dxa"/>
            <w:vAlign w:val="bottom"/>
            <w:shd w:val="clear" w:color="auto" w:fill="CFF0FC"/>
          </w:tcPr>
          <w:p>
            <w:pPr>
              <w:spacing w:after="0"/>
              <w:rPr>
                <w:sz w:val="19"/>
                <w:szCs w:val="19"/>
                <w:color w:val="auto"/>
              </w:rPr>
            </w:pPr>
          </w:p>
        </w:tc>
      </w:tr>
      <w:tr>
        <w:trPr>
          <w:trHeight w:val="23"/>
        </w:trPr>
        <w:tc>
          <w:tcPr>
            <w:tcW w:w="38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3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6,884,948</w:t>
            </w:r>
          </w:p>
        </w:tc>
        <w:tc>
          <w:tcPr>
            <w:tcW w:w="2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xml:space="preserve">36.1 </w:t>
            </w:r>
            <w:r>
              <w:rPr>
                <w:rFonts w:ascii="Times New Roman" w:cs="Times New Roman" w:eastAsia="Times New Roman" w:hAnsi="Times New Roman"/>
                <w:sz w:val="16"/>
                <w:szCs w:val="16"/>
                <w:color w:val="auto"/>
                <w:highlight w:val="white"/>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-179070</wp:posOffset>
            </wp:positionV>
            <wp:extent cx="6858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-179070</wp:posOffset>
            </wp:positionV>
            <wp:extent cx="5969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182" w:lineRule="exact"/>
        <w:rPr>
          <w:sz w:val="20"/>
          <w:szCs w:val="20"/>
          <w:color w:val="auto"/>
        </w:rPr>
      </w:pPr>
    </w:p>
    <w:p>
      <w:pPr>
        <w:ind w:left="1540" w:hanging="514"/>
        <w:spacing w:after="0"/>
        <w:tabs>
          <w:tab w:leader="none" w:pos="1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percentage of reported owner-occupied at origination in each real estate loan category.</w:t>
      </w:r>
    </w:p>
    <w:p>
      <w:pPr>
        <w:spacing w:after="0" w:line="26" w:lineRule="exact"/>
        <w:rPr>
          <w:rFonts w:ascii="Times New Roman" w:cs="Times New Roman" w:eastAsia="Times New Roman" w:hAnsi="Times New Roman"/>
          <w:sz w:val="16"/>
          <w:szCs w:val="16"/>
          <w:color w:val="auto"/>
        </w:rPr>
      </w:pPr>
    </w:p>
    <w:p>
      <w:pPr>
        <w:ind w:left="1540" w:right="680" w:hanging="514"/>
        <w:spacing w:after="0" w:line="263" w:lineRule="auto"/>
        <w:tabs>
          <w:tab w:leader="none" w:pos="1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loans secured by farmland included $140.5 million for loans secured by dairy &amp; livestock land and $377.3 million for loans secured by agricultural land at December 31, 2022.</w:t>
      </w:r>
    </w:p>
    <w:p>
      <w:pPr>
        <w:spacing w:after="0" w:line="1" w:lineRule="exact"/>
        <w:rPr>
          <w:rFonts w:ascii="Times New Roman" w:cs="Times New Roman" w:eastAsia="Times New Roman" w:hAnsi="Times New Roman"/>
          <w:sz w:val="16"/>
          <w:szCs w:val="16"/>
          <w:color w:val="auto"/>
        </w:rPr>
      </w:pPr>
    </w:p>
    <w:p>
      <w:pPr>
        <w:ind w:left="1540" w:hanging="514"/>
        <w:spacing w:after="0"/>
        <w:tabs>
          <w:tab w:leader="none" w:pos="1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loans consist of a variety of loan types, none of which exceeds 2.0% of total commercial real estate loans.</w:t>
      </w:r>
    </w:p>
    <w:p>
      <w:pPr>
        <w:spacing w:after="0" w:line="181" w:lineRule="exact"/>
        <w:rPr>
          <w:sz w:val="20"/>
          <w:szCs w:val="20"/>
          <w:color w:val="auto"/>
        </w:rPr>
      </w:pPr>
    </w:p>
    <w:p>
      <w:pPr>
        <w:jc w:val="both"/>
        <w:ind w:right="140" w:firstLine="637"/>
        <w:spacing w:after="0" w:line="265" w:lineRule="auto"/>
        <w:rPr>
          <w:sz w:val="20"/>
          <w:szCs w:val="20"/>
          <w:color w:val="auto"/>
        </w:rPr>
      </w:pPr>
      <w:r>
        <w:rPr>
          <w:rFonts w:ascii="Times New Roman" w:cs="Times New Roman" w:eastAsia="Times New Roman" w:hAnsi="Times New Roman"/>
          <w:sz w:val="18"/>
          <w:szCs w:val="18"/>
          <w:color w:val="auto"/>
        </w:rPr>
        <w:t>At December 31, 2022, commercial real estate loans on retail properties comprised $981.7 million and approximately 14.3% of total commercial real estate loans. At origination, these loans on retail properties were underwritten with loan-to-values averaging approximately 48%. Approximately 30% of these loans were originated prior to 2017.</w:t>
      </w:r>
    </w:p>
    <w:p>
      <w:pPr>
        <w:spacing w:after="0" w:line="150" w:lineRule="exact"/>
        <w:rPr>
          <w:sz w:val="20"/>
          <w:szCs w:val="20"/>
          <w:color w:val="auto"/>
        </w:rPr>
      </w:pPr>
    </w:p>
    <w:p>
      <w:pPr>
        <w:ind w:right="100" w:firstLine="637"/>
        <w:spacing w:after="0" w:line="265" w:lineRule="auto"/>
        <w:rPr>
          <w:sz w:val="20"/>
          <w:szCs w:val="20"/>
          <w:color w:val="auto"/>
        </w:rPr>
      </w:pPr>
      <w:r>
        <w:rPr>
          <w:rFonts w:ascii="Times New Roman" w:cs="Times New Roman" w:eastAsia="Times New Roman" w:hAnsi="Times New Roman"/>
          <w:sz w:val="18"/>
          <w:szCs w:val="18"/>
          <w:color w:val="auto"/>
        </w:rPr>
        <w:t>The table below provides the maturity distribution for held-for-investment total gross loans as of December 31, 2022. The loan amounts are based on contractual maturities although the borrowers have the ability to prepay the loans. Amounts are also classified according to repricing opportunities or rate sensitivity.</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Loan Maturities and Interest Rate Category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After One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Within</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But Within</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After</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1"/>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Loan Portfolio by Type:</w:t>
            </w: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Commercial real estate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342,975</w:t>
            </w:r>
          </w:p>
        </w:tc>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1,555,503</w:t>
            </w: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4,986,470</w:t>
            </w:r>
          </w:p>
        </w:tc>
        <w:tc>
          <w:tcPr>
            <w:tcW w:w="6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6,884,948</w:t>
            </w:r>
          </w:p>
        </w:tc>
        <w:tc>
          <w:tcPr>
            <w:tcW w:w="100" w:type="dxa"/>
            <w:vAlign w:val="bottom"/>
          </w:tcPr>
          <w:p>
            <w:pPr>
              <w:spacing w:after="0"/>
              <w:rPr>
                <w:sz w:val="19"/>
                <w:szCs w:val="19"/>
                <w:color w:val="auto"/>
              </w:rPr>
            </w:pPr>
          </w:p>
        </w:tc>
      </w:tr>
      <w:tr>
        <w:trPr>
          <w:trHeight w:val="239"/>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Construction</w:t>
            </w: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67,484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19,780</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88,271</w:t>
            </w:r>
          </w:p>
        </w:tc>
        <w:tc>
          <w:tcPr>
            <w:tcW w:w="100" w:type="dxa"/>
            <w:vAlign w:val="bottom"/>
            <w:shd w:val="clear" w:color="auto" w:fill="CFF0FC"/>
          </w:tcPr>
          <w:p>
            <w:pPr>
              <w:spacing w:after="0"/>
              <w:rPr>
                <w:sz w:val="20"/>
                <w:szCs w:val="20"/>
                <w:color w:val="auto"/>
              </w:rPr>
            </w:pPr>
          </w:p>
        </w:tc>
      </w:tr>
      <w:tr>
        <w:trPr>
          <w:trHeight w:val="220"/>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SBA</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246,028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290,908</w:t>
            </w:r>
          </w:p>
        </w:tc>
        <w:tc>
          <w:tcPr>
            <w:tcW w:w="100" w:type="dxa"/>
            <w:vAlign w:val="bottom"/>
          </w:tcPr>
          <w:p>
            <w:pPr>
              <w:spacing w:after="0"/>
              <w:rPr>
                <w:sz w:val="19"/>
                <w:szCs w:val="19"/>
                <w:color w:val="auto"/>
              </w:rPr>
            </w:pPr>
          </w:p>
        </w:tc>
      </w:tr>
      <w:tr>
        <w:trPr>
          <w:trHeight w:val="239"/>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SBA - PPP</w:t>
            </w: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100" w:type="dxa"/>
            <w:vAlign w:val="bottom"/>
            <w:shd w:val="clear" w:color="auto" w:fill="CFF0FC"/>
          </w:tcPr>
          <w:p>
            <w:pPr>
              <w:spacing w:after="0"/>
              <w:rPr>
                <w:sz w:val="20"/>
                <w:szCs w:val="20"/>
                <w:color w:val="auto"/>
              </w:rPr>
            </w:pPr>
          </w:p>
        </w:tc>
      </w:tr>
      <w:tr>
        <w:trPr>
          <w:trHeight w:val="220"/>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309,877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293,894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948,683</w:t>
            </w:r>
          </w:p>
        </w:tc>
        <w:tc>
          <w:tcPr>
            <w:tcW w:w="100" w:type="dxa"/>
            <w:vAlign w:val="bottom"/>
          </w:tcPr>
          <w:p>
            <w:pPr>
              <w:spacing w:after="0"/>
              <w:rPr>
                <w:sz w:val="19"/>
                <w:szCs w:val="19"/>
                <w:color w:val="auto"/>
              </w:rPr>
            </w:pPr>
          </w:p>
        </w:tc>
      </w:tr>
      <w:tr>
        <w:trPr>
          <w:trHeight w:val="239"/>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349,321</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82,987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433,564</w:t>
            </w:r>
          </w:p>
        </w:tc>
        <w:tc>
          <w:tcPr>
            <w:tcW w:w="100" w:type="dxa"/>
            <w:vAlign w:val="bottom"/>
            <w:shd w:val="clear" w:color="auto" w:fill="CFF0FC"/>
          </w:tcPr>
          <w:p>
            <w:pPr>
              <w:spacing w:after="0"/>
              <w:rPr>
                <w:sz w:val="20"/>
                <w:szCs w:val="20"/>
                <w:color w:val="auto"/>
              </w:rPr>
            </w:pPr>
          </w:p>
        </w:tc>
      </w:tr>
      <w:tr>
        <w:trPr>
          <w:trHeight w:val="220"/>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71,316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81,126</w:t>
            </w:r>
          </w:p>
        </w:tc>
        <w:tc>
          <w:tcPr>
            <w:tcW w:w="100" w:type="dxa"/>
            <w:vAlign w:val="bottom"/>
          </w:tcPr>
          <w:p>
            <w:pPr>
              <w:spacing w:after="0"/>
              <w:rPr>
                <w:sz w:val="19"/>
                <w:szCs w:val="19"/>
                <w:color w:val="auto"/>
              </w:rPr>
            </w:pPr>
          </w:p>
        </w:tc>
      </w:tr>
      <w:tr>
        <w:trPr>
          <w:trHeight w:val="239"/>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SFR mortgage</w:t>
            </w: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263,033</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266,024</w:t>
            </w:r>
          </w:p>
        </w:tc>
        <w:tc>
          <w:tcPr>
            <w:tcW w:w="100" w:type="dxa"/>
            <w:vAlign w:val="bottom"/>
            <w:shd w:val="clear" w:color="auto" w:fill="CFF0FC"/>
          </w:tcPr>
          <w:p>
            <w:pPr>
              <w:spacing w:after="0"/>
              <w:rPr>
                <w:sz w:val="20"/>
                <w:szCs w:val="20"/>
                <w:color w:val="auto"/>
              </w:rPr>
            </w:pPr>
          </w:p>
        </w:tc>
      </w:tr>
      <w:tr>
        <w:trPr>
          <w:trHeight w:val="223"/>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53,214</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76,781</w:t>
            </w:r>
          </w:p>
        </w:tc>
        <w:tc>
          <w:tcPr>
            <w:tcW w:w="100" w:type="dxa"/>
            <w:vAlign w:val="bottom"/>
          </w:tcPr>
          <w:p>
            <w:pPr>
              <w:spacing w:after="0"/>
              <w:rPr>
                <w:sz w:val="19"/>
                <w:szCs w:val="19"/>
                <w:color w:val="auto"/>
              </w:rPr>
            </w:pPr>
          </w:p>
        </w:tc>
      </w:tr>
      <w:tr>
        <w:trPr>
          <w:trHeight w:val="263"/>
        </w:trPr>
        <w:tc>
          <w:tcPr>
            <w:tcW w:w="4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gross loans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1,090,230</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2,054,171</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5,934,991</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9,079,392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7"/>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of Loans based upon:</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Fixed Rates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301,754</w:t>
            </w:r>
          </w:p>
        </w:tc>
        <w:tc>
          <w:tcPr>
            <w:tcW w:w="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1,328,891</w:t>
            </w:r>
          </w:p>
        </w:tc>
        <w:tc>
          <w:tcPr>
            <w:tcW w:w="5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3,893,435</w:t>
            </w:r>
          </w:p>
        </w:tc>
        <w:tc>
          <w:tcPr>
            <w:tcW w:w="6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5,524,080</w:t>
            </w:r>
          </w:p>
        </w:tc>
        <w:tc>
          <w:tcPr>
            <w:tcW w:w="100" w:type="dxa"/>
            <w:vAlign w:val="bottom"/>
            <w:shd w:val="clear" w:color="auto" w:fill="CFF0FC"/>
          </w:tcPr>
          <w:p>
            <w:pPr>
              <w:spacing w:after="0"/>
              <w:rPr>
                <w:sz w:val="20"/>
                <w:szCs w:val="20"/>
                <w:color w:val="auto"/>
              </w:rPr>
            </w:pPr>
          </w:p>
        </w:tc>
      </w:tr>
      <w:tr>
        <w:trPr>
          <w:trHeight w:val="223"/>
        </w:trPr>
        <w:tc>
          <w:tcPr>
            <w:tcW w:w="4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Floating or adjustable rates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788,476</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725,280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2,041,556</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3,555,312</w:t>
            </w:r>
          </w:p>
        </w:tc>
        <w:tc>
          <w:tcPr>
            <w:tcW w:w="100" w:type="dxa"/>
            <w:vAlign w:val="bottom"/>
          </w:tcPr>
          <w:p>
            <w:pPr>
              <w:spacing w:after="0"/>
              <w:rPr>
                <w:sz w:val="19"/>
                <w:szCs w:val="19"/>
                <w:color w:val="auto"/>
              </w:rPr>
            </w:pPr>
          </w:p>
        </w:tc>
      </w:tr>
      <w:tr>
        <w:trPr>
          <w:trHeight w:val="263"/>
        </w:trPr>
        <w:tc>
          <w:tcPr>
            <w:tcW w:w="4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loans, at amortized cost</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1,090,230</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2,054,171</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5,934,991</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9,079,392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-641350</wp:posOffset>
            </wp:positionV>
            <wp:extent cx="344233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42335" cy="171450"/>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-24765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-7620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As a normal practice in extending credit for commercial and industrial purposes, we may accept trust deeds on real property as collateral. In some cases, when the primary source of repayment for the loan is anticipated to come from the cash flow from normal operations of the borrower, and real property has been taken as collateral, the real property is considered a secondary source of repayment for the loan. Since we lend primarily in Southern and Central California, our real estate loan collateral is concentrated in this region.</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information on nonperforming assets as of the dates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2018 (1)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w w:val="85"/>
              </w:rPr>
              <w:t>(Dollars in thousands)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1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14,347</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past due 90 days or more and still accruing interest</w:t>
            </w:r>
          </w:p>
        </w:tc>
        <w:tc>
          <w:tcPr>
            <w:tcW w:w="2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2"/>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Nonperforming troubled debt restructured loans (TDRs)</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1"/>
        </w:trPr>
        <w:tc>
          <w:tcPr>
            <w:tcW w:w="50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nonperforming loans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18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14,347</w:t>
            </w: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2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19,951</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31"/>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OREO, net</w:t>
            </w: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17,739</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10,166</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Performing TDRs</w:t>
            </w: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426"/>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nonperforming loans and performing TDRs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12,747</w:t>
            </w:r>
          </w:p>
        </w:tc>
        <w:tc>
          <w:tcPr>
            <w:tcW w:w="24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8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16,506</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8,389</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1"/>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loans and performing TDRs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total loans, at amortized cost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0.14 %</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0.20 %</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0.11 %</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0.30 %</w:t>
            </w:r>
          </w:p>
        </w:tc>
      </w:tr>
      <w:tr>
        <w:trPr>
          <w:trHeight w:val="451"/>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loans,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 amortized cost, and OREO</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0.05 %</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0.21 %</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0.13 %</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0.26 %</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assets</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0.03 %</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0.12 %</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0.09 %</w:t>
            </w:r>
          </w:p>
        </w:tc>
        <w:tc>
          <w:tcPr>
            <w:tcW w:w="1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-1913890</wp:posOffset>
            </wp:positionV>
            <wp:extent cx="76835"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-1913890</wp:posOffset>
            </wp:positionV>
            <wp:extent cx="76835"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-1913890</wp:posOffset>
            </wp:positionV>
            <wp:extent cx="6858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-1913890</wp:posOffset>
            </wp:positionV>
            <wp:extent cx="6858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-1913890</wp:posOffset>
            </wp:positionV>
            <wp:extent cx="6858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-1614170</wp:posOffset>
            </wp:positionV>
            <wp:extent cx="76835"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-1614170</wp:posOffset>
            </wp:positionV>
            <wp:extent cx="76835"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-1614170</wp:posOffset>
            </wp:positionV>
            <wp:extent cx="68580"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-1614170</wp:posOffset>
            </wp:positionV>
            <wp:extent cx="68580"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-1614170</wp:posOffset>
            </wp:positionV>
            <wp:extent cx="6858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-1288415</wp:posOffset>
            </wp:positionV>
            <wp:extent cx="7132320" cy="7366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7366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1"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6"/>
          <w:szCs w:val="16"/>
          <w:color w:val="auto"/>
        </w:rPr>
        <w:t>(1)</w:t>
        <w:tab/>
        <w:t>Excludes PCI loans.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Troubled Debt Restructurings</w:t>
      </w:r>
    </w:p>
    <w:p>
      <w:pPr>
        <w:spacing w:after="0" w:line="121" w:lineRule="exact"/>
        <w:rPr>
          <w:sz w:val="20"/>
          <w:szCs w:val="20"/>
          <w:color w:val="auto"/>
        </w:rPr>
      </w:pPr>
    </w:p>
    <w:p>
      <w:pPr>
        <w:ind w:right="120" w:firstLine="637"/>
        <w:spacing w:after="0" w:line="258" w:lineRule="auto"/>
        <w:rPr>
          <w:sz w:val="20"/>
          <w:szCs w:val="20"/>
          <w:color w:val="auto"/>
        </w:rPr>
      </w:pPr>
      <w:r>
        <w:rPr>
          <w:rFonts w:ascii="Times New Roman" w:cs="Times New Roman" w:eastAsia="Times New Roman" w:hAnsi="Times New Roman"/>
          <w:sz w:val="18"/>
          <w:szCs w:val="18"/>
          <w:color w:val="auto"/>
        </w:rPr>
        <w:t>Total TDRs were $7.8 million at December 31, 2022, compared to $5.3 million at December 31, 2021. At December 31, 2022,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41" w:lineRule="exact"/>
        <w:rPr>
          <w:sz w:val="20"/>
          <w:szCs w:val="20"/>
          <w:color w:val="auto"/>
        </w:rPr>
      </w:pPr>
    </w:p>
    <w:p>
      <w:pPr>
        <w:ind w:right="140" w:firstLine="637"/>
        <w:spacing w:after="0" w:line="254" w:lineRule="auto"/>
        <w:rPr>
          <w:sz w:val="20"/>
          <w:szCs w:val="20"/>
          <w:color w:val="auto"/>
        </w:rPr>
      </w:pPr>
      <w:r>
        <w:rPr>
          <w:rFonts w:ascii="Times New Roman" w:cs="Times New Roman" w:eastAsia="Times New Roman" w:hAnsi="Times New Roman"/>
          <w:sz w:val="18"/>
          <w:szCs w:val="18"/>
          <w:color w:val="auto"/>
        </w:rPr>
        <w:t>In accordance with regulatory guidance, if borrowers were less than 30 days past due on their loans and entered into loan modifications offered as a result of COVID-19, their loans generally continued to be considered performing loans and continued to accrue interest during the period of the loan modification. For borrowers who were 30 days or more past due when entering into loan modifications offered as a result of COVID-19, we evaluated the loan modifications under our existing troubled debt restructuring framework, and where such a loan modification would result in a concession to a borrower experiencing financial difficulty, the loan would be accounted for as a TDR and generally would not accrue interest. For all borrowers who enrolled in these loan modification programs offered as a result of COVID-19, the delinquency status of the borrowers was frozen, resulting in a static delinquency metric during the deferral period. Upon exiting the deferral program, the measurement of loan delinquency resumed where it had left off upon entry into the program.</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08" w:right="29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TDRs as of the dates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4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4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r>
      <w:tr>
        <w:trPr>
          <w:trHeight w:val="245"/>
        </w:trPr>
        <w:tc>
          <w:tcPr>
            <w:tcW w:w="44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4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00" w:type="dxa"/>
            <w:vAlign w:val="bottom"/>
          </w:tcPr>
          <w:p>
            <w:pPr>
              <w:spacing w:after="0"/>
              <w:rPr>
                <w:sz w:val="21"/>
                <w:szCs w:val="21"/>
                <w:color w:val="auto"/>
              </w:rPr>
            </w:pPr>
          </w:p>
        </w:tc>
      </w:tr>
      <w:tr>
        <w:trPr>
          <w:trHeight w:val="239"/>
        </w:trPr>
        <w:tc>
          <w:tcPr>
            <w:tcW w:w="4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(Dollars</w:t>
            </w:r>
          </w:p>
        </w:tc>
        <w:tc>
          <w:tcPr>
            <w:tcW w:w="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w:t>
            </w:r>
          </w:p>
        </w:tc>
        <w:tc>
          <w:tcPr>
            <w:tcW w:w="1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Performing TDRs:</w:t>
            </w:r>
          </w:p>
        </w:tc>
        <w:tc>
          <w:tcPr>
            <w:tcW w:w="10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2,394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1080" w:type="dxa"/>
            <w:vAlign w:val="bottom"/>
            <w:shd w:val="clear" w:color="auto" w:fill="CFF0FC"/>
          </w:tcPr>
          <w:p>
            <w:pPr>
              <w:spacing w:after="0"/>
              <w:rPr>
                <w:sz w:val="21"/>
                <w:szCs w:val="21"/>
                <w:color w:val="auto"/>
              </w:rPr>
            </w:pPr>
          </w:p>
        </w:tc>
        <w:tc>
          <w:tcPr>
            <w:tcW w:w="1700" w:type="dxa"/>
            <w:vAlign w:val="bottom"/>
            <w:gridSpan w:val="3"/>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1080" w:type="dxa"/>
            <w:vAlign w:val="bottom"/>
          </w:tcPr>
          <w:p>
            <w:pPr>
              <w:spacing w:after="0"/>
              <w:rPr>
                <w:sz w:val="20"/>
                <w:szCs w:val="20"/>
                <w:color w:val="auto"/>
              </w:rPr>
            </w:pPr>
          </w:p>
        </w:tc>
        <w:tc>
          <w:tcPr>
            <w:tcW w:w="17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4,826</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1,885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2,000</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10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1,014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and other</w:t>
            </w:r>
          </w:p>
        </w:tc>
        <w:tc>
          <w:tcPr>
            <w:tcW w:w="1080" w:type="dxa"/>
            <w:vAlign w:val="bottom"/>
          </w:tcPr>
          <w:p>
            <w:pPr>
              <w:spacing w:after="0"/>
              <w:rPr>
                <w:sz w:val="20"/>
                <w:szCs w:val="20"/>
                <w:color w:val="auto"/>
              </w:rPr>
            </w:pPr>
          </w:p>
        </w:tc>
        <w:tc>
          <w:tcPr>
            <w:tcW w:w="17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4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performing TDRs</w:t>
            </w: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7,817</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5,293</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TDRs:</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3"/>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1080" w:type="dxa"/>
            <w:vAlign w:val="bottom"/>
          </w:tcPr>
          <w:p>
            <w:pPr>
              <w:spacing w:after="0"/>
              <w:rPr>
                <w:sz w:val="20"/>
                <w:szCs w:val="20"/>
                <w:color w:val="auto"/>
              </w:rPr>
            </w:pPr>
          </w:p>
        </w:tc>
        <w:tc>
          <w:tcPr>
            <w:tcW w:w="17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1080" w:type="dxa"/>
            <w:vAlign w:val="bottom"/>
            <w:shd w:val="clear" w:color="auto" w:fill="CFF0FC"/>
          </w:tcPr>
          <w:p>
            <w:pPr>
              <w:spacing w:after="0"/>
              <w:rPr>
                <w:sz w:val="21"/>
                <w:szCs w:val="21"/>
                <w:color w:val="auto"/>
              </w:rPr>
            </w:pPr>
          </w:p>
        </w:tc>
        <w:tc>
          <w:tcPr>
            <w:tcW w:w="1700" w:type="dxa"/>
            <w:vAlign w:val="bottom"/>
            <w:gridSpan w:val="3"/>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80" w:type="dxa"/>
            <w:vAlign w:val="bottom"/>
          </w:tcPr>
          <w:p>
            <w:pPr>
              <w:spacing w:after="0"/>
              <w:rPr>
                <w:sz w:val="20"/>
                <w:szCs w:val="20"/>
                <w:color w:val="auto"/>
              </w:rPr>
            </w:pPr>
          </w:p>
        </w:tc>
        <w:tc>
          <w:tcPr>
            <w:tcW w:w="17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080" w:type="dxa"/>
            <w:vAlign w:val="bottom"/>
            <w:shd w:val="clear" w:color="auto" w:fill="CFF0FC"/>
          </w:tcPr>
          <w:p>
            <w:pPr>
              <w:spacing w:after="0"/>
              <w:rPr>
                <w:sz w:val="21"/>
                <w:szCs w:val="21"/>
                <w:color w:val="auto"/>
              </w:rPr>
            </w:pPr>
          </w:p>
        </w:tc>
        <w:tc>
          <w:tcPr>
            <w:tcW w:w="1700" w:type="dxa"/>
            <w:vAlign w:val="bottom"/>
            <w:gridSpan w:val="3"/>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1080" w:type="dxa"/>
            <w:vAlign w:val="bottom"/>
          </w:tcPr>
          <w:p>
            <w:pPr>
              <w:spacing w:after="0"/>
              <w:rPr>
                <w:sz w:val="20"/>
                <w:szCs w:val="20"/>
                <w:color w:val="auto"/>
              </w:rPr>
            </w:pPr>
          </w:p>
        </w:tc>
        <w:tc>
          <w:tcPr>
            <w:tcW w:w="17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 and other</w:t>
            </w:r>
          </w:p>
        </w:tc>
        <w:tc>
          <w:tcPr>
            <w:tcW w:w="10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nonperforming TDRs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44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TDRs</w:t>
            </w: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7,817</w:t>
            </w:r>
          </w:p>
        </w:tc>
        <w:tc>
          <w:tcPr>
            <w:tcW w:w="2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5,293</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-1746250</wp:posOffset>
            </wp:positionV>
            <wp:extent cx="76835" cy="316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-1746250</wp:posOffset>
            </wp:positionV>
            <wp:extent cx="68580" cy="316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-1746250</wp:posOffset>
            </wp:positionV>
            <wp:extent cx="68580" cy="316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-1746250</wp:posOffset>
            </wp:positionV>
            <wp:extent cx="68580" cy="316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-350520</wp:posOffset>
            </wp:positionV>
            <wp:extent cx="76835"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-350520</wp:posOffset>
            </wp:positionV>
            <wp:extent cx="6858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-350520</wp:posOffset>
            </wp:positionV>
            <wp:extent cx="6858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-24765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-7620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500" w:firstLine="644"/>
        <w:spacing w:after="0" w:line="281" w:lineRule="auto"/>
        <w:rPr>
          <w:sz w:val="20"/>
          <w:szCs w:val="20"/>
          <w:color w:val="auto"/>
        </w:rPr>
      </w:pPr>
      <w:r>
        <w:rPr>
          <w:rFonts w:ascii="Times New Roman" w:cs="Times New Roman" w:eastAsia="Times New Roman" w:hAnsi="Times New Roman"/>
          <w:sz w:val="18"/>
          <w:szCs w:val="18"/>
          <w:color w:val="auto"/>
        </w:rPr>
        <w:t>At December 31, 2022 and 2021, there was no ACL specifically allocated to TDRs. Impairment amounts identified are typically charged off against the allowance when deemed uncollectible. There were no charge-offs on TDRs for 2022 and 2021.</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and Delinquencies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provides trends in our nonperforming assets and delinquencies as of the dates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4580" w:type="dxa"/>
            <w:vAlign w:val="bottom"/>
            <w:gridSpan w:val="4"/>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Nonperforming loans (1):</w:t>
            </w: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166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5"/>
                <w:szCs w:val="15"/>
                <w:color w:val="auto"/>
              </w:rPr>
              <w:t>Commercial real estate</w:t>
            </w:r>
          </w:p>
        </w:tc>
        <w:tc>
          <w:tcPr>
            <w:tcW w:w="29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2,657</w:t>
            </w:r>
          </w:p>
        </w:tc>
        <w:tc>
          <w:tcPr>
            <w:tcW w:w="2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6,705</w:t>
            </w:r>
          </w:p>
        </w:tc>
        <w:tc>
          <w:tcPr>
            <w:tcW w:w="280" w:type="dxa"/>
            <w:vAlign w:val="bottom"/>
            <w:tcBorders>
              <w:top w:val="single" w:sz="8" w:color="CFF0FC"/>
            </w:tcBorders>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6,843</w:t>
            </w:r>
          </w:p>
        </w:tc>
        <w:tc>
          <w:tcPr>
            <w:tcW w:w="2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7,055</w:t>
            </w:r>
          </w:p>
        </w:tc>
        <w:tc>
          <w:tcPr>
            <w:tcW w:w="2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3,607</w:t>
            </w:r>
          </w:p>
        </w:tc>
        <w:tc>
          <w:tcPr>
            <w:tcW w:w="100" w:type="dxa"/>
            <w:vAlign w:val="bottom"/>
            <w:tcBorders>
              <w:top w:val="single" w:sz="8" w:color="CFF0FC"/>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45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Construction</w:t>
            </w: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SBA</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45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SBA - PPP</w:t>
            </w: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45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Dairy &amp; livestock and agribusiness</w:t>
            </w: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3,354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2,655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SFR mortgage</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458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Consumer and other loans</w:t>
            </w: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4"/>
          </w:tcPr>
          <w:p>
            <w:pPr>
              <w:ind w:left="3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4,930</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10,117</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12,964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13,265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6,893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4"/>
          </w:tcPr>
          <w:p>
            <w:pPr>
              <w:ind w:left="360"/>
              <w:spacing w:after="0"/>
              <w:rPr>
                <w:sz w:val="20"/>
                <w:szCs w:val="20"/>
                <w:color w:val="auto"/>
              </w:rPr>
            </w:pPr>
            <w:r>
              <w:rPr>
                <w:rFonts w:ascii="Times New Roman" w:cs="Times New Roman" w:eastAsia="Times New Roman" w:hAnsi="Times New Roman"/>
                <w:sz w:val="15"/>
                <w:szCs w:val="15"/>
                <w:b w:val="1"/>
                <w:bCs w:val="1"/>
                <w:color w:val="auto"/>
              </w:rPr>
              <w:t>% of Total loans</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0.12</w:t>
            </w:r>
          </w:p>
        </w:tc>
        <w:tc>
          <w:tcPr>
            <w:tcW w:w="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0.15</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0.15</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Past due 30-89 days:</w:t>
            </w:r>
          </w:p>
        </w:tc>
        <w:tc>
          <w:tcPr>
            <w:tcW w:w="32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45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Commercial real estate</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Construction</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45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SBA</w:t>
            </w: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45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Dairy &amp; livestock and agribusiness</w:t>
            </w: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SFR mortgage</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458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Consumer and other loans</w:t>
            </w: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4"/>
          </w:tcPr>
          <w:p>
            <w:pPr>
              <w:ind w:left="3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1,119</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559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2,622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2,457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4"/>
          </w:tcPr>
          <w:p>
            <w:pPr>
              <w:ind w:left="360"/>
              <w:spacing w:after="0"/>
              <w:rPr>
                <w:sz w:val="20"/>
                <w:szCs w:val="20"/>
                <w:color w:val="auto"/>
              </w:rPr>
            </w:pPr>
            <w:r>
              <w:rPr>
                <w:rFonts w:ascii="Times New Roman" w:cs="Times New Roman" w:eastAsia="Times New Roman" w:hAnsi="Times New Roman"/>
                <w:sz w:val="15"/>
                <w:szCs w:val="15"/>
                <w:b w:val="1"/>
                <w:bCs w:val="1"/>
                <w:color w:val="auto"/>
              </w:rPr>
              <w:t>% of Total loans</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0.01</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0.03</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5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OREO:</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45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Commercial real estate</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SBA</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458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SFR mortgage</w:t>
            </w: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4"/>
          </w:tcPr>
          <w:p>
            <w:pPr>
              <w:ind w:left="3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080" w:type="dxa"/>
            <w:vAlign w:val="bottom"/>
            <w:gridSpan w:val="3"/>
            <w:shd w:val="clear" w:color="auto" w:fill="CFF0FC"/>
          </w:tcPr>
          <w:p>
            <w:pPr>
              <w:ind w:left="40"/>
              <w:spacing w:after="0" w:line="148" w:lineRule="exact"/>
              <w:rPr>
                <w:sz w:val="20"/>
                <w:szCs w:val="20"/>
                <w:color w:val="auto"/>
              </w:rPr>
            </w:pPr>
            <w:r>
              <w:rPr>
                <w:rFonts w:ascii="Times New Roman" w:cs="Times New Roman" w:eastAsia="Times New Roman" w:hAnsi="Times New Roman"/>
                <w:sz w:val="15"/>
                <w:szCs w:val="15"/>
                <w:b w:val="1"/>
                <w:bCs w:val="1"/>
                <w:color w:val="auto"/>
              </w:rPr>
              <w:t>Total nonperforming, past due, and</w:t>
            </w:r>
          </w:p>
        </w:tc>
        <w:tc>
          <w:tcPr>
            <w:tcW w:w="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6,049</w:t>
            </w:r>
          </w:p>
        </w:tc>
        <w:tc>
          <w:tcPr>
            <w:tcW w:w="140" w:type="dxa"/>
            <w:vAlign w:val="bottom"/>
            <w:vMerge w:val="restart"/>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10,117</w:t>
            </w:r>
          </w:p>
        </w:tc>
        <w:tc>
          <w:tcPr>
            <w:tcW w:w="12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13,523</w:t>
            </w:r>
          </w:p>
        </w:tc>
        <w:tc>
          <w:tcPr>
            <w:tcW w:w="100" w:type="dxa"/>
            <w:vAlign w:val="bottom"/>
            <w:vMerge w:val="restart"/>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15,887</w:t>
            </w:r>
          </w:p>
        </w:tc>
        <w:tc>
          <w:tcPr>
            <w:tcW w:w="100" w:type="dxa"/>
            <w:vAlign w:val="bottom"/>
            <w:vMerge w:val="restart"/>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9,350</w:t>
            </w:r>
          </w:p>
        </w:tc>
        <w:tc>
          <w:tcPr>
            <w:tcW w:w="100" w:type="dxa"/>
            <w:vAlign w:val="bottom"/>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4080" w:type="dxa"/>
            <w:vAlign w:val="bottom"/>
            <w:tcBorders>
              <w:bottom w:val="single" w:sz="8" w:color="CFF0FC"/>
            </w:tcBorders>
            <w:gridSpan w:val="3"/>
            <w:shd w:val="clear" w:color="auto" w:fill="CFF0FC"/>
          </w:tcPr>
          <w:p>
            <w:pPr>
              <w:ind w:left="160"/>
              <w:spacing w:after="0" w:line="136" w:lineRule="exact"/>
              <w:rPr>
                <w:sz w:val="20"/>
                <w:szCs w:val="20"/>
                <w:color w:val="auto"/>
              </w:rPr>
            </w:pPr>
            <w:r>
              <w:rPr>
                <w:rFonts w:ascii="Times New Roman" w:cs="Times New Roman" w:eastAsia="Times New Roman" w:hAnsi="Times New Roman"/>
                <w:sz w:val="15"/>
                <w:szCs w:val="15"/>
                <w:b w:val="1"/>
                <w:bCs w:val="1"/>
                <w:color w:val="auto"/>
              </w:rPr>
              <w:t>OREO</w:t>
            </w: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124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140" w:type="dxa"/>
            <w:vAlign w:val="bottom"/>
            <w:tcBorders>
              <w:bottom w:val="single" w:sz="8" w:color="auto"/>
            </w:tcBorders>
            <w:vMerge w:val="continue"/>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vMerge w:val="continue"/>
            <w:shd w:val="clear" w:color="auto" w:fill="CFF0FC"/>
          </w:tcPr>
          <w:p>
            <w:pPr>
              <w:spacing w:after="0"/>
              <w:rPr>
                <w:sz w:val="17"/>
                <w:szCs w:val="17"/>
                <w:color w:val="auto"/>
              </w:rPr>
            </w:pPr>
          </w:p>
        </w:tc>
        <w:tc>
          <w:tcPr>
            <w:tcW w:w="160" w:type="dxa"/>
            <w:vAlign w:val="bottom"/>
            <w:tcBorders>
              <w:bottom w:val="single" w:sz="8" w:color="auto"/>
            </w:tcBorders>
            <w:vMerge w:val="continue"/>
            <w:shd w:val="clear" w:color="auto" w:fill="CFF0FC"/>
          </w:tcPr>
          <w:p>
            <w:pPr>
              <w:spacing w:after="0"/>
              <w:rPr>
                <w:sz w:val="17"/>
                <w:szCs w:val="17"/>
                <w:color w:val="auto"/>
              </w:rPr>
            </w:pPr>
          </w:p>
        </w:tc>
        <w:tc>
          <w:tcPr>
            <w:tcW w:w="8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140" w:type="dxa"/>
            <w:vAlign w:val="bottom"/>
            <w:tcBorders>
              <w:bottom w:val="single" w:sz="8" w:color="auto"/>
            </w:tcBorders>
            <w:vMerge w:val="continue"/>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140" w:type="dxa"/>
            <w:vAlign w:val="bottom"/>
            <w:tcBorders>
              <w:bottom w:val="single" w:sz="8" w:color="auto"/>
            </w:tcBorders>
            <w:vMerge w:val="continue"/>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 of Total loans</w:t>
            </w:r>
          </w:p>
        </w:tc>
        <w:tc>
          <w:tcPr>
            <w:tcW w:w="180" w:type="dxa"/>
            <w:vAlign w:val="bottom"/>
          </w:tcPr>
          <w:p>
            <w:pPr>
              <w:spacing w:after="0"/>
              <w:rPr>
                <w:sz w:val="15"/>
                <w:szCs w:val="15"/>
                <w:color w:val="auto"/>
              </w:rPr>
            </w:pPr>
          </w:p>
        </w:tc>
        <w:tc>
          <w:tcPr>
            <w:tcW w:w="1520" w:type="dxa"/>
            <w:vAlign w:val="bottom"/>
            <w:gridSpan w:val="3"/>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0.07 %</w:t>
            </w:r>
          </w:p>
        </w:tc>
        <w:tc>
          <w:tcPr>
            <w:tcW w:w="1440" w:type="dxa"/>
            <w:vAlign w:val="bottom"/>
            <w:gridSpan w:val="3"/>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0.12 %</w:t>
            </w:r>
          </w:p>
        </w:tc>
        <w:tc>
          <w:tcPr>
            <w:tcW w:w="112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0.16 %</w:t>
            </w:r>
          </w:p>
        </w:tc>
        <w:tc>
          <w:tcPr>
            <w:tcW w:w="114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0.18 %</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0.12 %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Borders>
              <w:bottom w:val="single" w:sz="8" w:color="CFF0FC"/>
            </w:tcBorders>
            <w:shd w:val="clear" w:color="auto" w:fill="CFF0FC"/>
          </w:tcPr>
          <w:p>
            <w:pPr>
              <w:spacing w:after="0"/>
              <w:rPr>
                <w:sz w:val="19"/>
                <w:szCs w:val="19"/>
                <w:color w:val="auto"/>
              </w:rPr>
            </w:pPr>
          </w:p>
        </w:tc>
        <w:tc>
          <w:tcPr>
            <w:tcW w:w="4580" w:type="dxa"/>
            <w:vAlign w:val="bottom"/>
            <w:tcBorders>
              <w:bottom w:val="single" w:sz="8" w:color="CFF0FC"/>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Classified Loans</w:t>
            </w:r>
          </w:p>
        </w:tc>
        <w:tc>
          <w:tcPr>
            <w:tcW w:w="180" w:type="dxa"/>
            <w:vAlign w:val="bottom"/>
            <w:tcBorders>
              <w:top w:val="single" w:sz="8" w:color="auto"/>
              <w:bottom w:val="single" w:sz="8" w:color="auto"/>
            </w:tcBorders>
            <w:shd w:val="clear" w:color="auto" w:fill="CFF0FC"/>
          </w:tcPr>
          <w:p>
            <w:pPr>
              <w:jc w:val="right"/>
              <w:ind w:right="2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78,658</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63,651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76,170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64,108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56,102</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-2995930</wp:posOffset>
            </wp:positionV>
            <wp:extent cx="7132320" cy="2571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2571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-804545</wp:posOffset>
            </wp:positionV>
            <wp:extent cx="76835"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-804545</wp:posOffset>
            </wp:positionV>
            <wp:extent cx="76835"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-804545</wp:posOffset>
            </wp:positionV>
            <wp:extent cx="6858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-804545</wp:posOffset>
            </wp:positionV>
            <wp:extent cx="6858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-804545</wp:posOffset>
            </wp:positionV>
            <wp:extent cx="6858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-470535</wp:posOffset>
            </wp:positionV>
            <wp:extent cx="3313430" cy="3251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13430" cy="32512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Nonperforming loans, defined as nonaccrual loans, nonperforming TDR loans and loans past due 90 days or more and still accruing interest,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million at December 31, 2022, or 0.05% of total loans. This compares to nonperforming loans of $6.9 million, or 0.09% of total loans, at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2021. The $2.0 million decrease in nonperforming loans was primarily due to decreases of $950,000 in nonperforming commercial real estate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$591,000 in nonperforming SBA loans, $394,000 in nonperforming commercial and industrial loans, and $380,000 in nonperforming SFR mortgage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an increase of $477,000 in nonperforming dairy &amp; livestock and agribusiness loans.</w:t>
      </w:r>
    </w:p>
    <w:p>
      <w:pPr>
        <w:spacing w:after="0" w:line="166" w:lineRule="exact"/>
        <w:rPr>
          <w:sz w:val="20"/>
          <w:szCs w:val="20"/>
          <w:color w:val="auto"/>
        </w:rPr>
      </w:pPr>
    </w:p>
    <w:p>
      <w:pPr>
        <w:ind w:right="240" w:firstLine="637"/>
        <w:spacing w:after="0" w:line="281" w:lineRule="auto"/>
        <w:rPr>
          <w:sz w:val="20"/>
          <w:szCs w:val="20"/>
          <w:color w:val="auto"/>
        </w:rPr>
      </w:pPr>
      <w:r>
        <w:rPr>
          <w:rFonts w:ascii="Times New Roman" w:cs="Times New Roman" w:eastAsia="Times New Roman" w:hAnsi="Times New Roman"/>
          <w:sz w:val="18"/>
          <w:szCs w:val="18"/>
          <w:color w:val="auto"/>
        </w:rPr>
        <w:t>At December 31, 2022 and December 31, 2021, we had no OREO properties. There were no additions to OREO properties for 2022. During the fourth quarter of 2021, we acquired an OREO property, which was sold during the fourth quarter of 2021 at a net gain of approximately $700,000.</w:t>
      </w:r>
    </w:p>
    <w:p>
      <w:pPr>
        <w:spacing w:after="0" w:line="122" w:lineRule="exact"/>
        <w:rPr>
          <w:sz w:val="20"/>
          <w:szCs w:val="20"/>
          <w:color w:val="auto"/>
        </w:rPr>
      </w:pPr>
    </w:p>
    <w:p>
      <w:pPr>
        <w:ind w:right="260" w:firstLine="644"/>
        <w:spacing w:after="0" w:line="260" w:lineRule="auto"/>
        <w:rPr>
          <w:sz w:val="20"/>
          <w:szCs w:val="20"/>
          <w:color w:val="auto"/>
        </w:rPr>
      </w:pPr>
      <w:r>
        <w:rPr>
          <w:rFonts w:ascii="Times New Roman" w:cs="Times New Roman" w:eastAsia="Times New Roman" w:hAnsi="Times New Roman"/>
          <w:sz w:val="18"/>
          <w:szCs w:val="18"/>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8"/>
          <w:szCs w:val="18"/>
          <w:i w:val="1"/>
          <w:iCs w:val="1"/>
          <w:color w:val="auto"/>
        </w:rPr>
        <w:t>Risk Management – Credit Risk Management</w:t>
      </w:r>
      <w:r>
        <w:rPr>
          <w:rFonts w:ascii="Times New Roman" w:cs="Times New Roman" w:eastAsia="Times New Roman" w:hAnsi="Times New Roman"/>
          <w:sz w:val="18"/>
          <w:szCs w:val="18"/>
          <w:color w:val="auto"/>
        </w:rPr>
        <w:t>” included herein.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08" w:right="2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02"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 xml:space="preserve">We adopted CECL on January 1, 2020, which replaced the “incurred loss” approach with an “expected loss” model over the life of the loan, as further described in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the consolidated financial statements. The allowance for credit losses totaled $85.1 million as of December 31, 2022, compared to $65.0 million as of December 31, 2021. Our allowance for credit losses at December 31, 2022 was 0.94% of total loans. The ACL increased by $20.1 million for 2022, compared to December 31, 2021, including $8.6 million for the acquired Suncrest PCD loans and $10.6 million in provision for credit losses for 2022. Net recoveries were $893,000 for 2022, which compares with net charge-offs of $3.2 million for 2021.</w:t>
      </w:r>
    </w:p>
    <w:p>
      <w:pPr>
        <w:spacing w:after="0" w:line="145" w:lineRule="exact"/>
        <w:rPr>
          <w:sz w:val="20"/>
          <w:szCs w:val="20"/>
          <w:color w:val="auto"/>
        </w:rPr>
      </w:pPr>
    </w:p>
    <w:p>
      <w:pPr>
        <w:ind w:right="20" w:firstLine="637"/>
        <w:spacing w:after="0" w:line="252" w:lineRule="auto"/>
        <w:rPr>
          <w:sz w:val="20"/>
          <w:szCs w:val="20"/>
          <w:color w:val="auto"/>
        </w:rPr>
      </w:pPr>
      <w:r>
        <w:rPr>
          <w:rFonts w:ascii="Times New Roman" w:cs="Times New Roman" w:eastAsia="Times New Roman" w:hAnsi="Times New Roman"/>
          <w:sz w:val="18"/>
          <w:szCs w:val="18"/>
          <w:color w:val="auto"/>
        </w:rPr>
        <w:t>The allowance for credit losses as of December 31, 2022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Paycheck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Paycheck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50" w:lineRule="exact"/>
        <w:rPr>
          <w:sz w:val="20"/>
          <w:szCs w:val="20"/>
          <w:color w:val="auto"/>
        </w:rPr>
      </w:pPr>
    </w:p>
    <w:p>
      <w:pPr>
        <w:ind w:firstLine="637"/>
        <w:spacing w:after="0" w:line="254" w:lineRule="auto"/>
        <w:rPr>
          <w:sz w:val="20"/>
          <w:szCs w:val="20"/>
          <w:color w:val="auto"/>
        </w:rPr>
      </w:pPr>
      <w:r>
        <w:rPr>
          <w:rFonts w:ascii="Times New Roman" w:cs="Times New Roman" w:eastAsia="Times New Roman" w:hAnsi="Times New Roman"/>
          <w:sz w:val="18"/>
          <w:szCs w:val="18"/>
          <w:color w:val="auto"/>
        </w:rPr>
        <w:t>Our economic forecast continues to be a blend of multiple forecasts produced by Moody’s. These U.S. economic forecasts include a baseline forecast, as well as multiple downside forecasts. The baseline forecast continues to represent the largest weighting in our multi-weighted forecast scenario, with downside risks, including a stagflation scenario, weighted among these multiple forecasts. Our weighted forecast at December 31, 2022 assumes GDP will increase by 0.3% in 2023, including a decline in GDP for the first half of 2023, followed by modest growth of 1.3% for 2024 and then grow by 2.8% in 2025. The unemployment rate is forecasted to be 4.8% in 2023, 5.1% in 2024 and then decline to 4.5% in 2025. When comparing the two largest loan pools, the Commercial and Industrial loan pool was more greatly impacted by the current forecast of macroeconomic variable, resulting in a larger change in the projected loss rate than the Commercial Real Estate pool. As there is continued uncertainty around the assumptions that impact our economic forecast, no assurance can be given that economic conditions that adversely affect the Company's service areas and customers will not be reflected in an increased allowance for credit losses in future periods.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60" w:name="page61"/>
    <w:bookmarkEnd w:id="60"/>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The table below presents a summary of charge-offs and recoveries by type, the provision for credit losses on loans, and the resulting allowance for credit losses for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5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2020</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2019</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60" w:type="dxa"/>
            <w:vAlign w:val="bottom"/>
            <w:gridSpan w:val="4"/>
          </w:tcPr>
          <w:p>
            <w:pPr>
              <w:jc w:val="right"/>
              <w:ind w:right="4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Allowance for credit losses at beginning of period</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65,019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93,692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68,660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63,613</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59,585</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Impact of adopting ASU 2016-13</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r>
      <w:tr>
        <w:trPr>
          <w:trHeight w:val="189"/>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Charge-offs: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Commercial real estate</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r>
      <w:tr>
        <w:trPr>
          <w:trHeight w:val="189"/>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Construction</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r>
      <w:tr>
        <w:trPr>
          <w:trHeight w:val="189"/>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SBA</w:t>
            </w:r>
          </w:p>
        </w:tc>
        <w:tc>
          <w:tcPr>
            <w:tcW w:w="220" w:type="dxa"/>
            <w:vAlign w:val="bottom"/>
          </w:tcPr>
          <w:p>
            <w:pPr>
              <w:spacing w:after="0"/>
              <w:rPr>
                <w:sz w:val="16"/>
                <w:szCs w:val="16"/>
                <w:color w:val="auto"/>
              </w:rPr>
            </w:pPr>
          </w:p>
        </w:tc>
        <w:tc>
          <w:tcPr>
            <w:tcW w:w="106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(127 )</w:t>
            </w:r>
          </w:p>
        </w:tc>
        <w:tc>
          <w:tcPr>
            <w:tcW w:w="240" w:type="dxa"/>
            <w:vAlign w:val="bottom"/>
          </w:tcPr>
          <w:p>
            <w:pPr>
              <w:spacing w:after="0"/>
              <w:rPr>
                <w:sz w:val="16"/>
                <w:szCs w:val="16"/>
                <w:color w:val="auto"/>
              </w:rPr>
            </w:pPr>
          </w:p>
        </w:tc>
        <w:tc>
          <w:tcPr>
            <w:tcW w:w="10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(223 )</w:t>
            </w:r>
          </w:p>
        </w:tc>
        <w:tc>
          <w:tcPr>
            <w:tcW w:w="220" w:type="dxa"/>
            <w:vAlign w:val="bottom"/>
          </w:tcPr>
          <w:p>
            <w:pPr>
              <w:spacing w:after="0"/>
              <w:rPr>
                <w:sz w:val="16"/>
                <w:szCs w:val="16"/>
                <w:color w:val="auto"/>
              </w:rPr>
            </w:pP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(362 )</w:t>
            </w:r>
          </w:p>
        </w:tc>
        <w:tc>
          <w:tcPr>
            <w:tcW w:w="240" w:type="dxa"/>
            <w:vAlign w:val="bottom"/>
          </w:tcPr>
          <w:p>
            <w:pPr>
              <w:spacing w:after="0"/>
              <w:rPr>
                <w:sz w:val="16"/>
                <w:szCs w:val="16"/>
                <w:color w:val="auto"/>
              </w:rPr>
            </w:pPr>
          </w:p>
        </w:tc>
        <w:tc>
          <w:tcPr>
            <w:tcW w:w="10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(321 )</w:t>
            </w:r>
          </w:p>
        </w:tc>
        <w:tc>
          <w:tcPr>
            <w:tcW w:w="2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(257 )</w:t>
            </w:r>
          </w:p>
        </w:tc>
        <w:tc>
          <w:tcPr>
            <w:tcW w:w="40" w:type="dxa"/>
            <w:vAlign w:val="bottom"/>
          </w:tcPr>
          <w:p>
            <w:pPr>
              <w:spacing w:after="0"/>
              <w:rPr>
                <w:sz w:val="16"/>
                <w:szCs w:val="16"/>
                <w:color w:val="auto"/>
              </w:rPr>
            </w:pPr>
          </w:p>
        </w:tc>
      </w:tr>
      <w:tr>
        <w:trPr>
          <w:trHeight w:val="189"/>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(66 )</w:t>
            </w: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(3,019 )</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(195 )</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(48 )</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40" w:type="dxa"/>
            <w:vAlign w:val="bottom"/>
          </w:tcPr>
          <w:p>
            <w:pPr>
              <w:spacing w:after="0"/>
              <w:rPr>
                <w:sz w:val="16"/>
                <w:szCs w:val="16"/>
                <w:color w:val="auto"/>
              </w:rPr>
            </w:pPr>
          </w:p>
        </w:tc>
      </w:tr>
      <w:tr>
        <w:trPr>
          <w:trHeight w:val="189"/>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Dairy &amp; livestock and agribusiness</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(118 )</w:t>
            </w:r>
          </w:p>
        </w:tc>
        <w:tc>
          <w:tcPr>
            <w:tcW w:w="220" w:type="dxa"/>
            <w:vAlign w:val="bottom"/>
          </w:tcPr>
          <w:p>
            <w:pPr>
              <w:spacing w:after="0"/>
              <w:rPr>
                <w:sz w:val="16"/>
                <w:szCs w:val="16"/>
                <w:color w:val="auto"/>
              </w:rPr>
            </w:pP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(78 )</w:t>
            </w:r>
          </w:p>
        </w:tc>
        <w:tc>
          <w:tcPr>
            <w:tcW w:w="240" w:type="dxa"/>
            <w:vAlign w:val="bottom"/>
          </w:tcPr>
          <w:p>
            <w:pPr>
              <w:spacing w:after="0"/>
              <w:rPr>
                <w:sz w:val="16"/>
                <w:szCs w:val="16"/>
                <w:color w:val="auto"/>
              </w:rPr>
            </w:pPr>
          </w:p>
        </w:tc>
        <w:tc>
          <w:tcPr>
            <w:tcW w:w="9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r>
      <w:tr>
        <w:trPr>
          <w:trHeight w:val="189"/>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SFR mortgage</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40" w:type="dxa"/>
            <w:vAlign w:val="bottom"/>
          </w:tcPr>
          <w:p>
            <w:pPr>
              <w:spacing w:after="0"/>
              <w:rPr>
                <w:sz w:val="16"/>
                <w:szCs w:val="16"/>
                <w:color w:val="auto"/>
              </w:rPr>
            </w:pPr>
          </w:p>
        </w:tc>
      </w:tr>
      <w:tr>
        <w:trPr>
          <w:trHeight w:val="189"/>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Consumer and other loans</w:t>
            </w:r>
          </w:p>
        </w:tc>
        <w:tc>
          <w:tcPr>
            <w:tcW w:w="220" w:type="dxa"/>
            <w:vAlign w:val="bottom"/>
          </w:tcPr>
          <w:p>
            <w:pPr>
              <w:spacing w:after="0"/>
              <w:rPr>
                <w:sz w:val="16"/>
                <w:szCs w:val="16"/>
                <w:color w:val="auto"/>
              </w:rPr>
            </w:pPr>
          </w:p>
        </w:tc>
        <w:tc>
          <w:tcPr>
            <w:tcW w:w="106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(4 )</w:t>
            </w:r>
          </w:p>
        </w:tc>
        <w:tc>
          <w:tcPr>
            <w:tcW w:w="240" w:type="dxa"/>
            <w:vAlign w:val="bottom"/>
          </w:tcPr>
          <w:p>
            <w:pPr>
              <w:spacing w:after="0"/>
              <w:rPr>
                <w:sz w:val="16"/>
                <w:szCs w:val="16"/>
                <w:color w:val="auto"/>
              </w:rPr>
            </w:pPr>
          </w:p>
        </w:tc>
        <w:tc>
          <w:tcPr>
            <w:tcW w:w="10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(11 )</w:t>
            </w:r>
          </w:p>
        </w:tc>
        <w:tc>
          <w:tcPr>
            <w:tcW w:w="220" w:type="dxa"/>
            <w:vAlign w:val="bottom"/>
          </w:tcPr>
          <w:p>
            <w:pPr>
              <w:spacing w:after="0"/>
              <w:rPr>
                <w:sz w:val="16"/>
                <w:szCs w:val="16"/>
                <w:color w:val="auto"/>
              </w:rPr>
            </w:pP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(109 )</w:t>
            </w:r>
          </w:p>
        </w:tc>
        <w:tc>
          <w:tcPr>
            <w:tcW w:w="240" w:type="dxa"/>
            <w:vAlign w:val="bottom"/>
          </w:tcPr>
          <w:p>
            <w:pPr>
              <w:spacing w:after="0"/>
              <w:rPr>
                <w:sz w:val="16"/>
                <w:szCs w:val="16"/>
                <w:color w:val="auto"/>
              </w:rPr>
            </w:pPr>
          </w:p>
        </w:tc>
        <w:tc>
          <w:tcPr>
            <w:tcW w:w="10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(7 )</w:t>
            </w:r>
          </w:p>
        </w:tc>
        <w:tc>
          <w:tcPr>
            <w:tcW w:w="2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40" w:type="dxa"/>
            <w:vAlign w:val="bottom"/>
          </w:tcPr>
          <w:p>
            <w:pPr>
              <w:spacing w:after="0"/>
              <w:rPr>
                <w:sz w:val="16"/>
                <w:szCs w:val="16"/>
                <w:color w:val="auto"/>
              </w:rPr>
            </w:pPr>
          </w:p>
        </w:tc>
      </w:tr>
      <w:tr>
        <w:trPr>
          <w:trHeight w:val="182"/>
        </w:trPr>
        <w:tc>
          <w:tcPr>
            <w:tcW w:w="5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Total charge-offs</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240" w:type="dxa"/>
            <w:vAlign w:val="bottom"/>
            <w:tcBorders>
              <w:bottom w:val="single" w:sz="8" w:color="CFF0FC"/>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(3,371</w:t>
            </w:r>
          </w:p>
        </w:tc>
        <w:tc>
          <w:tcPr>
            <w:tcW w:w="220" w:type="dxa"/>
            <w:vAlign w:val="bottom"/>
            <w:tcBorders>
              <w:bottom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200" w:type="dxa"/>
            <w:vAlign w:val="bottom"/>
            <w:tcBorders>
              <w:bottom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200" w:type="dxa"/>
            <w:vAlign w:val="bottom"/>
            <w:tcBorders>
              <w:bottom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5"/>
                <w:szCs w:val="15"/>
                <w:color w:val="auto"/>
              </w:rPr>
            </w:pPr>
          </w:p>
        </w:tc>
      </w:tr>
      <w:tr>
        <w:trPr>
          <w:trHeight w:val="18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Recoveries: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Commercial real estate</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r>
      <w:tr>
        <w:trPr>
          <w:trHeight w:val="189"/>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Construction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SBA</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Dairy &amp; livestock and agribusiness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SFR mortgage</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Consumer and other loans</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50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5"/>
                <w:szCs w:val="15"/>
                <w:color w:val="auto"/>
              </w:rPr>
              <w:t>Total recoveries</w:t>
            </w: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1,090</w:t>
            </w: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2,819</w:t>
            </w:r>
          </w:p>
        </w:tc>
        <w:tc>
          <w:tcPr>
            <w:tcW w:w="100" w:type="dxa"/>
            <w:vAlign w:val="bottom"/>
            <w:tcBorders>
              <w:top w:val="single" w:sz="8" w:color="CFF0FC"/>
            </w:tcBorders>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recoveries (charged-offs)</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(3,173</w:t>
            </w:r>
          </w:p>
        </w:tc>
        <w:tc>
          <w:tcPr>
            <w:tcW w:w="22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2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2,528</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Initial ACL for PCD loans at acquisition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8,605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r>
      <w:tr>
        <w:trPr>
          <w:trHeight w:val="189"/>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Provision recorded at acquisition</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4,932</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(recapture of) credit losses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(25,500 )</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Allowance for credit losses at end of period</w:t>
            </w: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85,117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65,019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93,692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68,660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63,613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169"/>
        </w:trPr>
        <w:tc>
          <w:tcPr>
            <w:tcW w:w="506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Summary of reserve for unfunded loan commitments: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Reserve for unfunded loan commitments at beginning of period</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9,000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8,959</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8,959</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6,306</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Impact of adopting ASU 2016-13</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r>
      <w:tr>
        <w:trPr>
          <w:trHeight w:val="158"/>
        </w:trPr>
        <w:tc>
          <w:tcPr>
            <w:tcW w:w="506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5"/>
                <w:szCs w:val="15"/>
                <w:color w:val="auto"/>
              </w:rPr>
              <w:t>Estimated fair value of reserve for unfunded loan commitment assumed</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r>
      <w:tr>
        <w:trPr>
          <w:trHeight w:val="193"/>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from Community Bank</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2,903</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(Recapture of) provision for unfunded loan commitments</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(1,000 )</w:t>
            </w:r>
          </w:p>
        </w:tc>
        <w:tc>
          <w:tcPr>
            <w:tcW w:w="220" w:type="dxa"/>
            <w:vAlign w:val="bottom"/>
          </w:tcPr>
          <w:p>
            <w:pPr>
              <w:spacing w:after="0"/>
              <w:rPr>
                <w:sz w:val="16"/>
                <w:szCs w:val="16"/>
                <w:color w:val="auto"/>
              </w:rPr>
            </w:pPr>
          </w:p>
        </w:tc>
        <w:tc>
          <w:tcPr>
            <w:tcW w:w="10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(250 )</w:t>
            </w:r>
          </w:p>
        </w:tc>
        <w:tc>
          <w:tcPr>
            <w:tcW w:w="40" w:type="dxa"/>
            <w:vAlign w:val="bottom"/>
          </w:tcPr>
          <w:p>
            <w:pPr>
              <w:spacing w:after="0"/>
              <w:rPr>
                <w:sz w:val="16"/>
                <w:szCs w:val="16"/>
                <w:color w:val="auto"/>
              </w:rPr>
            </w:pPr>
          </w:p>
        </w:tc>
      </w:tr>
      <w:tr>
        <w:trPr>
          <w:trHeight w:val="222"/>
        </w:trPr>
        <w:tc>
          <w:tcPr>
            <w:tcW w:w="5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Reserve for unfunded loan commitments at end of period</w:t>
            </w: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9,000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8,959</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8,959</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169"/>
        </w:trPr>
        <w:tc>
          <w:tcPr>
            <w:tcW w:w="506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Reserve for unfunded loan commitments to total unfunded loan commitments</w:t>
            </w:r>
          </w:p>
        </w:tc>
        <w:tc>
          <w:tcPr>
            <w:tcW w:w="220" w:type="dxa"/>
            <w:vAlign w:val="bottom"/>
          </w:tcPr>
          <w:p>
            <w:pPr>
              <w:spacing w:after="0"/>
              <w:rPr>
                <w:sz w:val="14"/>
                <w:szCs w:val="14"/>
                <w:color w:val="auto"/>
              </w:rPr>
            </w:pPr>
          </w:p>
        </w:tc>
        <w:tc>
          <w:tcPr>
            <w:tcW w:w="1060" w:type="dxa"/>
            <w:vAlign w:val="bottom"/>
            <w:gridSpan w:val="2"/>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 xml:space="preserve">0.46 </w:t>
            </w:r>
            <w:r>
              <w:rPr>
                <w:rFonts w:ascii="Times New Roman" w:cs="Times New Roman" w:eastAsia="Times New Roman" w:hAnsi="Times New Roman"/>
                <w:sz w:val="15"/>
                <w:szCs w:val="15"/>
                <w:color w:val="auto"/>
                <w:highlight w:val="white"/>
              </w:rPr>
              <w:t>%</w:t>
            </w:r>
          </w:p>
        </w:tc>
        <w:tc>
          <w:tcPr>
            <w:tcW w:w="240" w:type="dxa"/>
            <w:vAlign w:val="bottom"/>
          </w:tcPr>
          <w:p>
            <w:pPr>
              <w:spacing w:after="0"/>
              <w:rPr>
                <w:sz w:val="14"/>
                <w:szCs w:val="14"/>
                <w:color w:val="auto"/>
              </w:rPr>
            </w:pPr>
          </w:p>
        </w:tc>
        <w:tc>
          <w:tcPr>
            <w:tcW w:w="1040" w:type="dxa"/>
            <w:vAlign w:val="bottom"/>
            <w:gridSpan w:val="2"/>
          </w:tcPr>
          <w:p>
            <w:pPr>
              <w:jc w:val="right"/>
              <w:ind w:right="5"/>
              <w:spacing w:after="0" w:line="169" w:lineRule="exact"/>
              <w:rPr>
                <w:sz w:val="20"/>
                <w:szCs w:val="20"/>
                <w:color w:val="auto"/>
              </w:rPr>
            </w:pPr>
            <w:r>
              <w:rPr>
                <w:rFonts w:ascii="Times New Roman" w:cs="Times New Roman" w:eastAsia="Times New Roman" w:hAnsi="Times New Roman"/>
                <w:sz w:val="15"/>
                <w:szCs w:val="15"/>
                <w:color w:val="auto"/>
              </w:rPr>
              <w:t xml:space="preserve">0.49 </w:t>
            </w:r>
            <w:r>
              <w:rPr>
                <w:rFonts w:ascii="Times New Roman" w:cs="Times New Roman" w:eastAsia="Times New Roman" w:hAnsi="Times New Roman"/>
                <w:sz w:val="15"/>
                <w:szCs w:val="15"/>
                <w:color w:val="auto"/>
                <w:highlight w:val="white"/>
              </w:rPr>
              <w:t>%</w:t>
            </w:r>
          </w:p>
        </w:tc>
        <w:tc>
          <w:tcPr>
            <w:tcW w:w="220" w:type="dxa"/>
            <w:vAlign w:val="bottom"/>
          </w:tcPr>
          <w:p>
            <w:pPr>
              <w:spacing w:after="0"/>
              <w:rPr>
                <w:sz w:val="14"/>
                <w:szCs w:val="14"/>
                <w:color w:val="auto"/>
              </w:rPr>
            </w:pPr>
          </w:p>
        </w:tc>
        <w:tc>
          <w:tcPr>
            <w:tcW w:w="10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 xml:space="preserve">0.54 </w:t>
            </w:r>
            <w:r>
              <w:rPr>
                <w:rFonts w:ascii="Times New Roman" w:cs="Times New Roman" w:eastAsia="Times New Roman" w:hAnsi="Times New Roman"/>
                <w:sz w:val="15"/>
                <w:szCs w:val="15"/>
                <w:color w:val="auto"/>
                <w:highlight w:val="white"/>
              </w:rPr>
              <w:t>%</w:t>
            </w:r>
          </w:p>
        </w:tc>
        <w:tc>
          <w:tcPr>
            <w:tcW w:w="240" w:type="dxa"/>
            <w:vAlign w:val="bottom"/>
          </w:tcPr>
          <w:p>
            <w:pPr>
              <w:spacing w:after="0"/>
              <w:rPr>
                <w:sz w:val="14"/>
                <w:szCs w:val="14"/>
                <w:color w:val="auto"/>
              </w:rPr>
            </w:pPr>
          </w:p>
        </w:tc>
        <w:tc>
          <w:tcPr>
            <w:tcW w:w="10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 xml:space="preserve">0.56 </w:t>
            </w:r>
            <w:r>
              <w:rPr>
                <w:rFonts w:ascii="Times New Roman" w:cs="Times New Roman" w:eastAsia="Times New Roman" w:hAnsi="Times New Roman"/>
                <w:sz w:val="15"/>
                <w:szCs w:val="15"/>
                <w:color w:val="auto"/>
                <w:highlight w:val="white"/>
              </w:rPr>
              <w:t>%</w:t>
            </w:r>
          </w:p>
        </w:tc>
        <w:tc>
          <w:tcPr>
            <w:tcW w:w="240" w:type="dxa"/>
            <w:vAlign w:val="bottom"/>
          </w:tcPr>
          <w:p>
            <w:pPr>
              <w:spacing w:after="0"/>
              <w:rPr>
                <w:sz w:val="14"/>
                <w:szCs w:val="14"/>
                <w:color w:val="auto"/>
              </w:rPr>
            </w:pPr>
          </w:p>
        </w:tc>
        <w:tc>
          <w:tcPr>
            <w:tcW w:w="94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5"/>
                <w:szCs w:val="15"/>
                <w:color w:val="auto"/>
              </w:rPr>
              <w:t xml:space="preserve">0.51 </w:t>
            </w:r>
            <w:r>
              <w:rPr>
                <w:rFonts w:ascii="Times New Roman" w:cs="Times New Roman" w:eastAsia="Times New Roman" w:hAnsi="Times New Roman"/>
                <w:sz w:val="15"/>
                <w:szCs w:val="15"/>
                <w:color w:val="auto"/>
                <w:highlight w:val="white"/>
              </w:rPr>
              <w:t>%</w:t>
            </w:r>
          </w:p>
        </w:tc>
      </w:tr>
      <w:tr>
        <w:trPr>
          <w:trHeight w:val="189"/>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Amount of total loans at end of period (1)</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9,079,392</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7,887,713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8,348,808</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7,564,577</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7,764,611</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Average total loans outstanding (1)</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8,676,820</w:t>
            </w:r>
          </w:p>
        </w:tc>
        <w:tc>
          <w:tcPr>
            <w:tcW w:w="24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8,065,877</w:t>
            </w:r>
          </w:p>
        </w:tc>
        <w:tc>
          <w:tcPr>
            <w:tcW w:w="2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8,066,483</w:t>
            </w:r>
          </w:p>
        </w:tc>
        <w:tc>
          <w:tcPr>
            <w:tcW w:w="2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7,552,505</w:t>
            </w:r>
          </w:p>
        </w:tc>
        <w:tc>
          <w:tcPr>
            <w:tcW w:w="2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5,905,674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(charge-offs) recoveries to average total loans</w:t>
            </w:r>
          </w:p>
        </w:tc>
        <w:tc>
          <w:tcPr>
            <w:tcW w:w="220" w:type="dxa"/>
            <w:vAlign w:val="bottom"/>
          </w:tcPr>
          <w:p>
            <w:pPr>
              <w:spacing w:after="0"/>
              <w:rPr>
                <w:sz w:val="16"/>
                <w:szCs w:val="16"/>
                <w:color w:val="auto"/>
              </w:rPr>
            </w:pP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0.01 %</w:t>
            </w: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(0.04 )%</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(0.00 )%</w:t>
            </w:r>
          </w:p>
        </w:tc>
        <w:tc>
          <w:tcPr>
            <w:tcW w:w="240" w:type="dxa"/>
            <w:vAlign w:val="bottom"/>
          </w:tcPr>
          <w:p>
            <w:pPr>
              <w:spacing w:after="0"/>
              <w:rPr>
                <w:sz w:val="16"/>
                <w:szCs w:val="16"/>
                <w:color w:val="auto"/>
              </w:rPr>
            </w:pPr>
          </w:p>
        </w:tc>
        <w:tc>
          <w:tcPr>
            <w:tcW w:w="10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0.04 %</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(charge-offs) recoveries to total loans at end of period</w:t>
            </w:r>
          </w:p>
        </w:tc>
        <w:tc>
          <w:tcPr>
            <w:tcW w:w="220" w:type="dxa"/>
            <w:vAlign w:val="bottom"/>
          </w:tcPr>
          <w:p>
            <w:pPr>
              <w:spacing w:after="0"/>
              <w:rPr>
                <w:sz w:val="16"/>
                <w:szCs w:val="16"/>
                <w:color w:val="auto"/>
              </w:rPr>
            </w:pP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0.01 %</w:t>
            </w: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(0.04 )%</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(0.00 )%</w:t>
            </w:r>
          </w:p>
        </w:tc>
        <w:tc>
          <w:tcPr>
            <w:tcW w:w="240" w:type="dxa"/>
            <w:vAlign w:val="bottom"/>
          </w:tcPr>
          <w:p>
            <w:pPr>
              <w:spacing w:after="0"/>
              <w:rPr>
                <w:sz w:val="16"/>
                <w:szCs w:val="16"/>
                <w:color w:val="auto"/>
              </w:rPr>
            </w:pPr>
          </w:p>
        </w:tc>
        <w:tc>
          <w:tcPr>
            <w:tcW w:w="10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0.03 %</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Allowance for credit losses to average total loans</w:t>
            </w:r>
          </w:p>
        </w:tc>
        <w:tc>
          <w:tcPr>
            <w:tcW w:w="220" w:type="dxa"/>
            <w:vAlign w:val="bottom"/>
          </w:tcPr>
          <w:p>
            <w:pPr>
              <w:spacing w:after="0"/>
              <w:rPr>
                <w:sz w:val="16"/>
                <w:szCs w:val="16"/>
                <w:color w:val="auto"/>
              </w:rPr>
            </w:pP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0.98 %</w:t>
            </w:r>
          </w:p>
        </w:tc>
        <w:tc>
          <w:tcPr>
            <w:tcW w:w="240" w:type="dxa"/>
            <w:vAlign w:val="bottom"/>
          </w:tcPr>
          <w:p>
            <w:pPr>
              <w:spacing w:after="0"/>
              <w:rPr>
                <w:sz w:val="16"/>
                <w:szCs w:val="16"/>
                <w:color w:val="auto"/>
              </w:rPr>
            </w:pPr>
          </w:p>
        </w:tc>
        <w:tc>
          <w:tcPr>
            <w:tcW w:w="10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0.81 %</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1.16 %</w:t>
            </w: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0.91 %</w:t>
            </w:r>
          </w:p>
        </w:tc>
        <w:tc>
          <w:tcPr>
            <w:tcW w:w="24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1.08 %</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Allowance for credit losses to total loans at end of period</w:t>
            </w:r>
          </w:p>
        </w:tc>
        <w:tc>
          <w:tcPr>
            <w:tcW w:w="220" w:type="dxa"/>
            <w:vAlign w:val="bottom"/>
          </w:tcPr>
          <w:p>
            <w:pPr>
              <w:spacing w:after="0"/>
              <w:rPr>
                <w:sz w:val="16"/>
                <w:szCs w:val="16"/>
                <w:color w:val="auto"/>
              </w:rPr>
            </w:pP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0.94 %</w:t>
            </w:r>
          </w:p>
        </w:tc>
        <w:tc>
          <w:tcPr>
            <w:tcW w:w="240" w:type="dxa"/>
            <w:vAlign w:val="bottom"/>
          </w:tcPr>
          <w:p>
            <w:pPr>
              <w:spacing w:after="0"/>
              <w:rPr>
                <w:sz w:val="16"/>
                <w:szCs w:val="16"/>
                <w:color w:val="auto"/>
              </w:rPr>
            </w:pPr>
          </w:p>
        </w:tc>
        <w:tc>
          <w:tcPr>
            <w:tcW w:w="10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0.82 %</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1.12 %</w:t>
            </w: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0.91 %</w:t>
            </w:r>
          </w:p>
        </w:tc>
        <w:tc>
          <w:tcPr>
            <w:tcW w:w="24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0.82 %</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(charge-offs) recoveries to allowance for credit losses</w:t>
            </w:r>
          </w:p>
        </w:tc>
        <w:tc>
          <w:tcPr>
            <w:tcW w:w="220" w:type="dxa"/>
            <w:vAlign w:val="bottom"/>
          </w:tcPr>
          <w:p>
            <w:pPr>
              <w:spacing w:after="0"/>
              <w:rPr>
                <w:sz w:val="16"/>
                <w:szCs w:val="16"/>
                <w:color w:val="auto"/>
              </w:rPr>
            </w:pP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1.05 %</w:t>
            </w: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(4.88 )%</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(0.33 )%</w:t>
            </w: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0.07 %</w:t>
            </w:r>
          </w:p>
        </w:tc>
        <w:tc>
          <w:tcPr>
            <w:tcW w:w="24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3.97 %</w:t>
            </w:r>
          </w:p>
        </w:tc>
      </w:tr>
      <w:tr>
        <w:trPr>
          <w:trHeight w:val="198"/>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(charge-offs) recoveries to (recapture of) provision for credit losses</w:t>
            </w:r>
          </w:p>
        </w:tc>
        <w:tc>
          <w:tcPr>
            <w:tcW w:w="220" w:type="dxa"/>
            <w:vAlign w:val="bottom"/>
          </w:tcPr>
          <w:p>
            <w:pPr>
              <w:spacing w:after="0"/>
              <w:rPr>
                <w:sz w:val="17"/>
                <w:szCs w:val="17"/>
                <w:color w:val="auto"/>
              </w:rPr>
            </w:pP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8.42 %</w:t>
            </w:r>
          </w:p>
        </w:tc>
        <w:tc>
          <w:tcPr>
            <w:tcW w:w="240" w:type="dxa"/>
            <w:vAlign w:val="bottom"/>
          </w:tcPr>
          <w:p>
            <w:pPr>
              <w:spacing w:after="0"/>
              <w:rPr>
                <w:sz w:val="17"/>
                <w:szCs w:val="17"/>
                <w:color w:val="auto"/>
              </w:rPr>
            </w:pPr>
          </w:p>
        </w:tc>
        <w:tc>
          <w:tcPr>
            <w:tcW w:w="10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12.44 %</w:t>
            </w: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(1.31 )%</w:t>
            </w: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0.94 %</w:t>
            </w:r>
          </w:p>
        </w:tc>
        <w:tc>
          <w:tcPr>
            <w:tcW w:w="24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168.53 %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-3678555</wp:posOffset>
            </wp:positionV>
            <wp:extent cx="76835" cy="1282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-3678555</wp:posOffset>
            </wp:positionV>
            <wp:extent cx="68580" cy="1282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-3678555</wp:posOffset>
            </wp:positionV>
            <wp:extent cx="68580" cy="1282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-3678555</wp:posOffset>
            </wp:positionV>
            <wp:extent cx="68580" cy="1282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-3678555</wp:posOffset>
            </wp:positionV>
            <wp:extent cx="68580" cy="1282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-2710815</wp:posOffset>
            </wp:positionV>
            <wp:extent cx="76835"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-2710815</wp:posOffset>
            </wp:positionV>
            <wp:extent cx="6858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-2710815</wp:posOffset>
            </wp:positionV>
            <wp:extent cx="6858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-2710815</wp:posOffset>
            </wp:positionV>
            <wp:extent cx="6858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-2710815</wp:posOffset>
            </wp:positionV>
            <wp:extent cx="6858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-1965960</wp:posOffset>
            </wp:positionV>
            <wp:extent cx="3261995"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61995" cy="14541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-1109980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-1109980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-1109980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-1109980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-1109980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200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200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200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73" w:lineRule="exact"/>
        <w:rPr>
          <w:sz w:val="20"/>
          <w:szCs w:val="20"/>
          <w:color w:val="auto"/>
        </w:rPr>
      </w:pPr>
    </w:p>
    <w:p>
      <w:pPr>
        <w:ind w:left="1020" w:hanging="368"/>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deferred loan origination fees, costs and discounts (amortized cost).</w:t>
      </w:r>
    </w:p>
    <w:p>
      <w:pPr>
        <w:spacing w:after="0" w:line="203" w:lineRule="exact"/>
        <w:rPr>
          <w:sz w:val="20"/>
          <w:szCs w:val="20"/>
          <w:color w:val="auto"/>
        </w:rPr>
      </w:pPr>
    </w:p>
    <w:p>
      <w:pPr>
        <w:ind w:right="340" w:firstLine="644"/>
        <w:spacing w:after="0" w:line="265" w:lineRule="auto"/>
        <w:rPr>
          <w:sz w:val="20"/>
          <w:szCs w:val="20"/>
          <w:color w:val="auto"/>
        </w:rPr>
      </w:pPr>
      <w:r>
        <w:rPr>
          <w:rFonts w:ascii="Times New Roman" w:cs="Times New Roman" w:eastAsia="Times New Roman" w:hAnsi="Times New Roman"/>
          <w:sz w:val="18"/>
          <w:szCs w:val="18"/>
          <w:color w:val="auto"/>
        </w:rPr>
        <w:t>The Bank’s ACL methodology also produced an allowance of $8.0 million for our off-balance sheet credit exposures as of December 31, 2022, compared to $8.0 million as of December 31, 2021. The second quarter of 2021 included $1.0 million in recapture of provision for unfunded loan commitments.</w:t>
      </w:r>
    </w:p>
    <w:p>
      <w:pPr>
        <w:spacing w:after="0" w:line="137" w:lineRule="exact"/>
        <w:rPr>
          <w:sz w:val="20"/>
          <w:szCs w:val="20"/>
          <w:color w:val="auto"/>
        </w:rPr>
      </w:pPr>
    </w:p>
    <w:p>
      <w:pPr>
        <w:ind w:right="340" w:firstLine="644"/>
        <w:spacing w:after="0" w:line="260" w:lineRule="auto"/>
        <w:rPr>
          <w:sz w:val="20"/>
          <w:szCs w:val="20"/>
          <w:color w:val="auto"/>
        </w:rPr>
      </w:pPr>
      <w:r>
        <w:rPr>
          <w:rFonts w:ascii="Times New Roman" w:cs="Times New Roman" w:eastAsia="Times New Roman" w:hAnsi="Times New Roman"/>
          <w:sz w:val="18"/>
          <w:szCs w:val="18"/>
          <w:color w:val="auto"/>
        </w:rPr>
        <w:t>While we believe that the allowance at December 31, 2022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12" w:right="299" w:bottom="1440" w:gutter="0" w:footer="0" w:header="0"/>
        </w:sectPr>
      </w:pPr>
    </w:p>
    <w:bookmarkStart w:id="61" w:name="page62"/>
    <w:bookmarkEnd w:id="61"/>
    <w:p>
      <w:pPr>
        <w:ind w:right="260" w:firstLine="644"/>
        <w:spacing w:after="0" w:line="260" w:lineRule="auto"/>
        <w:rPr>
          <w:sz w:val="20"/>
          <w:szCs w:val="20"/>
          <w:color w:val="auto"/>
        </w:rPr>
      </w:pPr>
      <w:r>
        <w:rPr>
          <w:rFonts w:ascii="Times New Roman" w:cs="Times New Roman" w:eastAsia="Times New Roman" w:hAnsi="Times New Roman"/>
          <w:sz w:val="18"/>
          <w:szCs w:val="18"/>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8"/>
          <w:szCs w:val="18"/>
          <w:i w:val="1"/>
          <w:iCs w:val="1"/>
          <w:color w:val="auto"/>
        </w:rPr>
        <w:t>Risk Management – Credit Risk Management</w:t>
      </w:r>
      <w:r>
        <w:rPr>
          <w:rFonts w:ascii="Times New Roman" w:cs="Times New Roman" w:eastAsia="Times New Roman" w:hAnsi="Times New Roman"/>
          <w:sz w:val="18"/>
          <w:szCs w:val="18"/>
          <w:color w:val="auto"/>
        </w:rPr>
        <w:t>” contained herein.</w:t>
      </w:r>
    </w:p>
    <w:p>
      <w:pPr>
        <w:spacing w:after="0" w:line="155"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The following table provides a summary of the allocation of the allowance for credit losses by loan type at the dates indicated for total loans. The allocations presented should not be interpreted as an indication that loans charged to the allowance for credit losses will occur in these amounts or proportions.</w:t>
      </w:r>
    </w:p>
    <w:p>
      <w:pPr>
        <w:spacing w:after="0" w:line="3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Allowance for Credit Losses by Loan Type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69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2020</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2"/>
        </w:trPr>
        <w:tc>
          <w:tcPr>
            <w:tcW w:w="2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77"/>
              <w:spacing w:after="0" w:line="122" w:lineRule="exact"/>
              <w:rPr>
                <w:sz w:val="20"/>
                <w:szCs w:val="20"/>
                <w:color w:val="auto"/>
              </w:rPr>
            </w:pPr>
            <w:r>
              <w:rPr>
                <w:rFonts w:ascii="Times New Roman" w:cs="Times New Roman" w:eastAsia="Times New Roman" w:hAnsi="Times New Roman"/>
                <w:sz w:val="13"/>
                <w:szCs w:val="13"/>
                <w:b w:val="1"/>
                <w:bCs w:val="1"/>
                <w:color w:val="auto"/>
                <w:w w:val="94"/>
              </w:rPr>
              <w:t>Loans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Loans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 of</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 of</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77"/>
              <w:spacing w:after="0" w:line="135" w:lineRule="exact"/>
              <w:rPr>
                <w:sz w:val="20"/>
                <w:szCs w:val="20"/>
                <w:color w:val="auto"/>
              </w:rPr>
            </w:pPr>
            <w:r>
              <w:rPr>
                <w:rFonts w:ascii="Times New Roman" w:cs="Times New Roman" w:eastAsia="Times New Roman" w:hAnsi="Times New Roman"/>
                <w:sz w:val="13"/>
                <w:szCs w:val="13"/>
                <w:b w:val="1"/>
                <w:bCs w:val="1"/>
                <w:color w:val="auto"/>
              </w:rPr>
              <w:t>as % of</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 of</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 of</w:t>
            </w:r>
          </w:p>
        </w:tc>
      </w:tr>
      <w:tr>
        <w:trPr>
          <w:trHeight w:val="135"/>
        </w:trPr>
        <w:tc>
          <w:tcPr>
            <w:tcW w:w="2140" w:type="dxa"/>
            <w:vAlign w:val="bottom"/>
          </w:tcPr>
          <w:p>
            <w:pPr>
              <w:spacing w:after="0"/>
              <w:rPr>
                <w:sz w:val="11"/>
                <w:szCs w:val="11"/>
                <w:color w:val="auto"/>
              </w:rPr>
            </w:pPr>
          </w:p>
        </w:tc>
        <w:tc>
          <w:tcPr>
            <w:tcW w:w="1000" w:type="dxa"/>
            <w:vAlign w:val="bottom"/>
            <w:gridSpan w:val="4"/>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900" w:type="dxa"/>
            <w:vAlign w:val="bottom"/>
            <w:gridSpan w:val="2"/>
          </w:tcPr>
          <w:p>
            <w:pPr>
              <w:jc w:val="center"/>
              <w:ind w:right="3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0" w:type="dxa"/>
            <w:vAlign w:val="bottom"/>
            <w:gridSpan w:val="4"/>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900" w:type="dxa"/>
            <w:vAlign w:val="bottom"/>
            <w:gridSpan w:val="2"/>
          </w:tcPr>
          <w:p>
            <w:pPr>
              <w:jc w:val="center"/>
              <w:ind w:right="3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gridSpan w:val="4"/>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840" w:type="dxa"/>
            <w:vAlign w:val="bottom"/>
            <w:gridSpan w:val="2"/>
          </w:tcPr>
          <w:p>
            <w:pPr>
              <w:jc w:val="center"/>
              <w:ind w:right="277"/>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96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840" w:type="dxa"/>
            <w:vAlign w:val="bottom"/>
            <w:gridSpan w:val="2"/>
          </w:tcPr>
          <w:p>
            <w:pPr>
              <w:jc w:val="center"/>
              <w:ind w:right="2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6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Allowance</w:t>
            </w:r>
          </w:p>
        </w:tc>
        <w:tc>
          <w:tcPr>
            <w:tcW w:w="220" w:type="dxa"/>
            <w:vAlign w:val="bottom"/>
          </w:tcPr>
          <w:p>
            <w:pPr>
              <w:spacing w:after="0"/>
              <w:rPr>
                <w:sz w:val="11"/>
                <w:szCs w:val="11"/>
                <w:color w:val="auto"/>
              </w:rPr>
            </w:pPr>
          </w:p>
        </w:tc>
        <w:tc>
          <w:tcPr>
            <w:tcW w:w="8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7"/>
        </w:trPr>
        <w:tc>
          <w:tcPr>
            <w:tcW w:w="2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120" w:type="dxa"/>
            <w:vAlign w:val="bottom"/>
            <w:gridSpan w:val="2"/>
          </w:tcPr>
          <w:p>
            <w:pPr>
              <w:spacing w:after="0"/>
              <w:rPr>
                <w:sz w:val="14"/>
                <w:szCs w:val="14"/>
                <w:color w:val="auto"/>
              </w:rPr>
            </w:pPr>
          </w:p>
        </w:tc>
      </w:tr>
      <w:tr>
        <w:trPr>
          <w:trHeight w:val="157"/>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tcPr>
          <w:p>
            <w:pPr>
              <w:jc w:val="right"/>
              <w:ind w:right="497"/>
              <w:spacing w:after="0"/>
              <w:rPr>
                <w:sz w:val="20"/>
                <w:szCs w:val="20"/>
                <w:color w:val="auto"/>
              </w:rPr>
            </w:pPr>
            <w:r>
              <w:rPr>
                <w:rFonts w:ascii="Times New Roman" w:cs="Times New Roman" w:eastAsia="Times New Roman" w:hAnsi="Times New Roman"/>
                <w:sz w:val="13"/>
                <w:szCs w:val="13"/>
                <w:i w:val="1"/>
                <w:iCs w:val="1"/>
                <w:color w:val="auto"/>
                <w:w w:val="98"/>
              </w:rPr>
              <w:t>(Dollars in thousands)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64,806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75.8 %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50,950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73.4 %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75,439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65.9 %</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48,629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71.0 %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44,934</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69.4 %</w:t>
            </w:r>
          </w:p>
        </w:tc>
        <w:tc>
          <w:tcPr>
            <w:tcW w:w="20" w:type="dxa"/>
            <w:vAlign w:val="bottom"/>
          </w:tcPr>
          <w:p>
            <w:pPr>
              <w:spacing w:after="0"/>
              <w:rPr>
                <w:sz w:val="14"/>
                <w:szCs w:val="14"/>
                <w:color w:val="auto"/>
              </w:rPr>
            </w:pPr>
          </w:p>
        </w:tc>
      </w:tr>
      <w:tr>
        <w:trPr>
          <w:trHeight w:val="162"/>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20" w:type="dxa"/>
            <w:vAlign w:val="bottom"/>
          </w:tcPr>
          <w:p>
            <w:pPr>
              <w:spacing w:after="0"/>
              <w:rPr>
                <w:sz w:val="14"/>
                <w:szCs w:val="14"/>
                <w:color w:val="auto"/>
              </w:rPr>
            </w:pPr>
          </w:p>
        </w:tc>
      </w:tr>
      <w:tr>
        <w:trPr>
          <w:trHeight w:val="162"/>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3.6 %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3.6 %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20" w:type="dxa"/>
            <w:vAlign w:val="bottom"/>
          </w:tcPr>
          <w:p>
            <w:pPr>
              <w:spacing w:after="0"/>
              <w:rPr>
                <w:sz w:val="14"/>
                <w:szCs w:val="14"/>
                <w:color w:val="auto"/>
              </w:rPr>
            </w:pPr>
          </w:p>
        </w:tc>
      </w:tr>
      <w:tr>
        <w:trPr>
          <w:trHeight w:val="162"/>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 PPP</w:t>
            </w:r>
          </w:p>
        </w:tc>
        <w:tc>
          <w:tcPr>
            <w:tcW w:w="8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2.4 %</w:t>
            </w:r>
          </w:p>
        </w:tc>
        <w:tc>
          <w:tcPr>
            <w:tcW w:w="8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10.6 %</w:t>
            </w:r>
          </w:p>
        </w:tc>
        <w:tc>
          <w:tcPr>
            <w:tcW w:w="8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r>
      <w:tr>
        <w:trPr>
          <w:trHeight w:val="162"/>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10.5 %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10.3 %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8,880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12.4 %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7,520</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12.9 %</w:t>
            </w:r>
          </w:p>
        </w:tc>
        <w:tc>
          <w:tcPr>
            <w:tcW w:w="20" w:type="dxa"/>
            <w:vAlign w:val="bottom"/>
          </w:tcPr>
          <w:p>
            <w:pPr>
              <w:spacing w:after="0"/>
              <w:rPr>
                <w:sz w:val="14"/>
                <w:szCs w:val="14"/>
                <w:color w:val="auto"/>
              </w:rPr>
            </w:pPr>
          </w:p>
        </w:tc>
      </w:tr>
      <w:tr>
        <w:trPr>
          <w:trHeight w:val="130"/>
        </w:trPr>
        <w:tc>
          <w:tcPr>
            <w:tcW w:w="21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Dairy &amp; livestock and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5"/>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agribusiness</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4.8 %</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4.9 %</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4.4 %</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5.1 %</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5,215</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5.1 %</w:t>
            </w:r>
          </w:p>
        </w:tc>
      </w:tr>
      <w:tr>
        <w:trPr>
          <w:trHeight w:val="131"/>
        </w:trPr>
        <w:tc>
          <w:tcPr>
            <w:tcW w:w="21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Municipal lease finance</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receivables</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20" w:type="dxa"/>
            <w:vAlign w:val="bottom"/>
          </w:tcPr>
          <w:p>
            <w:pPr>
              <w:spacing w:after="0"/>
              <w:rPr>
                <w:sz w:val="14"/>
                <w:szCs w:val="14"/>
                <w:color w:val="auto"/>
              </w:rPr>
            </w:pPr>
          </w:p>
        </w:tc>
      </w:tr>
      <w:tr>
        <w:trPr>
          <w:trHeight w:val="162"/>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SFR mortgage</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3.8 %</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20" w:type="dxa"/>
            <w:vAlign w:val="bottom"/>
          </w:tcPr>
          <w:p>
            <w:pPr>
              <w:spacing w:after="0"/>
              <w:rPr>
                <w:sz w:val="14"/>
                <w:szCs w:val="14"/>
                <w:color w:val="auto"/>
              </w:rPr>
            </w:pPr>
          </w:p>
        </w:tc>
      </w:tr>
      <w:tr>
        <w:trPr>
          <w:trHeight w:val="162"/>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Consumer and other loans</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20" w:type="dxa"/>
            <w:vAlign w:val="bottom"/>
          </w:tcPr>
          <w:p>
            <w:pPr>
              <w:spacing w:after="0"/>
              <w:rPr>
                <w:sz w:val="14"/>
                <w:szCs w:val="14"/>
                <w:color w:val="auto"/>
              </w:rPr>
            </w:pPr>
          </w:p>
        </w:tc>
      </w:tr>
      <w:tr>
        <w:trPr>
          <w:trHeight w:val="162"/>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PCI loans</w:t>
            </w:r>
          </w:p>
        </w:tc>
        <w:tc>
          <w:tcPr>
            <w:tcW w:w="8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4"/>
                <w:szCs w:val="14"/>
                <w:color w:val="auto"/>
              </w:rPr>
            </w:pPr>
          </w:p>
        </w:tc>
      </w:tr>
      <w:tr>
        <w:trPr>
          <w:trHeight w:val="195"/>
        </w:trPr>
        <w:tc>
          <w:tcPr>
            <w:tcW w:w="21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85,117</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65,019</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93,692</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68,660</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spacing w:after="0"/>
              <w:rPr>
                <w:sz w:val="16"/>
                <w:szCs w:val="16"/>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63,613</w:t>
            </w:r>
          </w:p>
        </w:tc>
        <w:tc>
          <w:tcPr>
            <w:tcW w:w="22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-24765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-7620</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-24765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-7620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-24765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-7620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-24765</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-7620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ACL/Total Loan Coverage Ratio as of December 31, 2022 increased to 0.94%, compared to 0.82% as of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primary source of funds to support earning assets (loans and investments) is the generation of deposits.</w:t>
      </w:r>
    </w:p>
    <w:p>
      <w:pPr>
        <w:spacing w:after="0" w:line="184" w:lineRule="exact"/>
        <w:rPr>
          <w:sz w:val="20"/>
          <w:szCs w:val="20"/>
          <w:color w:val="auto"/>
        </w:rPr>
      </w:pPr>
    </w:p>
    <w:p>
      <w:pPr>
        <w:jc w:val="both"/>
        <w:ind w:right="280" w:firstLine="637"/>
        <w:spacing w:after="0" w:line="265" w:lineRule="auto"/>
        <w:rPr>
          <w:sz w:val="20"/>
          <w:szCs w:val="20"/>
          <w:color w:val="auto"/>
        </w:rPr>
      </w:pPr>
      <w:r>
        <w:rPr>
          <w:rFonts w:ascii="Times New Roman" w:cs="Times New Roman" w:eastAsia="Times New Roman" w:hAnsi="Times New Roman"/>
          <w:sz w:val="18"/>
          <w:szCs w:val="18"/>
          <w:color w:val="auto"/>
        </w:rPr>
        <w:t>Total deposits were $12.84 billion at December 31, 2022. This represented a decrease of $140.1 million, or 1.08%, from total deposits of $12.98 billion at December 31, 2021. The average balance of deposits by category and the average effective interest rates paid on deposits is summarized for the periods presented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3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3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3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9"/>
        </w:trPr>
        <w:tc>
          <w:tcPr>
            <w:tcW w:w="3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4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2"/>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8,839,577</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7,817,627</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6,281,989</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checking</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0.06 %</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599,978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478,458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43"/>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3,509,750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0.17 %</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3,114,222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0.12 %</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2,599,553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0.31 %</w:t>
            </w:r>
          </w:p>
        </w:tc>
      </w:tr>
      <w:tr>
        <w:trPr>
          <w:trHeight w:val="243"/>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Savings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608,809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0.05 %</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535,179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0.05 %</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452,595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0.09 %</w:t>
            </w:r>
          </w:p>
        </w:tc>
      </w:tr>
      <w:tr>
        <w:trPr>
          <w:trHeight w:val="25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358,578</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0.07 %</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375,666</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0.32 %</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0.85 %</w:t>
            </w:r>
          </w:p>
        </w:tc>
      </w:tr>
      <w:tr>
        <w:trPr>
          <w:trHeight w:val="272"/>
        </w:trPr>
        <w:tc>
          <w:tcPr>
            <w:tcW w:w="3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14,064,658</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12,442,672</w:t>
            </w:r>
          </w:p>
        </w:tc>
        <w:tc>
          <w:tcPr>
            <w:tcW w:w="2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10,258,557</w:t>
            </w:r>
          </w:p>
        </w:tc>
        <w:tc>
          <w:tcPr>
            <w:tcW w:w="2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-24765</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-7620</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40" w:firstLine="644"/>
        <w:spacing w:after="0" w:line="260" w:lineRule="auto"/>
        <w:rPr>
          <w:sz w:val="20"/>
          <w:szCs w:val="20"/>
          <w:color w:val="auto"/>
        </w:rPr>
      </w:pPr>
      <w:r>
        <w:rPr>
          <w:rFonts w:ascii="Times New Roman" w:cs="Times New Roman" w:eastAsia="Times New Roman" w:hAnsi="Times New Roman"/>
          <w:sz w:val="18"/>
          <w:szCs w:val="18"/>
          <w:color w:val="auto"/>
        </w:rPr>
        <w:t>The amount of noninterest-bearing deposits in relation to total deposits is an integral element in our strategy of seeking to achieve a low cost of funds. Average noninterest-bearing deposits totaled $8.84 billion for 2022, representing an increase of $1.02 billion, or 13.07%, from average demand deposits of $7.82 billion for 2021. Average noninterest-bearing deposits represented 62.85% of total average deposits for 2022, compared to 62.83% of total average deposits for 2021.</w:t>
      </w:r>
    </w:p>
    <w:p>
      <w:pPr>
        <w:spacing w:after="0" w:line="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sectPr>
      </w:pPr>
    </w:p>
    <w:bookmarkStart w:id="62" w:name="page63"/>
    <w:bookmarkEnd w:id="62"/>
    <w:p>
      <w:pPr>
        <w:ind w:right="180" w:firstLine="637"/>
        <w:spacing w:after="0" w:line="281" w:lineRule="auto"/>
        <w:rPr>
          <w:sz w:val="20"/>
          <w:szCs w:val="20"/>
          <w:color w:val="auto"/>
        </w:rPr>
      </w:pPr>
      <w:r>
        <w:rPr>
          <w:rFonts w:ascii="Times New Roman" w:cs="Times New Roman" w:eastAsia="Times New Roman" w:hAnsi="Times New Roman"/>
          <w:sz w:val="18"/>
          <w:szCs w:val="18"/>
          <w:color w:val="auto"/>
        </w:rPr>
        <w:t>Average savings deposits, which include savings, interest-bearing demand, and money market accounts, were $4.87 billion for 2022, representing an increase of $617.1 million, or 14.52%, from average savings deposits of $4.25 billion for 2021.</w:t>
      </w:r>
    </w:p>
    <w:p>
      <w:pPr>
        <w:spacing w:after="0" w:line="136" w:lineRule="exact"/>
        <w:rPr>
          <w:sz w:val="20"/>
          <w:szCs w:val="20"/>
          <w:color w:val="auto"/>
        </w:rPr>
      </w:pPr>
    </w:p>
    <w:p>
      <w:pPr>
        <w:ind w:right="440" w:firstLine="637"/>
        <w:spacing w:after="0" w:line="281" w:lineRule="auto"/>
        <w:rPr>
          <w:sz w:val="20"/>
          <w:szCs w:val="20"/>
          <w:color w:val="auto"/>
        </w:rPr>
      </w:pPr>
      <w:r>
        <w:rPr>
          <w:rFonts w:ascii="Times New Roman" w:cs="Times New Roman" w:eastAsia="Times New Roman" w:hAnsi="Times New Roman"/>
          <w:sz w:val="18"/>
          <w:szCs w:val="18"/>
          <w:color w:val="auto"/>
        </w:rPr>
        <w:t>Average time deposits totaled $358.6 million for 2022, representing a decrease of $17.1 million, or 4.55%, from total average time deposits of $375.7 million for 2021.</w:t>
      </w:r>
    </w:p>
    <w:p>
      <w:pPr>
        <w:spacing w:after="0" w:line="122" w:lineRule="exact"/>
        <w:rPr>
          <w:sz w:val="20"/>
          <w:szCs w:val="20"/>
          <w:color w:val="auto"/>
        </w:rPr>
      </w:pPr>
    </w:p>
    <w:p>
      <w:pPr>
        <w:ind w:right="760" w:firstLine="644"/>
        <w:spacing w:after="0" w:line="281" w:lineRule="auto"/>
        <w:rPr>
          <w:sz w:val="20"/>
          <w:szCs w:val="20"/>
          <w:color w:val="auto"/>
        </w:rPr>
      </w:pPr>
      <w:r>
        <w:rPr>
          <w:rFonts w:ascii="Times New Roman" w:cs="Times New Roman" w:eastAsia="Times New Roman" w:hAnsi="Times New Roman"/>
          <w:sz w:val="18"/>
          <w:szCs w:val="18"/>
          <w:color w:val="auto"/>
        </w:rPr>
        <w:t>The following table provides the remaining maturities of large denomination ($250,000 or more) time deposits, including public funds, at December 31, 2022.</w:t>
      </w:r>
    </w:p>
    <w:p>
      <w:pPr>
        <w:spacing w:after="0" w:line="3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Maturity Distribution of Large Denomination Time Deposits</w:t>
      </w:r>
    </w:p>
    <w:p>
      <w:pPr>
        <w:sectPr>
          <w:pgSz w:w="11900" w:h="16838" w:orient="portrait"/>
          <w:cols w:equalWidth="0" w:num="1">
            <w:col w:w="11300"/>
          </w:cols>
          <w:pgMar w:left="320" w:top="51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3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Over 3 months through 6 months</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Over 6 months through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Over 12 months</w:t>
      </w:r>
    </w:p>
    <w:p>
      <w:pPr>
        <w:spacing w:after="0" w:line="4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9173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3957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31"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25,388</w:t>
      </w:r>
    </w:p>
    <w:p>
      <w:pPr>
        <w:spacing w:after="0" w:line="3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14,512</w:t>
      </w:r>
    </w:p>
    <w:p>
      <w:pPr>
        <w:spacing w:after="0" w:line="3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17,453</w:t>
      </w:r>
    </w:p>
    <w:p>
      <w:pPr>
        <w:spacing w:after="0" w:line="3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21,615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13957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78,968</w:t>
      </w:r>
    </w:p>
    <w:p>
      <w:pPr>
        <w:spacing w:after="0" w:line="200" w:lineRule="exact"/>
        <w:rPr>
          <w:sz w:val="20"/>
          <w:szCs w:val="20"/>
          <w:color w:val="auto"/>
        </w:rPr>
      </w:pPr>
    </w:p>
    <w:p>
      <w:pPr>
        <w:sectPr>
          <w:pgSz w:w="11900" w:h="16838" w:orient="portrait"/>
          <w:cols w:equalWidth="0" w:num="2">
            <w:col w:w="6580" w:space="720"/>
            <w:col w:w="4000"/>
          </w:cols>
          <w:pgMar w:left="320" w:top="512" w:right="279" w:bottom="1440" w:gutter="0" w:footer="0" w:header="0"/>
          <w:type w:val="continuous"/>
        </w:sectPr>
      </w:pPr>
    </w:p>
    <w:p>
      <w:pPr>
        <w:spacing w:after="0" w:line="78" w:lineRule="exact"/>
        <w:rPr>
          <w:sz w:val="20"/>
          <w:szCs w:val="20"/>
          <w:color w:val="auto"/>
        </w:rPr>
      </w:pPr>
    </w:p>
    <w:p>
      <w:pPr>
        <w:ind w:right="560" w:firstLine="644"/>
        <w:spacing w:after="0" w:line="281" w:lineRule="auto"/>
        <w:rPr>
          <w:sz w:val="20"/>
          <w:szCs w:val="20"/>
          <w:color w:val="auto"/>
        </w:rPr>
      </w:pPr>
      <w:r>
        <w:rPr>
          <w:rFonts w:ascii="Times New Roman" w:cs="Times New Roman" w:eastAsia="Times New Roman" w:hAnsi="Times New Roman"/>
          <w:sz w:val="18"/>
          <w:szCs w:val="18"/>
          <w:color w:val="auto"/>
        </w:rPr>
        <w:t>Time deposits totaled $294.6 million at December 31, 2022, representing a decrease of $33.1 million, or 10.09%, from total time deposits of $327.7 million for December 31, 2021.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21" w:lineRule="exact"/>
        <w:rPr>
          <w:sz w:val="20"/>
          <w:szCs w:val="20"/>
          <w:color w:val="auto"/>
        </w:rPr>
      </w:pPr>
    </w:p>
    <w:p>
      <w:pPr>
        <w:ind w:right="400" w:firstLine="644"/>
        <w:spacing w:after="0" w:line="281" w:lineRule="auto"/>
        <w:rPr>
          <w:sz w:val="20"/>
          <w:szCs w:val="20"/>
          <w:color w:val="auto"/>
        </w:rPr>
      </w:pPr>
      <w:r>
        <w:rPr>
          <w:rFonts w:ascii="Times New Roman" w:cs="Times New Roman" w:eastAsia="Times New Roman" w:hAnsi="Times New Roman"/>
          <w:sz w:val="18"/>
          <w:szCs w:val="18"/>
          <w:color w:val="auto"/>
        </w:rPr>
        <w:t>The following table summarizes information about our term FHLB advances, repurchase agreements and other borrowings outstanding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12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FHLB Advances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9"/>
        </w:trPr>
        <w:tc>
          <w:tcPr>
            <w:tcW w:w="49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w w:val="98"/>
              </w:rPr>
              <w:t>(Dollars in</w:t>
            </w:r>
          </w:p>
        </w:tc>
        <w:tc>
          <w:tcPr>
            <w:tcW w:w="100" w:type="dxa"/>
            <w:vAlign w:val="bottom"/>
          </w:tcPr>
          <w:p>
            <w:pPr>
              <w:spacing w:after="0"/>
              <w:rPr>
                <w:sz w:val="20"/>
                <w:szCs w:val="20"/>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 outstanding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565,431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20" w:type="dxa"/>
            <w:vAlign w:val="bottom"/>
          </w:tcPr>
          <w:p>
            <w:pPr>
              <w:spacing w:after="0"/>
              <w:rPr>
                <w:sz w:val="20"/>
                <w:szCs w:val="20"/>
                <w:color w:val="auto"/>
              </w:rPr>
            </w:pPr>
          </w:p>
        </w:tc>
        <w:tc>
          <w:tcPr>
            <w:tcW w:w="18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0.11 %</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4.65 %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3.01 %</w:t>
            </w:r>
          </w:p>
        </w:tc>
      </w:tr>
      <w:tr>
        <w:trPr>
          <w:trHeight w:val="24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Highest amount at month-end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650,358</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1,645,358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Daily-average amount outstanding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573,307</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20" w:type="dxa"/>
            <w:vAlign w:val="bottom"/>
          </w:tcPr>
          <w:p>
            <w:pPr>
              <w:spacing w:after="0"/>
              <w:rPr>
                <w:sz w:val="20"/>
                <w:szCs w:val="20"/>
                <w:color w:val="auto"/>
              </w:rPr>
            </w:pPr>
          </w:p>
        </w:tc>
        <w:tc>
          <w:tcPr>
            <w:tcW w:w="18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0.09 %</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4.48 %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0.38 %</w:t>
            </w:r>
          </w:p>
        </w:tc>
      </w:tr>
      <w:tr>
        <w:trPr>
          <w:trHeight w:val="24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 outstanding</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642,388</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644,669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20" w:type="dxa"/>
            <w:vAlign w:val="bottom"/>
          </w:tcPr>
          <w:p>
            <w:pPr>
              <w:spacing w:after="0"/>
              <w:rPr>
                <w:sz w:val="20"/>
                <w:szCs w:val="20"/>
                <w:color w:val="auto"/>
              </w:rPr>
            </w:pPr>
          </w:p>
        </w:tc>
        <w:tc>
          <w:tcPr>
            <w:tcW w:w="18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0.08 %</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1.45 %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0.09 %</w:t>
            </w:r>
          </w:p>
        </w:tc>
      </w:tr>
      <w:tr>
        <w:trPr>
          <w:trHeight w:val="247"/>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Highest amount at month-end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659,579</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664,579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Daily-average amount outstanding</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610,479</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612,487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20" w:type="dxa"/>
            <w:vAlign w:val="bottom"/>
          </w:tcPr>
          <w:p>
            <w:pPr>
              <w:spacing w:after="0"/>
              <w:rPr>
                <w:sz w:val="20"/>
                <w:szCs w:val="20"/>
                <w:color w:val="auto"/>
              </w:rPr>
            </w:pPr>
          </w:p>
        </w:tc>
        <w:tc>
          <w:tcPr>
            <w:tcW w:w="18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0.09 %</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0.01 %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0.09 %</w:t>
            </w:r>
          </w:p>
        </w:tc>
      </w:tr>
      <w:tr>
        <w:trPr>
          <w:trHeight w:val="247"/>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 outstanding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439,406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20" w:type="dxa"/>
            <w:vAlign w:val="bottom"/>
          </w:tcPr>
          <w:p>
            <w:pPr>
              <w:spacing w:after="0"/>
              <w:rPr>
                <w:sz w:val="20"/>
                <w:szCs w:val="20"/>
                <w:color w:val="auto"/>
              </w:rPr>
            </w:pPr>
          </w:p>
        </w:tc>
        <w:tc>
          <w:tcPr>
            <w:tcW w:w="18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0.10 %</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0.10 %</w:t>
            </w:r>
          </w:p>
        </w:tc>
      </w:tr>
      <w:tr>
        <w:trPr>
          <w:trHeight w:val="24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Highest amount at month-end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501,881</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511,881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Daily-average amount outstanding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479,956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485,630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20" w:type="dxa"/>
            <w:vAlign w:val="bottom"/>
          </w:tcPr>
          <w:p>
            <w:pPr>
              <w:spacing w:after="0"/>
              <w:rPr>
                <w:sz w:val="20"/>
                <w:szCs w:val="20"/>
                <w:color w:val="auto"/>
              </w:rPr>
            </w:pPr>
          </w:p>
        </w:tc>
        <w:tc>
          <w:tcPr>
            <w:tcW w:w="18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0.24 %</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0.04 %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-2919095</wp:posOffset>
            </wp:positionV>
            <wp:extent cx="713232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-2302510</wp:posOffset>
            </wp:positionV>
            <wp:extent cx="7132320"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right="360" w:firstLine="644"/>
        <w:spacing w:after="0" w:line="265" w:lineRule="auto"/>
        <w:rPr>
          <w:sz w:val="20"/>
          <w:szCs w:val="20"/>
          <w:color w:val="auto"/>
        </w:rPr>
      </w:pPr>
      <w:r>
        <w:rPr>
          <w:rFonts w:ascii="Times New Roman" w:cs="Times New Roman" w:eastAsia="Times New Roman" w:hAnsi="Times New Roman"/>
          <w:sz w:val="18"/>
          <w:szCs w:val="18"/>
          <w:color w:val="auto"/>
        </w:rPr>
        <w:t>At December 31, 2022, our borrowings included $565.4 million of repurchase agreements and $995.0 million in overnight borrowings with the FHLB at an interest rate of 4.65%. At December 31, 2021, our borrowings included $642.4 million in repurchase agreements and $2.3 million in other short-term borrowing at an interest rate of 1.45%.</w:t>
      </w:r>
    </w:p>
    <w:p>
      <w:pPr>
        <w:spacing w:after="0" w:line="137" w:lineRule="exact"/>
        <w:rPr>
          <w:sz w:val="20"/>
          <w:szCs w:val="20"/>
          <w:color w:val="auto"/>
        </w:rPr>
      </w:pPr>
    </w:p>
    <w:p>
      <w:pPr>
        <w:ind w:right="740" w:firstLine="637"/>
        <w:spacing w:after="0" w:line="281" w:lineRule="auto"/>
        <w:rPr>
          <w:sz w:val="20"/>
          <w:szCs w:val="20"/>
          <w:color w:val="auto"/>
        </w:rPr>
      </w:pPr>
      <w:r>
        <w:rPr>
          <w:rFonts w:ascii="Times New Roman" w:cs="Times New Roman" w:eastAsia="Times New Roman" w:hAnsi="Times New Roman"/>
          <w:sz w:val="18"/>
          <w:szCs w:val="18"/>
          <w:color w:val="auto"/>
        </w:rPr>
        <w:t>We offer a repurchase agreement product to our deposit customers. This product, known as Citizens Sweep Manager, sells our investment securities overnight to our customers under an agreement to repurchase them the next day at a price</w:t>
      </w:r>
    </w:p>
    <w:p>
      <w:pPr>
        <w:spacing w:after="0" w:line="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type w:val="continuous"/>
        </w:sectPr>
      </w:pPr>
    </w:p>
    <w:bookmarkStart w:id="63" w:name="page64"/>
    <w:bookmarkEnd w:id="63"/>
    <w:p>
      <w:pPr>
        <w:jc w:val="both"/>
        <w:spacing w:after="0" w:line="260" w:lineRule="auto"/>
        <w:rPr>
          <w:sz w:val="20"/>
          <w:szCs w:val="20"/>
          <w:color w:val="auto"/>
        </w:rPr>
      </w:pPr>
      <w:r>
        <w:rPr>
          <w:rFonts w:ascii="Times New Roman" w:cs="Times New Roman" w:eastAsia="Times New Roman" w:hAnsi="Times New Roman"/>
          <w:sz w:val="18"/>
          <w:szCs w:val="18"/>
          <w:color w:val="auto"/>
        </w:rPr>
        <w:t>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2022, total funds borrowed under these agreements were $565.4 million with a weighted average interest rate of 0.11%, compared to $642.4 million with a weighted average rate of 0.08% as of December 31, 2021.</w:t>
      </w:r>
    </w:p>
    <w:p>
      <w:pPr>
        <w:spacing w:after="0" w:line="155" w:lineRule="exact"/>
        <w:rPr>
          <w:sz w:val="20"/>
          <w:szCs w:val="20"/>
          <w:color w:val="auto"/>
        </w:rPr>
      </w:pPr>
    </w:p>
    <w:p>
      <w:pPr>
        <w:ind w:right="160" w:firstLine="637"/>
        <w:spacing w:after="0" w:line="260" w:lineRule="auto"/>
        <w:rPr>
          <w:sz w:val="20"/>
          <w:szCs w:val="20"/>
          <w:color w:val="auto"/>
        </w:rPr>
      </w:pPr>
      <w:r>
        <w:rPr>
          <w:rFonts w:ascii="Times New Roman" w:cs="Times New Roman" w:eastAsia="Times New Roman" w:hAnsi="Times New Roman"/>
          <w:sz w:val="18"/>
          <w:szCs w:val="18"/>
          <w:color w:val="auto"/>
        </w:rPr>
        <w:t xml:space="preserve">On June 15, 2021, we redeemed our junior subordinated debentures of $25.8 million, representing the amounts that are due from the Company to CVB Statutory Trust III, which had a borrowing cost of approximately 1.60% at the time of repayment. The debentures and the Trust Preferred Securities had an original maturity date of 2036. The interest rate on these debentures were based on three-month LIBOR plus 1.38%. Refer to Note 13 — </w:t>
      </w: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of the notes to the consolidated financial statements for a more detailed discussion.</w:t>
      </w:r>
    </w:p>
    <w:p>
      <w:pPr>
        <w:spacing w:after="0" w:line="141" w:lineRule="exact"/>
        <w:rPr>
          <w:sz w:val="20"/>
          <w:szCs w:val="20"/>
          <w:color w:val="auto"/>
        </w:rPr>
      </w:pPr>
    </w:p>
    <w:p>
      <w:pPr>
        <w:jc w:val="both"/>
        <w:ind w:right="60" w:firstLine="637"/>
        <w:spacing w:after="0" w:line="265" w:lineRule="auto"/>
        <w:rPr>
          <w:sz w:val="20"/>
          <w:szCs w:val="20"/>
          <w:color w:val="auto"/>
        </w:rPr>
      </w:pPr>
      <w:r>
        <w:rPr>
          <w:rFonts w:ascii="Times New Roman" w:cs="Times New Roman" w:eastAsia="Times New Roman" w:hAnsi="Times New Roman"/>
          <w:sz w:val="18"/>
          <w:szCs w:val="18"/>
          <w:color w:val="auto"/>
        </w:rPr>
        <w:t>At December 31, 2022, $4.30 billion of loans and $2.90 billion of investment securities, at carrying value, were pledged to secure public deposits of $1.07 billion, short and long-term borrowings, and for other purposes as required or permitted by law, with a remaining borrowing capacity at December 31, 2022 of $10.11 billion.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Contractual Obligations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aggregate contractual obligations as of December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Maturity by Period</w:t>
            </w: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40" w:type="dxa"/>
            <w:vAlign w:val="bottom"/>
          </w:tcPr>
          <w:p>
            <w:pPr>
              <w:spacing w:after="0"/>
              <w:rPr>
                <w:sz w:val="17"/>
                <w:szCs w:val="17"/>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Four Years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100" w:type="dxa"/>
            <w:vAlign w:val="bottom"/>
          </w:tcPr>
          <w:p>
            <w:pPr>
              <w:spacing w:after="0"/>
              <w:rPr>
                <w:sz w:val="17"/>
                <w:szCs w:val="17"/>
                <w:color w:val="auto"/>
              </w:rPr>
            </w:pPr>
          </w:p>
        </w:tc>
      </w:tr>
      <w:tr>
        <w:trPr>
          <w:trHeight w:val="216"/>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One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Five</w:t>
            </w:r>
          </w:p>
        </w:tc>
        <w:tc>
          <w:tcPr>
            <w:tcW w:w="100" w:type="dxa"/>
            <w:vAlign w:val="bottom"/>
          </w:tcPr>
          <w:p>
            <w:pPr>
              <w:spacing w:after="0"/>
              <w:rPr>
                <w:sz w:val="18"/>
                <w:szCs w:val="18"/>
                <w:color w:val="auto"/>
              </w:rPr>
            </w:pPr>
          </w:p>
        </w:tc>
      </w:tr>
      <w:tr>
        <w:trPr>
          <w:trHeight w:val="245"/>
        </w:trPr>
        <w:tc>
          <w:tcPr>
            <w:tcW w:w="37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Three Years</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00" w:type="dxa"/>
            <w:vAlign w:val="bottom"/>
          </w:tcPr>
          <w:p>
            <w:pPr>
              <w:spacing w:after="0"/>
              <w:rPr>
                <w:sz w:val="21"/>
                <w:szCs w:val="21"/>
                <w:color w:val="auto"/>
              </w:rPr>
            </w:pPr>
          </w:p>
        </w:tc>
      </w:tr>
      <w:tr>
        <w:trPr>
          <w:trHeight w:val="239"/>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0"/>
              </w:rPr>
              <w:t>(Dollars in thousands)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 (1)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12,836,245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12,800,385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FF0FC"/>
          </w:tcPr>
          <w:p>
            <w:pPr>
              <w:spacing w:after="0"/>
              <w:rPr>
                <w:sz w:val="21"/>
                <w:szCs w:val="2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repurchase agreements (1)</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565,431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565,431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19,213</w:t>
            </w:r>
          </w:p>
        </w:tc>
        <w:tc>
          <w:tcPr>
            <w:tcW w:w="100" w:type="dxa"/>
            <w:vAlign w:val="bottom"/>
            <w:shd w:val="clear" w:color="auto" w:fill="CFF0FC"/>
          </w:tcPr>
          <w:p>
            <w:pPr>
              <w:spacing w:after="0"/>
              <w:rPr>
                <w:sz w:val="21"/>
                <w:szCs w:val="2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0"/>
                <w:szCs w:val="20"/>
                <w:color w:val="auto"/>
              </w:rPr>
            </w:pPr>
          </w:p>
        </w:tc>
      </w:tr>
      <w:tr>
        <w:trPr>
          <w:trHeight w:val="243"/>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Affordable housing investment</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13,455,854</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13,375,886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44,299</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20,465</w:t>
            </w:r>
          </w:p>
        </w:tc>
        <w:tc>
          <w:tcPr>
            <w:tcW w:w="100" w:type="dxa"/>
            <w:vAlign w:val="bottom"/>
          </w:tcPr>
          <w:p>
            <w:pPr>
              <w:spacing w:after="0"/>
              <w:rPr>
                <w:sz w:val="20"/>
                <w:szCs w:val="20"/>
                <w:color w:val="auto"/>
              </w:rPr>
            </w:pPr>
          </w:p>
        </w:tc>
      </w:tr>
      <w:tr>
        <w:trPr>
          <w:trHeight w:val="20"/>
        </w:trPr>
        <w:tc>
          <w:tcPr>
            <w:tcW w:w="3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-187960</wp:posOffset>
            </wp:positionV>
            <wp:extent cx="76835" cy="1885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-187960</wp:posOffset>
            </wp:positionV>
            <wp:extent cx="68580" cy="1885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-187960</wp:posOffset>
            </wp:positionV>
            <wp:extent cx="68580"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-187960</wp:posOffset>
            </wp:positionV>
            <wp:extent cx="68580" cy="1885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1520" w:hanging="374"/>
        <w:spacing w:after="0"/>
        <w:tabs>
          <w:tab w:leader="none" w:pos="15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accrued interest.</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Deposits represent noninterest-bearing, money market, savings, NOW, certificates of deposits, brokered and all other deposits held by the Bank.</w:t>
      </w:r>
    </w:p>
    <w:p>
      <w:pPr>
        <w:spacing w:after="0" w:line="184" w:lineRule="exact"/>
        <w:rPr>
          <w:sz w:val="20"/>
          <w:szCs w:val="20"/>
          <w:color w:val="auto"/>
        </w:rPr>
      </w:pPr>
    </w:p>
    <w:p>
      <w:pPr>
        <w:ind w:right="180" w:firstLine="637"/>
        <w:spacing w:after="0" w:line="281" w:lineRule="auto"/>
        <w:rPr>
          <w:sz w:val="20"/>
          <w:szCs w:val="20"/>
          <w:color w:val="auto"/>
        </w:rPr>
      </w:pPr>
      <w:r>
        <w:rPr>
          <w:rFonts w:ascii="Times New Roman" w:cs="Times New Roman" w:eastAsia="Times New Roman" w:hAnsi="Times New Roman"/>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22" w:lineRule="exact"/>
        <w:rPr>
          <w:sz w:val="20"/>
          <w:szCs w:val="20"/>
          <w:color w:val="auto"/>
        </w:rPr>
      </w:pPr>
    </w:p>
    <w:p>
      <w:pPr>
        <w:ind w:right="880" w:firstLine="637"/>
        <w:spacing w:after="0" w:line="281" w:lineRule="auto"/>
        <w:rPr>
          <w:sz w:val="20"/>
          <w:szCs w:val="20"/>
          <w:color w:val="auto"/>
        </w:rPr>
      </w:pPr>
      <w:r>
        <w:rPr>
          <w:rFonts w:ascii="Times New Roman" w:cs="Times New Roman" w:eastAsia="Times New Roman" w:hAnsi="Times New Roman"/>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34" w:lineRule="exact"/>
        <w:rPr>
          <w:sz w:val="20"/>
          <w:szCs w:val="20"/>
          <w:color w:val="auto"/>
        </w:rPr>
      </w:pPr>
    </w:p>
    <w:p>
      <w:pPr>
        <w:ind w:right="160" w:firstLine="637"/>
        <w:spacing w:after="0" w:line="283" w:lineRule="auto"/>
        <w:rPr>
          <w:sz w:val="20"/>
          <w:szCs w:val="20"/>
          <w:color w:val="auto"/>
        </w:rPr>
      </w:pPr>
      <w:r>
        <w:rPr>
          <w:rFonts w:ascii="Times New Roman" w:cs="Times New Roman" w:eastAsia="Times New Roman" w:hAnsi="Times New Roman"/>
          <w:sz w:val="18"/>
          <w:szCs w:val="18"/>
          <w:color w:val="auto"/>
        </w:rPr>
        <w:t xml:space="preserve">Operating leases represent the total minimum lease payments due under non-cancelable operating leases. Refer to Note 23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the consolidated financial statements for a more detailed discussion about leases.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7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off-balance sheet items at December 31, 2022.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Maturity by Period</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40" w:type="dxa"/>
            <w:vAlign w:val="bottom"/>
          </w:tcPr>
          <w:p>
            <w:pPr>
              <w:spacing w:after="0"/>
              <w:rPr>
                <w:sz w:val="17"/>
                <w:szCs w:val="17"/>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Four Years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0" w:type="dxa"/>
            <w:vAlign w:val="bottom"/>
          </w:tcPr>
          <w:p>
            <w:pPr>
              <w:spacing w:after="0"/>
              <w:rPr>
                <w:sz w:val="17"/>
                <w:szCs w:val="17"/>
                <w:color w:val="auto"/>
              </w:rPr>
            </w:pPr>
          </w:p>
        </w:tc>
      </w:tr>
      <w:tr>
        <w:trPr>
          <w:trHeight w:val="216"/>
        </w:trPr>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One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to Three</w:t>
            </w: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to Five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Five</w:t>
            </w:r>
          </w:p>
        </w:tc>
        <w:tc>
          <w:tcPr>
            <w:tcW w:w="100" w:type="dxa"/>
            <w:vAlign w:val="bottom"/>
          </w:tcPr>
          <w:p>
            <w:pPr>
              <w:spacing w:after="0"/>
              <w:rPr>
                <w:sz w:val="18"/>
                <w:szCs w:val="18"/>
                <w:color w:val="auto"/>
              </w:rPr>
            </w:pPr>
          </w:p>
        </w:tc>
      </w:tr>
      <w:tr>
        <w:trPr>
          <w:trHeight w:val="245"/>
        </w:trPr>
        <w:tc>
          <w:tcPr>
            <w:tcW w:w="4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1"/>
                <w:szCs w:val="21"/>
                <w:color w:val="auto"/>
              </w:rPr>
            </w:pPr>
          </w:p>
        </w:tc>
      </w:tr>
      <w:tr>
        <w:trPr>
          <w:trHeight w:val="239"/>
        </w:trPr>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89"/>
              </w:rPr>
              <w:t>(Dollars in thousands)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 to extend credit: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421,938</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166,421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169,471</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SBA - PPP</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895,811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668,072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54,033</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 (1)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193,346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136,936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2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95,243</w:t>
            </w:r>
          </w:p>
        </w:tc>
        <w:tc>
          <w:tcPr>
            <w:tcW w:w="100" w:type="dxa"/>
            <w:vAlign w:val="bottom"/>
          </w:tcPr>
          <w:p>
            <w:pPr>
              <w:spacing w:after="0"/>
              <w:rPr>
                <w:sz w:val="20"/>
                <w:szCs w:val="20"/>
                <w:color w:val="auto"/>
              </w:rPr>
            </w:pPr>
          </w:p>
        </w:tc>
      </w:tr>
      <w:tr>
        <w:trPr>
          <w:trHeight w:val="240"/>
        </w:trPr>
        <w:tc>
          <w:tcPr>
            <w:tcW w:w="4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commitment to extend credit</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1,683,894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908,216</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405,647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182,241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187,790</w:t>
            </w:r>
          </w:p>
        </w:tc>
        <w:tc>
          <w:tcPr>
            <w:tcW w:w="100" w:type="dxa"/>
            <w:vAlign w:val="bottom"/>
            <w:shd w:val="clear" w:color="auto" w:fill="CFF0FC"/>
          </w:tcPr>
          <w:p>
            <w:pPr>
              <w:spacing w:after="0"/>
              <w:rPr>
                <w:sz w:val="20"/>
                <w:szCs w:val="20"/>
                <w:color w:val="auto"/>
              </w:rPr>
            </w:pPr>
          </w:p>
        </w:tc>
      </w:tr>
      <w:tr>
        <w:trPr>
          <w:trHeight w:val="238"/>
        </w:trPr>
        <w:tc>
          <w:tcPr>
            <w:tcW w:w="4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Obligations under letters of credit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r>
        <w:trPr>
          <w:trHeight w:val="276"/>
        </w:trPr>
        <w:tc>
          <w:tcPr>
            <w:tcW w:w="4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1,734,163</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930,782</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433,332</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182,241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-24765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-7620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-24765</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520" w:hanging="374"/>
        <w:spacing w:after="0"/>
        <w:tabs>
          <w:tab w:leader="none" w:pos="15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commitments to extend credit to agribusiness were $35.6 million at December 31, 2022.</w:t>
      </w:r>
    </w:p>
    <w:p>
      <w:pPr>
        <w:spacing w:after="0" w:line="189" w:lineRule="exact"/>
        <w:rPr>
          <w:sz w:val="20"/>
          <w:szCs w:val="20"/>
          <w:color w:val="auto"/>
        </w:rPr>
      </w:pPr>
    </w:p>
    <w:p>
      <w:pPr>
        <w:ind w:right="60" w:firstLine="637"/>
        <w:spacing w:after="0" w:line="254" w:lineRule="auto"/>
        <w:rPr>
          <w:sz w:val="20"/>
          <w:szCs w:val="20"/>
          <w:color w:val="auto"/>
        </w:rPr>
      </w:pPr>
      <w:r>
        <w:rPr>
          <w:rFonts w:ascii="Times New Roman" w:cs="Times New Roman" w:eastAsia="Times New Roman" w:hAnsi="Times New Roman"/>
          <w:sz w:val="18"/>
          <w:szCs w:val="18"/>
          <w:color w:val="auto"/>
        </w:rPr>
        <w:t>As of December 31, 2022, we had commitments to extend credit of approximately $1.73 billion, and obligations under letters of credit of $50.3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December 31, 2022 and December 31, 2021, the balance in this reserve was $8.0 million and $8.0 million, respectively, and was included in other liabilities. There was no provision or recapture of provision for unfunded commitments for the year ended December 31, 2022. The second quarter of 2021 included a $1.0 million recapture of provision for unfunded loan commitments.</w:t>
      </w:r>
    </w:p>
    <w:p>
      <w:pPr>
        <w:spacing w:after="0" w:line="186" w:lineRule="exact"/>
        <w:rPr>
          <w:sz w:val="20"/>
          <w:szCs w:val="20"/>
          <w:color w:val="auto"/>
        </w:rPr>
      </w:pPr>
    </w:p>
    <w:p>
      <w:pPr>
        <w:ind w:right="340" w:firstLine="637"/>
        <w:spacing w:after="0" w:line="260"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02" w:lineRule="exact"/>
        <w:rPr>
          <w:sz w:val="20"/>
          <w:szCs w:val="20"/>
          <w:color w:val="auto"/>
        </w:rPr>
      </w:pPr>
    </w:p>
    <w:p>
      <w:pPr>
        <w:ind w:right="60" w:firstLine="637"/>
        <w:spacing w:after="0" w:line="260" w:lineRule="auto"/>
        <w:rPr>
          <w:sz w:val="20"/>
          <w:szCs w:val="20"/>
          <w:color w:val="auto"/>
        </w:rPr>
      </w:pPr>
      <w:r>
        <w:rPr>
          <w:rFonts w:ascii="Times New Roman" w:cs="Times New Roman" w:eastAsia="Times New Roman" w:hAnsi="Times New Roman"/>
          <w:sz w:val="18"/>
          <w:szCs w:val="18"/>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41"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Total equity decreased $133.0 million, or 6.39%, to $1.95 billion at December 31, 2022, compared to total equity of $2.08 billion at December 31, 2021. Increases to equity during 2022, included $197.1 million for the issuance of 8.6 million shares to acquire Suncrest and $235.4 million in net earnings. Decreases included $108.1 million in cash dividends and a $350.8 million decrease in other comprehensive income from the tax effected impact of the decline in market value of available-for-sale securities. During 2022, we executed on a $70 million accelerated stock repurchase program and retired 2,993,551 shares of common stock at an average price of $23.38. We also repurchased, under our 10b5-1 stock repurchase plan, 1,914,590 shares of common stock, at an average repurchase price of $23.43, totaling $44.9 million. Our tangible book value per share at December 31, 2022 was $8.30.</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5" w:name="page66"/>
    <w:bookmarkEnd w:id="65"/>
    <w:p>
      <w:pPr>
        <w:ind w:right="100" w:firstLine="637"/>
        <w:spacing w:after="0" w:line="260" w:lineRule="auto"/>
        <w:rPr>
          <w:sz w:val="20"/>
          <w:szCs w:val="20"/>
          <w:color w:val="auto"/>
        </w:rPr>
      </w:pPr>
      <w:r>
        <w:rPr>
          <w:rFonts w:ascii="Times New Roman" w:cs="Times New Roman" w:eastAsia="Times New Roman" w:hAnsi="Times New Roman"/>
          <w:sz w:val="18"/>
          <w:szCs w:val="18"/>
          <w:color w:val="auto"/>
        </w:rPr>
        <w:t>During 2022, the Board of Directors of CVB declared quarterly cash dividends totaling $0.77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 including covenants set forth in our junior subordinated debentures.</w:t>
      </w:r>
    </w:p>
    <w:p>
      <w:pPr>
        <w:spacing w:after="0" w:line="155" w:lineRule="exact"/>
        <w:rPr>
          <w:sz w:val="20"/>
          <w:szCs w:val="20"/>
          <w:color w:val="auto"/>
        </w:rPr>
      </w:pPr>
    </w:p>
    <w:p>
      <w:pPr>
        <w:ind w:right="240" w:firstLine="637"/>
        <w:spacing w:after="0" w:line="255" w:lineRule="auto"/>
        <w:rPr>
          <w:sz w:val="20"/>
          <w:szCs w:val="20"/>
          <w:color w:val="auto"/>
        </w:rPr>
      </w:pPr>
      <w:r>
        <w:rPr>
          <w:rFonts w:ascii="Times New Roman" w:cs="Times New Roman" w:eastAsia="Times New Roman" w:hAnsi="Times New Roman"/>
          <w:sz w:val="18"/>
          <w:szCs w:val="18"/>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We completed the execution of the $70 million accelerated stock repurchase program in the second quarter of 2022, and retired a total of 2,993,551 shares of common stock at an average price of $23.38. During 2022, we also repurchased, under our 10b5-1 stock repurchase plan, 1,914,590 shares of common stock, at an average repurchase price of $23.43, totaling $44.9 million. As of December 31, 2022, we had 5,091,859 shares of CVB common stock available for repurchase under the 2022 Repurchase Program.</w:t>
      </w:r>
    </w:p>
    <w:p>
      <w:pPr>
        <w:spacing w:after="0" w:line="146" w:lineRule="exact"/>
        <w:rPr>
          <w:sz w:val="20"/>
          <w:szCs w:val="20"/>
          <w:color w:val="auto"/>
        </w:rPr>
      </w:pPr>
    </w:p>
    <w:p>
      <w:pPr>
        <w:ind w:right="20" w:firstLine="637"/>
        <w:spacing w:after="0" w:line="272" w:lineRule="auto"/>
        <w:rPr>
          <w:sz w:val="20"/>
          <w:szCs w:val="20"/>
          <w:color w:val="auto"/>
        </w:rPr>
      </w:pPr>
      <w:r>
        <w:rPr>
          <w:rFonts w:ascii="Times New Roman" w:cs="Times New Roman" w:eastAsia="Times New Roman" w:hAnsi="Times New Roman"/>
          <w:sz w:val="17"/>
          <w:szCs w:val="17"/>
          <w:color w:val="auto"/>
        </w:rPr>
        <w:t>The Bank and the Company are required to meet risk-based capital standards under the revised capital framework referred to as Basel III set by their respective regulatory authorities. The risk-based capital standards require the achievement of a minimum plus the fully phased in Capital Conservation buffer of 2.5% of 10.5% for total risk-based capital ratio, a Tier 1 risk-based capital ratio of 8.5% and a common equity Tier 1 (“CET1”) capital ratio of</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7.0%.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December 31, 2022,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and Supervision—Capital Adequacy Requirements</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both"/>
        <w:ind w:right="180" w:firstLine="637"/>
        <w:spacing w:after="0" w:line="265" w:lineRule="auto"/>
        <w:rPr>
          <w:sz w:val="20"/>
          <w:szCs w:val="20"/>
          <w:color w:val="auto"/>
        </w:rPr>
      </w:pPr>
      <w:r>
        <w:rPr>
          <w:rFonts w:ascii="Times New Roman" w:cs="Times New Roman" w:eastAsia="Times New Roman" w:hAnsi="Times New Roman"/>
          <w:sz w:val="18"/>
          <w:szCs w:val="18"/>
          <w:color w:val="auto"/>
        </w:rPr>
        <w:t>At December 31, 2022, the Bank and the Company exceeded the minimum risk-based capital ratios and leverage ratios, under the revised capital framework referred to as Basel III, required to be considered “well-capitalized” for regulatory purposes. We did not elect to phase in the impact of CECL on regulatory capital, as allowed under the interim final rule of the FDIC and other U.S. banking agencies.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Company’s and the Bank’s risk-based and leverage capital ratios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Adequately</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Required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Well</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CVB Financial</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Citizens</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CVB Financial</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Citizens</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Plus Capital</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Conservation</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0" w:type="dxa"/>
            <w:vAlign w:val="bottom"/>
          </w:tcPr>
          <w:p>
            <w:pPr>
              <w:spacing w:after="0"/>
              <w:rPr>
                <w:sz w:val="1"/>
                <w:szCs w:val="1"/>
                <w:color w:val="auto"/>
              </w:rPr>
            </w:pPr>
          </w:p>
        </w:tc>
      </w:tr>
      <w:tr>
        <w:trPr>
          <w:trHeight w:val="187"/>
        </w:trPr>
        <w:tc>
          <w:tcPr>
            <w:tcW w:w="2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Ratios</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Buffer</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Ratios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Bank</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Bank</w:t>
            </w:r>
          </w:p>
        </w:tc>
        <w:tc>
          <w:tcPr>
            <w:tcW w:w="0" w:type="dxa"/>
            <w:vAlign w:val="bottom"/>
          </w:tcPr>
          <w:p>
            <w:pPr>
              <w:spacing w:after="0"/>
              <w:rPr>
                <w:sz w:val="1"/>
                <w:szCs w:val="1"/>
                <w:color w:val="auto"/>
              </w:rPr>
            </w:pPr>
          </w:p>
        </w:tc>
      </w:tr>
      <w:tr>
        <w:trPr>
          <w:trHeight w:val="169"/>
        </w:trPr>
        <w:tc>
          <w:tcPr>
            <w:tcW w:w="26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Tier 1 leverage capital ratio</w:t>
            </w:r>
          </w:p>
        </w:tc>
        <w:tc>
          <w:tcPr>
            <w:tcW w:w="120" w:type="dxa"/>
            <w:vAlign w:val="bottom"/>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12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9.53%</w:t>
            </w:r>
          </w:p>
        </w:tc>
        <w:tc>
          <w:tcPr>
            <w:tcW w:w="10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9.42%</w:t>
            </w:r>
          </w:p>
        </w:tc>
        <w:tc>
          <w:tcPr>
            <w:tcW w:w="1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8.90%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1 capital ratio</w:t>
            </w:r>
          </w:p>
        </w:tc>
        <w:tc>
          <w:tcPr>
            <w:tcW w:w="13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4.50%</w:t>
            </w:r>
          </w:p>
        </w:tc>
        <w:tc>
          <w:tcPr>
            <w:tcW w:w="13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7.00%</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13.55%</w:t>
            </w:r>
          </w:p>
        </w:tc>
        <w:tc>
          <w:tcPr>
            <w:tcW w:w="11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13.39%</w:t>
            </w:r>
          </w:p>
        </w:tc>
        <w:tc>
          <w:tcPr>
            <w:tcW w:w="12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14.86%</w:t>
            </w:r>
          </w:p>
        </w:tc>
        <w:tc>
          <w:tcPr>
            <w:tcW w:w="11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14.41%</w:t>
            </w:r>
          </w:p>
        </w:tc>
        <w:tc>
          <w:tcPr>
            <w:tcW w:w="0" w:type="dxa"/>
            <w:vAlign w:val="bottom"/>
          </w:tcPr>
          <w:p>
            <w:pPr>
              <w:spacing w:after="0"/>
              <w:rPr>
                <w:sz w:val="1"/>
                <w:szCs w:val="1"/>
                <w:color w:val="auto"/>
              </w:rPr>
            </w:pPr>
          </w:p>
        </w:tc>
      </w:tr>
      <w:tr>
        <w:trPr>
          <w:trHeight w:val="17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Tier 1 risk-based capital ratio</w:t>
            </w:r>
          </w:p>
        </w:tc>
        <w:tc>
          <w:tcPr>
            <w:tcW w:w="13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9"/>
              </w:rPr>
              <w:t>6.00%</w:t>
            </w:r>
          </w:p>
        </w:tc>
        <w:tc>
          <w:tcPr>
            <w:tcW w:w="130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8.50%</w:t>
            </w:r>
          </w:p>
        </w:tc>
        <w:tc>
          <w:tcPr>
            <w:tcW w:w="12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13.55%</w:t>
            </w:r>
          </w:p>
        </w:tc>
        <w:tc>
          <w:tcPr>
            <w:tcW w:w="118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13.39%</w:t>
            </w:r>
          </w:p>
        </w:tc>
        <w:tc>
          <w:tcPr>
            <w:tcW w:w="120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14.86%</w:t>
            </w:r>
          </w:p>
        </w:tc>
        <w:tc>
          <w:tcPr>
            <w:tcW w:w="118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14.41%</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risk-based capital ratio</w:t>
            </w:r>
          </w:p>
        </w:tc>
        <w:tc>
          <w:tcPr>
            <w:tcW w:w="13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8.00%</w:t>
            </w:r>
          </w:p>
        </w:tc>
        <w:tc>
          <w:tcPr>
            <w:tcW w:w="13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10.50%</w:t>
            </w:r>
          </w:p>
        </w:tc>
        <w:tc>
          <w:tcPr>
            <w:tcW w:w="12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14.37%</w:t>
            </w:r>
          </w:p>
        </w:tc>
        <w:tc>
          <w:tcPr>
            <w:tcW w:w="11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14.22%</w:t>
            </w:r>
          </w:p>
        </w:tc>
        <w:tc>
          <w:tcPr>
            <w:tcW w:w="12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15.63%</w:t>
            </w:r>
          </w:p>
        </w:tc>
        <w:tc>
          <w:tcPr>
            <w:tcW w:w="11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15.18%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8" w:lineRule="exact"/>
        <w:rPr>
          <w:sz w:val="20"/>
          <w:szCs w:val="20"/>
          <w:color w:val="auto"/>
        </w:rPr>
      </w:pPr>
    </w:p>
    <w:p>
      <w:pPr>
        <w:ind w:firstLine="637"/>
        <w:spacing w:after="0" w:line="254" w:lineRule="auto"/>
        <w:rPr>
          <w:sz w:val="20"/>
          <w:szCs w:val="20"/>
          <w:color w:val="auto"/>
        </w:rPr>
      </w:pPr>
      <w:r>
        <w:rPr>
          <w:rFonts w:ascii="Times New Roman" w:cs="Times New Roman" w:eastAsia="Times New Roman" w:hAnsi="Times New Roman"/>
          <w:sz w:val="18"/>
          <w:szCs w:val="18"/>
          <w:color w:val="auto"/>
        </w:rPr>
        <w:t>All financial institutions must manage and control a variety of business risks that can significantly affect their financial performance. Our Board of Directors (Board) and executive management team have overall and ultimate responsibility for management of these risks, which they carry out through committees with specific and well-defined risk management functions. The Risk Management Plan that we have adopted seeks to implement the proper control and management of key risk factors inherent in the operation of the Company and the Bank. Some of the key risks that we must manage are credit risks, interest rate risk, liquidity risk, market risks, transaction risk, compliance risk, strategic risk, and cybersecurity risk. These specific risk factors are not mutually exclusive. It is recognized that any product or service offered by us may expose the Bank to one or more of these risks. Our Risk Management Committee and Risk Management Division monitor these risks to minimize exposure to the Company. The Board and its committees work closely with management in overseeing risk. Each Board committee receives reports and information regarding risk issues directly from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188" w:lineRule="exact"/>
        <w:rPr>
          <w:sz w:val="20"/>
          <w:szCs w:val="20"/>
          <w:color w:val="auto"/>
        </w:rPr>
      </w:pPr>
    </w:p>
    <w:p>
      <w:pPr>
        <w:ind w:right="180" w:firstLine="637"/>
        <w:spacing w:after="0" w:line="260" w:lineRule="auto"/>
        <w:rPr>
          <w:sz w:val="20"/>
          <w:szCs w:val="20"/>
          <w:color w:val="auto"/>
        </w:rPr>
      </w:pPr>
      <w:r>
        <w:rPr>
          <w:rFonts w:ascii="Times New Roman" w:cs="Times New Roman" w:eastAsia="Times New Roman" w:hAnsi="Times New Roman"/>
          <w:sz w:val="18"/>
          <w:szCs w:val="18"/>
          <w:color w:val="auto"/>
        </w:rPr>
        <w:t>Loans represent the largest component of assets on our balance sheet and their related credit risk is among the most significant risks we manage. We define credit risk as the risk of loss associated with a borrower or counterparty default (failure to meet obligations in accordance with agreed upon terms). Credit risk is found in all activities where success depends on a counter party, issuer, or borrower performance. Credit risk arises through the extension of loans and leases, certain securities, and letters of credit.</w:t>
      </w:r>
    </w:p>
    <w:p>
      <w:pPr>
        <w:spacing w:after="0" w:line="141" w:lineRule="exact"/>
        <w:rPr>
          <w:sz w:val="20"/>
          <w:szCs w:val="20"/>
          <w:color w:val="auto"/>
        </w:rPr>
      </w:pPr>
    </w:p>
    <w:p>
      <w:pPr>
        <w:ind w:right="40" w:firstLine="637"/>
        <w:spacing w:after="0" w:line="260" w:lineRule="auto"/>
        <w:rPr>
          <w:sz w:val="20"/>
          <w:szCs w:val="20"/>
          <w:color w:val="auto"/>
        </w:rPr>
      </w:pPr>
      <w:r>
        <w:rPr>
          <w:rFonts w:ascii="Times New Roman" w:cs="Times New Roman" w:eastAsia="Times New Roman" w:hAnsi="Times New Roman"/>
          <w:sz w:val="18"/>
          <w:szCs w:val="18"/>
          <w:color w:val="auto"/>
        </w:rPr>
        <w:t>Natural disasters, such as storms, earthquakes, drought and other weather conditions, effects of pandemics, and problems related to possible climate changes, social unrest or protest, may from time-to-time cause or create the risk of damage to facilities, buildings, property or other assets of Bank customers, borrowers or municipal debt issuers. This could in turn affect their financial condition or results of operations and as a consequence their ability or capacity to repay debt or fulfill other obligations to the Bank.</w:t>
      </w:r>
    </w:p>
    <w:p>
      <w:pPr>
        <w:spacing w:after="0" w:line="155" w:lineRule="exact"/>
        <w:rPr>
          <w:sz w:val="20"/>
          <w:szCs w:val="20"/>
          <w:color w:val="auto"/>
        </w:rPr>
      </w:pPr>
    </w:p>
    <w:p>
      <w:pPr>
        <w:ind w:right="320" w:firstLine="637"/>
        <w:spacing w:after="0" w:line="258" w:lineRule="auto"/>
        <w:rPr>
          <w:sz w:val="20"/>
          <w:szCs w:val="20"/>
          <w:color w:val="auto"/>
        </w:rPr>
      </w:pPr>
      <w:r>
        <w:rPr>
          <w:rFonts w:ascii="Times New Roman" w:cs="Times New Roman" w:eastAsia="Times New Roman" w:hAnsi="Times New Roman"/>
          <w:sz w:val="18"/>
          <w:szCs w:val="18"/>
          <w:color w:val="auto"/>
        </w:rPr>
        <w:t>Credit risk in the investment portfolio and correspondent bank accounts is in part addressed through defined limits in the Company’s policy statements. In addition, certain securities carry insurance to enhance the credit quality of the bond. Limitations on industry concentration, aggregate customer borrowings, geographic boundaries and standards on loan quality also are designed to reduce loan credit risk. Senior Management, Directors’ Committees, and the Board of Directors are provided with information to appropriately identify, measure, control and monitor the credit risk of the Company.</w:t>
      </w:r>
    </w:p>
    <w:p>
      <w:pPr>
        <w:spacing w:after="0" w:line="141" w:lineRule="exact"/>
        <w:rPr>
          <w:sz w:val="20"/>
          <w:szCs w:val="20"/>
          <w:color w:val="auto"/>
        </w:rPr>
      </w:pPr>
    </w:p>
    <w:p>
      <w:pPr>
        <w:ind w:right="40" w:firstLine="637"/>
        <w:spacing w:after="0" w:line="255" w:lineRule="auto"/>
        <w:rPr>
          <w:sz w:val="20"/>
          <w:szCs w:val="20"/>
          <w:color w:val="auto"/>
        </w:rPr>
      </w:pPr>
      <w:r>
        <w:rPr>
          <w:rFonts w:ascii="Times New Roman" w:cs="Times New Roman" w:eastAsia="Times New Roman" w:hAnsi="Times New Roman"/>
          <w:sz w:val="18"/>
          <w:szCs w:val="18"/>
          <w:color w:val="auto"/>
        </w:rPr>
        <w:t>The Bank’s loan policy is updated annually and approved by the Board of Directors. It prescribes underwriting guidelines and procedures for all loan categories in which the Bank participates to establish risk tolerance and parameters that are communicated throughout the Bank to ensure consistent and uniform lending practices. The underwriting guidelines include, among other things, approval limitation and hierarchy, documentation standards, loan-to-value limits, debt coverage ratio, overall credit-worthiness of the borrower, guarantor support, etc. All loan requests considered by the Bank should be for a clearly defined legitimate purpose with a determinable primary source, as well as alternate sources of repayment. All loans should be supported by appropriate documentation including, current financial statements, credit reports, collateral information, guarantor asset verification, tax returns, title reports, appraisals (where appropriate), and other documents of quality that will support the credit.</w:t>
      </w:r>
    </w:p>
    <w:p>
      <w:pPr>
        <w:spacing w:after="0" w:line="146" w:lineRule="exact"/>
        <w:rPr>
          <w:sz w:val="20"/>
          <w:szCs w:val="20"/>
          <w:color w:val="auto"/>
        </w:rPr>
      </w:pPr>
    </w:p>
    <w:p>
      <w:pPr>
        <w:ind w:right="20" w:firstLine="637"/>
        <w:spacing w:after="0" w:line="265" w:lineRule="auto"/>
        <w:rPr>
          <w:sz w:val="20"/>
          <w:szCs w:val="20"/>
          <w:color w:val="auto"/>
        </w:rPr>
      </w:pPr>
      <w:r>
        <w:rPr>
          <w:rFonts w:ascii="Times New Roman" w:cs="Times New Roman" w:eastAsia="Times New Roman" w:hAnsi="Times New Roman"/>
          <w:sz w:val="18"/>
          <w:szCs w:val="18"/>
          <w:color w:val="auto"/>
        </w:rPr>
        <w:t>The major lending categories are commercial and industrial loans, SBA loans, owner-occupied and non owner-occupied commercial real estate loans, construction loans, dairy &amp; livestock and agribusiness loans, residential real estate loans, and various consumer loan products. Loans underwritten to borrowers within these diverse categories require underwriting and documentation suited to the unique characteristics and inherent risks involved.</w:t>
      </w:r>
    </w:p>
    <w:p>
      <w:pPr>
        <w:spacing w:after="0" w:line="150"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Commercial and industrial loans require credit structures that are tailored to the specific purpose of the business loan, involving a thorough analysis of the borrower’s business, cash flow, collateral, industry risks, economic risks, credit, character, and guarantor support. Owner-occupied real estate loans are primarily based upon the capacity and stability of the cash flow generated by the occupying business and the market value of the collateral, among other things. Non owner-occupied real estate is typically underwritten to the income produced by the subject property and many considerations unique to the various types of property (i.e. office, retail, warehouse, shopping center, medical, etc.), as well as, the financial support provided by sponsors in recourse transactions. Construction loans will often depend on the specific characteristics of the project, the market for the specific development, real estate values, and the equity and financial strength of the sponsors. Dairy &amp; livestock and agribusiness loans are largely predicated on the revenue cycles and demand for milk and crops, commodity prices, collateral values of herd, feed, and income-producing dairies or croplands, and the financial support of the guarantors. Underwriting of residential real estate and consumer loans are generally driven by personal income and debt service capacity, credit history and scores, and collateral values.</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7" w:name="page68"/>
    <w:bookmarkEnd w:id="67"/>
    <w:p>
      <w:pPr>
        <w:ind w:right="40" w:firstLine="637"/>
        <w:spacing w:after="0" w:line="252" w:lineRule="auto"/>
        <w:rPr>
          <w:sz w:val="20"/>
          <w:szCs w:val="20"/>
          <w:color w:val="auto"/>
        </w:rPr>
      </w:pPr>
      <w:r>
        <w:rPr>
          <w:rFonts w:ascii="Times New Roman" w:cs="Times New Roman" w:eastAsia="Times New Roman" w:hAnsi="Times New Roman"/>
          <w:sz w:val="18"/>
          <w:szCs w:val="18"/>
          <w:color w:val="auto"/>
        </w:rPr>
        <w:t>SBA loans require credit structures that conform to the various requirements of the SBA programs specific to the type of loan request and the Bank’s loan policy as it relates to these loans. The SBA 7(a) loans are similar to the commercial and industrial loans that are tailored to the specific purpose of the business loan, involving a thorough analysis of the borrower’s business, cash flow, collateral, industry risks, economic risks, credit, character, and guarantor support for both the Bank and the SBA. Once granted the SBA 7(a) loans require the Bank to follow SBA servicing guidelines to maintain the SBA guaranty which typically ranges from 75% to 90% depending on the type of 7(a) loan. SBA 504 loans are similar to the Bank’s Owner-occupied real estate loans. As such they are primarily based upon the capacity and stability of the cash flow generated by the occupying business and the market value of the collateral, among other things. When the Bank funds an SBA 504 transaction, which includes the 50% - 65% first trust deed loan and the 25% - 40% second trust deed loan, the initial risk is centered in completing the SBA’s requirements to provide for the payoff of the second trust deed loan from the subordinated debenture. Once the 504 second is paid off, the remaining first trust deed loan is then managed under the same requirements applied to the Bank’s owner-occupied commercial real estate loan. It should be noted that both the SBA 7(a) and 504 programs provide loans for commercial real estate acquisition. However, the terms and advances rates available under the 7(a) program are outside of the Bank’s standard loan programs and risk profile and therefore require a credit enhancement in the form of the SBA guaranty. Additionally, the interest rates for the 7(a) program are typically variable and can adjust as often as monthly with quarterly adjustment the most typical. SBA 504 loan interest rates for the first trust deed loan are at the Bank’s discretion and subject to competitive pressures from other banks.</w:t>
      </w:r>
    </w:p>
    <w:p>
      <w:pPr>
        <w:spacing w:after="0" w:line="167"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Implicit in lending activities is the risk that losses will occur and that the amount of such losses will vary over time. Consequently, we maintain Allowance for Credit Losses ("ACL") by charging a provision for credit losses to earnings. Loans determined to be losses are charged against the allowance for credit losses. In this regard, it is important to note that the Bank’s practice with regard to these loans, including modified loans or troubled debt restructurings that are classified as impaired, is to generally charge off any loss amount against the ACL upon evaluating the loan at the time a probable loss becomes recognized. As such, the Bank’s specific allowance for loans, including troubled debt restructurings, is relatively low since any known loss amount will generally have been charged off.</w:t>
      </w:r>
    </w:p>
    <w:p>
      <w:pPr>
        <w:spacing w:after="0" w:line="145"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Central to our credit risk management is its loan risk rating system. The originating credit officer assigns borrowers an initial risk rating, which is reviewed and possibly changed by credit management. The risk rating is based primarily on an analysis of each borrower’s financial capacity in conjunction with industry and economic trends. Credit approvals are made based upon our evaluation of the inherent credit risk specific to the transaction and are reviewed for appropriateness by senior line and credit management personnel. Credits are monitored by line and credit management personnel for deterioration in a borrower’s financial condition, which would impact the ability of the borrower to perform under the contract. Risk ratings may be adjusted as necessary.</w:t>
      </w:r>
    </w:p>
    <w:p>
      <w:pPr>
        <w:spacing w:after="0" w:line="145" w:lineRule="exact"/>
        <w:rPr>
          <w:sz w:val="20"/>
          <w:szCs w:val="20"/>
          <w:color w:val="auto"/>
        </w:rPr>
      </w:pPr>
    </w:p>
    <w:p>
      <w:pPr>
        <w:ind w:right="220" w:firstLine="637"/>
        <w:spacing w:after="0" w:line="265" w:lineRule="auto"/>
        <w:rPr>
          <w:sz w:val="20"/>
          <w:szCs w:val="20"/>
          <w:color w:val="auto"/>
        </w:rPr>
      </w:pPr>
      <w:r>
        <w:rPr>
          <w:rFonts w:ascii="Times New Roman" w:cs="Times New Roman" w:eastAsia="Times New Roman" w:hAnsi="Times New Roman"/>
          <w:sz w:val="18"/>
          <w:szCs w:val="18"/>
          <w:color w:val="auto"/>
        </w:rPr>
        <w:t>Loans are risk rated into the following categories: Pass, Special Mention, Substandard, Doubtful, and Loss. Each of these groups is assessed and appropriate amounts used in determining the adequacy of our ACL. The Impaired and Doubtful loans are analyzed on an individual basis for allowance amounts. The other categories have formulae used to determine the needed allowance amount.</w:t>
      </w:r>
    </w:p>
    <w:p>
      <w:pPr>
        <w:spacing w:after="0" w:line="150" w:lineRule="exact"/>
        <w:rPr>
          <w:sz w:val="20"/>
          <w:szCs w:val="20"/>
          <w:color w:val="auto"/>
        </w:rPr>
      </w:pPr>
    </w:p>
    <w:p>
      <w:pPr>
        <w:ind w:right="480" w:firstLine="637"/>
        <w:spacing w:after="0" w:line="281" w:lineRule="auto"/>
        <w:rPr>
          <w:sz w:val="20"/>
          <w:szCs w:val="20"/>
          <w:color w:val="auto"/>
        </w:rPr>
      </w:pPr>
      <w:r>
        <w:rPr>
          <w:rFonts w:ascii="Times New Roman" w:cs="Times New Roman" w:eastAsia="Times New Roman" w:hAnsi="Times New Roman"/>
          <w:sz w:val="18"/>
          <w:szCs w:val="18"/>
          <w:color w:val="auto"/>
        </w:rPr>
        <w:t>The Company obtains a semi-annual independent credit review by engaging an outside party to review a sample of our loans and leases. The primary purpose of this review is to evaluate our existing loan ratings.</w:t>
      </w:r>
    </w:p>
    <w:p>
      <w:pPr>
        <w:spacing w:after="0" w:line="122" w:lineRule="exact"/>
        <w:rPr>
          <w:sz w:val="20"/>
          <w:szCs w:val="20"/>
          <w:color w:val="auto"/>
        </w:rPr>
      </w:pPr>
    </w:p>
    <w:p>
      <w:pPr>
        <w:ind w:right="660" w:firstLine="637"/>
        <w:spacing w:after="0" w:line="281" w:lineRule="auto"/>
        <w:rPr>
          <w:sz w:val="20"/>
          <w:szCs w:val="20"/>
          <w:color w:val="auto"/>
        </w:rPr>
      </w:pPr>
      <w:r>
        <w:rPr>
          <w:rFonts w:ascii="Times New Roman" w:cs="Times New Roman" w:eastAsia="Times New Roman" w:hAnsi="Times New Roman"/>
          <w:sz w:val="18"/>
          <w:szCs w:val="18"/>
          <w:color w:val="auto"/>
        </w:rPr>
        <w:t>Refer to additional discussion concerning loans, nonperforming assets, allowance for credit losses and related tables under the Analysis of Financial Condition contained herein.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Risk</w:t>
      </w:r>
    </w:p>
    <w:p>
      <w:pPr>
        <w:spacing w:after="0" w:line="202" w:lineRule="exact"/>
        <w:rPr>
          <w:sz w:val="20"/>
          <w:szCs w:val="20"/>
          <w:color w:val="auto"/>
        </w:rPr>
      </w:pPr>
    </w:p>
    <w:p>
      <w:pPr>
        <w:ind w:right="220" w:firstLine="637"/>
        <w:spacing w:after="0" w:line="258" w:lineRule="auto"/>
        <w:rPr>
          <w:sz w:val="20"/>
          <w:szCs w:val="20"/>
          <w:color w:val="auto"/>
        </w:rPr>
      </w:pPr>
      <w:r>
        <w:rPr>
          <w:rFonts w:ascii="Times New Roman" w:cs="Times New Roman" w:eastAsia="Times New Roman" w:hAnsi="Times New Roman"/>
          <w:sz w:val="18"/>
          <w:szCs w:val="18"/>
          <w:color w:val="auto"/>
        </w:rPr>
        <w:t>Transaction risk is the risk to earnings or capital arising from problems in service, activity or product delivery. This risk is significant within any bank and is interconnected with other risk categories in most activities throughout the Company. Transaction risk is a function of internal controls, information systems, associate integrity, and operating processes. Transaction risk is also referred to as operating or operational risk. It arises daily throughout the Company as transactions are processed. It pervades all divisions, departments and centers and is inherent in all products and services we offer.</w:t>
      </w:r>
    </w:p>
    <w:p>
      <w:pPr>
        <w:spacing w:after="0" w:line="141" w:lineRule="exact"/>
        <w:rPr>
          <w:sz w:val="20"/>
          <w:szCs w:val="20"/>
          <w:color w:val="auto"/>
        </w:rPr>
      </w:pPr>
    </w:p>
    <w:p>
      <w:pPr>
        <w:ind w:right="180" w:firstLine="637"/>
        <w:spacing w:after="0" w:line="265" w:lineRule="auto"/>
        <w:rPr>
          <w:sz w:val="20"/>
          <w:szCs w:val="20"/>
          <w:color w:val="auto"/>
        </w:rPr>
      </w:pPr>
      <w:r>
        <w:rPr>
          <w:rFonts w:ascii="Times New Roman" w:cs="Times New Roman" w:eastAsia="Times New Roman" w:hAnsi="Times New Roman"/>
          <w:sz w:val="18"/>
          <w:szCs w:val="18"/>
          <w:color w:val="auto"/>
        </w:rPr>
        <w:t>In general, transaction risk is defined as high, medium or low by the Company. The audit plan ensures that high risk areas are reviewed annually. We utilize internal auditors and independent audit firms to test key controls of operational processes and to audit information systems, compliance management programs, loan credit reviews and trust services.</w:t>
      </w:r>
    </w:p>
    <w:p>
      <w:pPr>
        <w:spacing w:after="0" w:line="137" w:lineRule="exact"/>
        <w:rPr>
          <w:sz w:val="20"/>
          <w:szCs w:val="20"/>
          <w:color w:val="auto"/>
        </w:rPr>
      </w:pPr>
    </w:p>
    <w:p>
      <w:pPr>
        <w:ind w:right="280" w:firstLine="637"/>
        <w:spacing w:after="0" w:line="265" w:lineRule="auto"/>
        <w:rPr>
          <w:sz w:val="20"/>
          <w:szCs w:val="20"/>
          <w:color w:val="auto"/>
        </w:rPr>
      </w:pPr>
      <w:r>
        <w:rPr>
          <w:rFonts w:ascii="Times New Roman" w:cs="Times New Roman" w:eastAsia="Times New Roman" w:hAnsi="Times New Roman"/>
          <w:sz w:val="18"/>
          <w:szCs w:val="18"/>
          <w:color w:val="auto"/>
        </w:rPr>
        <w:t>The key to monitoring transaction risk is in the design, documentation and implementation of well-defined procedures. Any system of controls, however well designed and operated, is based in part on certain assumptions and can provide only reasonable, but not absolute, assurances of the effectiveness of these systems and controls, and that the objectives of these controls have been met.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Risk Management</w:t>
      </w:r>
    </w:p>
    <w:p>
      <w:pPr>
        <w:spacing w:after="0" w:line="188" w:lineRule="exact"/>
        <w:rPr>
          <w:sz w:val="20"/>
          <w:szCs w:val="20"/>
          <w:color w:val="auto"/>
        </w:rPr>
      </w:pPr>
    </w:p>
    <w:p>
      <w:pPr>
        <w:ind w:right="80" w:firstLine="637"/>
        <w:spacing w:after="0" w:line="256" w:lineRule="auto"/>
        <w:rPr>
          <w:sz w:val="20"/>
          <w:szCs w:val="20"/>
          <w:color w:val="auto"/>
        </w:rPr>
      </w:pPr>
      <w:r>
        <w:rPr>
          <w:rFonts w:ascii="Times New Roman" w:cs="Times New Roman" w:eastAsia="Times New Roman" w:hAnsi="Times New Roman"/>
          <w:sz w:val="18"/>
          <w:szCs w:val="18"/>
          <w:color w:val="auto"/>
        </w:rPr>
        <w:t>Compliance risk (also known as Regulatory risk) is the risk to earnings or capital arising from violations of, or non-conformance with, laws, rules, regulations, prescribed practices, or ethical standards. Compliance risk also arises in situations where the laws or rules governing certain products or activities of the Bank’s customers, vendors or business partners may be ambiguous or untested. Compliance risk exposes us to fines, civil money penalties, payment of damages, and the voiding of contracts. Compliance risk can also lead to a diminished reputation, reduced business value, limited business opportunities, lessened expansion potential, and lack of contract enforceability. The Company utilizes independent compliance audits as a means of assessing the effectiveness and identifying weaknesses in the compliance program.</w:t>
      </w:r>
    </w:p>
    <w:p>
      <w:pPr>
        <w:spacing w:after="0" w:line="145" w:lineRule="exact"/>
        <w:rPr>
          <w:sz w:val="20"/>
          <w:szCs w:val="20"/>
          <w:color w:val="auto"/>
        </w:rPr>
      </w:pPr>
    </w:p>
    <w:p>
      <w:pPr>
        <w:ind w:right="20" w:firstLine="637"/>
        <w:spacing w:after="0" w:line="260" w:lineRule="auto"/>
        <w:rPr>
          <w:sz w:val="20"/>
          <w:szCs w:val="20"/>
          <w:color w:val="auto"/>
        </w:rPr>
      </w:pPr>
      <w:r>
        <w:rPr>
          <w:rFonts w:ascii="Times New Roman" w:cs="Times New Roman" w:eastAsia="Times New Roman" w:hAnsi="Times New Roman"/>
          <w:sz w:val="18"/>
          <w:szCs w:val="18"/>
          <w:color w:val="auto"/>
        </w:rPr>
        <w:t>There is no single or primary source of compliance risk. It is inherent in every activity. Frequently, it blends into operational risk and transaction risk. A portion of this risk is sometimes referred to as legal risk. This is not limited solely to risk from failure to comply with consumer protection laws; it encompasses all laws, as well as prudent ethical standards and contractual obligations. It also includes the exposure to litigation from all aspects of banking, traditional and non-traditional.</w:t>
      </w:r>
    </w:p>
    <w:p>
      <w:pPr>
        <w:spacing w:after="0" w:line="155"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Our Risk Management Policy and Program and the Code of Ethical Conduct are cornerstones for controlling compliance risk. An integral part of controlling this risk is the proper training of associates. The Chief Risk Officer is responsible for developing and executing a comprehensive compliance training program. The Chief Risk Officer, in consultation with our internal and external legal counsel, seeks to provide our associates with adequate training commensurate to their job functions to ensure compliance with banking laws and regulations.</w:t>
      </w:r>
    </w:p>
    <w:p>
      <w:pPr>
        <w:spacing w:after="0" w:line="141" w:lineRule="exact"/>
        <w:rPr>
          <w:sz w:val="20"/>
          <w:szCs w:val="20"/>
          <w:color w:val="auto"/>
        </w:rPr>
      </w:pPr>
    </w:p>
    <w:p>
      <w:pPr>
        <w:jc w:val="both"/>
        <w:ind w:right="80" w:firstLine="637"/>
        <w:spacing w:after="0" w:line="258" w:lineRule="auto"/>
        <w:rPr>
          <w:sz w:val="20"/>
          <w:szCs w:val="20"/>
          <w:color w:val="auto"/>
        </w:rPr>
      </w:pPr>
      <w:r>
        <w:rPr>
          <w:rFonts w:ascii="Times New Roman" w:cs="Times New Roman" w:eastAsia="Times New Roman" w:hAnsi="Times New Roman"/>
          <w:sz w:val="18"/>
          <w:szCs w:val="18"/>
          <w:color w:val="auto"/>
        </w:rPr>
        <w:t>Our Risk Management Policy and Program includes a risk-based audit program aimed at identifying internal control deficiencies and weaknesses. The Compliance Management Program includes a monitoring process to address external and internal risks, including regulatory change management, the evolving products and services, and strategies of the front-line units and control functions. Additionally, in-depth audits are performed by our internal audit department under the direction of our Chief Audit Executive and supplemented by independent external firms. Annually, an Audit Plan for the Company is developed and presented for approval to the Audit Committee of the Board.</w:t>
      </w:r>
    </w:p>
    <w:p>
      <w:pPr>
        <w:spacing w:after="0" w:line="141"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The Risk Management Division conducts periodic monitoring of our compliance efforts with a special focus on business and control functions, assessing the inherent compliance risk of activities and the effectiveness of controls, and identifying control weaknesses that are to be strengthened or enhanced. Any material exceptions identified are brought forward to the appropriate department head, and appropriate management and board committees. This reporting provides an independent view of compliance risk across the company, support transparent communication and management awareness of compliance risk.</w:t>
      </w:r>
    </w:p>
    <w:p>
      <w:pPr>
        <w:spacing w:after="0" w:line="182" w:lineRule="exact"/>
        <w:rPr>
          <w:sz w:val="20"/>
          <w:szCs w:val="20"/>
          <w:color w:val="auto"/>
        </w:rPr>
      </w:pPr>
    </w:p>
    <w:p>
      <w:pPr>
        <w:jc w:val="both"/>
        <w:ind w:right="260" w:firstLine="637"/>
        <w:spacing w:after="0" w:line="260" w:lineRule="auto"/>
        <w:rPr>
          <w:sz w:val="20"/>
          <w:szCs w:val="20"/>
          <w:color w:val="auto"/>
        </w:rPr>
      </w:pPr>
      <w:r>
        <w:rPr>
          <w:rFonts w:ascii="Times New Roman" w:cs="Times New Roman" w:eastAsia="Times New Roman" w:hAnsi="Times New Roman"/>
          <w:sz w:val="18"/>
          <w:szCs w:val="18"/>
          <w:color w:val="auto"/>
        </w:rPr>
        <w:t>We recognize that customer complaints can often identify weaknesses in our compliance program which could expose us to risk. Therefore, we attempt to ensure that all complaints are given prompt attention. Our Compliance Management Policy and Program include provisions on how customer complaints are to be addressed. The Chief Risk Officer reviews formal complaints to determine if a significant compliance risk exists and communicates those findings to the Compliance Management and Risk Management Committees.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w:t>
      </w:r>
    </w:p>
    <w:p>
      <w:pPr>
        <w:spacing w:after="0" w:line="202" w:lineRule="exact"/>
        <w:rPr>
          <w:sz w:val="20"/>
          <w:szCs w:val="20"/>
          <w:color w:val="auto"/>
        </w:rPr>
      </w:pPr>
    </w:p>
    <w:p>
      <w:pPr>
        <w:ind w:right="460" w:firstLine="637"/>
        <w:spacing w:after="0" w:line="281" w:lineRule="auto"/>
        <w:rPr>
          <w:sz w:val="20"/>
          <w:szCs w:val="20"/>
          <w:color w:val="auto"/>
        </w:rPr>
      </w:pPr>
      <w:r>
        <w:rPr>
          <w:rFonts w:ascii="Times New Roman" w:cs="Times New Roman" w:eastAsia="Times New Roman" w:hAnsi="Times New Roman"/>
          <w:sz w:val="18"/>
          <w:szCs w:val="18"/>
          <w:color w:val="auto"/>
        </w:rPr>
        <w:t>Strategic risk is the risk to earnings or capital arising from adverse decisions or improper implementation of strategic decisions. This risk is a function of the compatibility between an organization’s goals, the resources deployed against those goals and the quality of implementation.</w:t>
      </w:r>
    </w:p>
    <w:p>
      <w:pPr>
        <w:spacing w:after="0" w:line="122" w:lineRule="exact"/>
        <w:rPr>
          <w:sz w:val="20"/>
          <w:szCs w:val="20"/>
          <w:color w:val="auto"/>
        </w:rPr>
      </w:pPr>
    </w:p>
    <w:p>
      <w:pPr>
        <w:ind w:right="40" w:firstLine="637"/>
        <w:spacing w:after="0" w:line="265" w:lineRule="auto"/>
        <w:rPr>
          <w:sz w:val="20"/>
          <w:szCs w:val="20"/>
          <w:color w:val="auto"/>
        </w:rPr>
      </w:pPr>
      <w:r>
        <w:rPr>
          <w:rFonts w:ascii="Times New Roman" w:cs="Times New Roman" w:eastAsia="Times New Roman" w:hAnsi="Times New Roman"/>
          <w:sz w:val="18"/>
          <w:szCs w:val="18"/>
          <w:color w:val="auto"/>
        </w:rPr>
        <w:t>Strategic risks are identified as part of the strategic planning process. Strategic planning sessions, with members of the Board of Directors and Executive Leadership, are held annually. The strategic review consists of results of strategic initiatives, an assessment of the economic outlook, competitive analysis, and an industry outlook, including a legislative and regulatory review.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w:t>
      </w:r>
    </w:p>
    <w:p>
      <w:pPr>
        <w:spacing w:after="0" w:line="202" w:lineRule="exact"/>
        <w:rPr>
          <w:sz w:val="20"/>
          <w:szCs w:val="20"/>
          <w:color w:val="auto"/>
        </w:rPr>
      </w:pPr>
    </w:p>
    <w:p>
      <w:pPr>
        <w:ind w:right="40" w:firstLine="637"/>
        <w:spacing w:after="0" w:line="253" w:lineRule="auto"/>
        <w:rPr>
          <w:sz w:val="20"/>
          <w:szCs w:val="20"/>
          <w:color w:val="auto"/>
        </w:rPr>
      </w:pPr>
      <w:r>
        <w:rPr>
          <w:rFonts w:ascii="Times New Roman" w:cs="Times New Roman" w:eastAsia="Times New Roman" w:hAnsi="Times New Roman"/>
          <w:sz w:val="18"/>
          <w:szCs w:val="18"/>
          <w:color w:val="auto"/>
        </w:rPr>
        <w:t>Cybersecurity and fraud risk refers to the risk of failures, interruptions of services, or breaches of security with respect to the Company’s or the Bank’s communication, information, operations, devices, financial control, customer internet banking, customer information, email, data processing systems, or other bank or third party applications. The ability of the Company’s customers to bank remotely, including online and through mobile devices, requires secure transmission of confidential information and increases the risk of data security breaches. In addition, the Company and the Bank rely primarily on third party providers to develop, manage, maintain and protect our systems and applications. Any such failures, interruptions or fraud or security breaches, depending on the scope, duration, affected system(s) or customers(s), could expose the Company and/or the Bank to financial loss, reputation damage, litigation, or regulatory action. We continue to invest in technologies and training to protect our associates, our clients and our assets. While we have implemented various detective and preventative measures which seek to protect our Company, our customers’ information and the Bank from the risk of fraud, data security breaches or service interruptions, there can be no assurance that these measures will be effective in preventing potential breaches or losses for us or our customers.</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ASSET/LIABILITY AND MARKET RISK MANAGEMENT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p>
      <w:pPr>
        <w:spacing w:after="0" w:line="188" w:lineRule="exact"/>
        <w:rPr>
          <w:sz w:val="20"/>
          <w:szCs w:val="20"/>
          <w:color w:val="auto"/>
        </w:rPr>
      </w:pPr>
    </w:p>
    <w:p>
      <w:pPr>
        <w:ind w:right="220" w:firstLine="637"/>
        <w:spacing w:after="0" w:line="260" w:lineRule="auto"/>
        <w:rPr>
          <w:sz w:val="20"/>
          <w:szCs w:val="20"/>
          <w:color w:val="auto"/>
        </w:rPr>
      </w:pPr>
      <w:r>
        <w:rPr>
          <w:rFonts w:ascii="Times New Roman" w:cs="Times New Roman" w:eastAsia="Times New Roman" w:hAnsi="Times New Roman"/>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41"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In addition, the Company has a Balance Sheet Management Committee of the Board of Directors that meets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59" w:lineRule="exact"/>
        <w:rPr>
          <w:sz w:val="20"/>
          <w:szCs w:val="20"/>
          <w:color w:val="auto"/>
        </w:rPr>
      </w:pPr>
    </w:p>
    <w:p>
      <w:pPr>
        <w:ind w:right="80" w:firstLine="637"/>
        <w:spacing w:after="0" w:line="256" w:lineRule="auto"/>
        <w:rPr>
          <w:sz w:val="20"/>
          <w:szCs w:val="20"/>
          <w:color w:val="auto"/>
        </w:rPr>
      </w:pPr>
      <w:r>
        <w:rPr>
          <w:rFonts w:ascii="Times New Roman" w:cs="Times New Roman" w:eastAsia="Times New Roman" w:hAnsi="Times New Roman"/>
          <w:sz w:val="18"/>
          <w:szCs w:val="18"/>
          <w:color w:val="auto"/>
        </w:rPr>
        <w:t>Our primary sources and uses of funds for the Company are deposits and loans. Our deposit levels and cost of deposits may fluctuate from period-to-period due to a variety of factors, including the stability of our deposit base, prevailing interest rates, and market conditions. Total deposits of $12.84 billion at December 31, 2022 decreased $141.2 million, or 1.08%, over total deposits of $12.98 billion at December 31, 2021. The combination of seasonal growth in dairy and livestock loans, seasonal deposit declines, slow down in the housing market reducing deposit levels for our title and escrow customers, as well as inflationary pressures on our customers operations combined to decrease our deposit levels late in 2022, resulting in borrowing $995,000 million in overnight from the Federal Home Loan Bank.</w:t>
      </w:r>
    </w:p>
    <w:p>
      <w:pPr>
        <w:spacing w:after="0" w:line="145" w:lineRule="exact"/>
        <w:rPr>
          <w:sz w:val="20"/>
          <w:szCs w:val="20"/>
          <w:color w:val="auto"/>
        </w:rPr>
      </w:pPr>
    </w:p>
    <w:p>
      <w:pPr>
        <w:ind w:right="20" w:firstLine="637"/>
        <w:spacing w:after="0" w:line="258" w:lineRule="auto"/>
        <w:rPr>
          <w:sz w:val="20"/>
          <w:szCs w:val="20"/>
          <w:color w:val="auto"/>
        </w:rPr>
      </w:pPr>
      <w:r>
        <w:rPr>
          <w:rFonts w:ascii="Times New Roman" w:cs="Times New Roman" w:eastAsia="Times New Roman" w:hAnsi="Times New Roman"/>
          <w:sz w:val="18"/>
          <w:szCs w:val="18"/>
          <w:color w:val="auto"/>
        </w:rPr>
        <w:t>In general, our liquidity is managed daily by controlling the level of liquid assets as well as the use of funds provided by the cash flow from the investment portfolio, loan demand and deposit fluctuations. Our definition of liquid assets includes cash and cash equivalents in excess of minimum levels needed to fulfill normal business operations, short-term investment securities, and other anticipated near term cash flows from investments. Our balance sheet has significant liquidity and our loans are primarily funded with core deposits. Furthermore, we have significant off-balance sheet sources of liquidity. To meet unexpected demands, lines of credit are maintained with correspondent banks, the Federal Home Loan Bank and the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0" w:name="page71"/>
    <w:bookmarkEnd w:id="70"/>
    <w:p>
      <w:pPr>
        <w:ind w:right="460"/>
        <w:spacing w:after="0" w:line="260" w:lineRule="auto"/>
        <w:rPr>
          <w:sz w:val="20"/>
          <w:szCs w:val="20"/>
          <w:color w:val="auto"/>
        </w:rPr>
      </w:pPr>
      <w:r>
        <w:rPr>
          <w:rFonts w:ascii="Times New Roman" w:cs="Times New Roman" w:eastAsia="Times New Roman" w:hAnsi="Times New Roman"/>
          <w:sz w:val="18"/>
          <w:szCs w:val="18"/>
          <w:color w:val="auto"/>
        </w:rPr>
        <w:t>Federal Reserve, although availability under these lines of credit are subject to certain conditions. The Bank has available lines of credit exceeding $4 billion, most of which is secured by pledged loans. The sale of investment securities can also serve as a contingent source of funds. We can obtain additional liquidity from deposit growth by offering competitive interest rates on deposits from both our local and national wholesale markets. At December 31, 2022, we had $995.0 million in overnight borrowings.</w:t>
      </w:r>
    </w:p>
    <w:p>
      <w:pPr>
        <w:spacing w:after="0" w:line="155" w:lineRule="exact"/>
        <w:rPr>
          <w:sz w:val="20"/>
          <w:szCs w:val="20"/>
          <w:color w:val="auto"/>
        </w:rPr>
      </w:pPr>
    </w:p>
    <w:p>
      <w:pPr>
        <w:ind w:firstLine="681"/>
        <w:spacing w:after="0" w:line="260" w:lineRule="auto"/>
        <w:rPr>
          <w:sz w:val="20"/>
          <w:szCs w:val="20"/>
          <w:color w:val="auto"/>
        </w:rPr>
      </w:pPr>
      <w:r>
        <w:rPr>
          <w:rFonts w:ascii="Times New Roman" w:cs="Times New Roman" w:eastAsia="Times New Roman" w:hAnsi="Times New Roman"/>
          <w:sz w:val="18"/>
          <w:szCs w:val="18"/>
          <w:color w:val="auto"/>
        </w:rPr>
        <w:t>CVB is a holding company separate and apart from the Bank that must provide for its own liquidity and must service its own obligations. On June 15, 2021, we redeemed our $25.8 million in subordinated debt with an interest rate of three month LIBOR plus 1.38% at par.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141" w:lineRule="exact"/>
        <w:rPr>
          <w:sz w:val="20"/>
          <w:szCs w:val="20"/>
          <w:color w:val="auto"/>
        </w:rPr>
      </w:pPr>
    </w:p>
    <w:p>
      <w:pPr>
        <w:ind w:right="540" w:firstLine="644"/>
        <w:spacing w:after="0" w:line="281" w:lineRule="auto"/>
        <w:rPr>
          <w:sz w:val="20"/>
          <w:szCs w:val="20"/>
          <w:color w:val="auto"/>
        </w:rPr>
      </w:pPr>
      <w:r>
        <w:rPr>
          <w:rFonts w:ascii="Times New Roman" w:cs="Times New Roman" w:eastAsia="Times New Roman" w:hAnsi="Times New Roman"/>
          <w:sz w:val="18"/>
          <w:szCs w:val="18"/>
          <w:color w:val="auto"/>
        </w:rPr>
        <w:t>Below is a summary of our average cash position and statement of cash flows for the years ended December 31, 2022 and 2021. For further details, see our “</w:t>
      </w:r>
      <w:r>
        <w:rPr>
          <w:rFonts w:ascii="Times New Roman" w:cs="Times New Roman" w:eastAsia="Times New Roman" w:hAnsi="Times New Roman"/>
          <w:sz w:val="18"/>
          <w:szCs w:val="18"/>
          <w:i w:val="1"/>
          <w:iCs w:val="1"/>
          <w:color w:val="auto"/>
        </w:rPr>
        <w:t>Consolidated Statements of Cash Flows</w:t>
      </w:r>
      <w:r>
        <w:rPr>
          <w:rFonts w:ascii="Times New Roman" w:cs="Times New Roman" w:eastAsia="Times New Roman" w:hAnsi="Times New Roman"/>
          <w:sz w:val="18"/>
          <w:szCs w:val="18"/>
          <w:color w:val="auto"/>
        </w:rPr>
        <w:t>” under Part IV consolidated financial statements of this report.</w:t>
      </w:r>
    </w:p>
    <w:p>
      <w:pPr>
        <w:spacing w:after="0" w:line="120"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Consolidated Summary of Cash Flows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5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40"/>
        </w:trPr>
        <w:tc>
          <w:tcPr>
            <w:tcW w:w="5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5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20" w:type="dxa"/>
            <w:vAlign w:val="bottom"/>
            <w:gridSpan w:val="6"/>
          </w:tcPr>
          <w:p>
            <w:pPr>
              <w:jc w:val="right"/>
              <w:ind w:right="11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r>
      <w:tr>
        <w:trPr>
          <w:trHeight w:val="246"/>
        </w:trPr>
        <w:tc>
          <w:tcPr>
            <w:tcW w:w="500" w:type="dxa"/>
            <w:vAlign w:val="bottom"/>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978,454</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2,078,439</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5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average assets</w:t>
            </w:r>
          </w:p>
        </w:tc>
        <w:tc>
          <w:tcPr>
            <w:tcW w:w="38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5.79 %</w:t>
            </w:r>
          </w:p>
        </w:tc>
        <w:tc>
          <w:tcPr>
            <w:tcW w:w="3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13.54 %</w:t>
            </w:r>
          </w:p>
        </w:tc>
      </w:tr>
      <w:tr>
        <w:trPr>
          <w:trHeight w:val="247"/>
        </w:trPr>
        <w:tc>
          <w:tcPr>
            <w:tcW w:w="500" w:type="dxa"/>
            <w:vAlign w:val="bottom"/>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273,731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195,242</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5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(1,176,966 )</w:t>
            </w:r>
          </w:p>
        </w:tc>
        <w:tc>
          <w:tcPr>
            <w:tcW w:w="3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(1,730,491 )</w:t>
            </w:r>
          </w:p>
        </w:tc>
        <w:tc>
          <w:tcPr>
            <w:tcW w:w="8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(625,852 )</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1,309,637</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5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5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(1,529,087 </w:t>
            </w:r>
            <w:r>
              <w:rPr>
                <w:rFonts w:ascii="Times New Roman" w:cs="Times New Roman" w:eastAsia="Times New Roman" w:hAnsi="Times New Roman"/>
                <w:sz w:val="18"/>
                <w:szCs w:val="18"/>
                <w:color w:val="auto"/>
                <w:highlight w:val="white"/>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(225,612 </w:t>
            </w:r>
            <w:r>
              <w:rPr>
                <w:rFonts w:ascii="Times New Roman" w:cs="Times New Roman" w:eastAsia="Times New Roman" w:hAnsi="Times New Roman"/>
                <w:sz w:val="18"/>
                <w:szCs w:val="18"/>
                <w:color w:val="auto"/>
                <w:highlight w:val="white"/>
              </w:rPr>
              <w:t>)</w:t>
            </w:r>
          </w:p>
        </w:tc>
        <w:tc>
          <w:tcPr>
            <w:tcW w:w="8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Average cash and cash equivalents decreased by $1.1 billion, or 52.92%, to $978.4 million for the year ended December 31, 2022, compared to $2.08 billion for 2021.</w:t>
      </w:r>
    </w:p>
    <w:p>
      <w:pPr>
        <w:spacing w:after="0" w:line="136" w:lineRule="exact"/>
        <w:rPr>
          <w:sz w:val="20"/>
          <w:szCs w:val="20"/>
          <w:color w:val="auto"/>
        </w:rPr>
      </w:pPr>
    </w:p>
    <w:p>
      <w:pPr>
        <w:ind w:right="420" w:firstLine="637"/>
        <w:spacing w:after="0" w:line="281" w:lineRule="auto"/>
        <w:rPr>
          <w:sz w:val="20"/>
          <w:szCs w:val="20"/>
          <w:color w:val="auto"/>
        </w:rPr>
      </w:pPr>
      <w:r>
        <w:rPr>
          <w:rFonts w:ascii="Times New Roman" w:cs="Times New Roman" w:eastAsia="Times New Roman" w:hAnsi="Times New Roman"/>
          <w:sz w:val="18"/>
          <w:szCs w:val="18"/>
          <w:color w:val="auto"/>
        </w:rPr>
        <w:t>At December 31, 2022, cash and cash equivalents totaled $203.5 million. This represented a decrease of $1.53 billion, or 88.26%, from $1.73 billion at December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88" w:lineRule="exact"/>
        <w:rPr>
          <w:sz w:val="20"/>
          <w:szCs w:val="20"/>
          <w:color w:val="auto"/>
        </w:rPr>
      </w:pPr>
    </w:p>
    <w:p>
      <w:pPr>
        <w:ind w:right="100" w:firstLine="637"/>
        <w:spacing w:after="0" w:line="260" w:lineRule="auto"/>
        <w:rPr>
          <w:sz w:val="20"/>
          <w:szCs w:val="20"/>
          <w:color w:val="auto"/>
        </w:rPr>
      </w:pPr>
      <w:r>
        <w:rPr>
          <w:rFonts w:ascii="Times New Roman" w:cs="Times New Roman" w:eastAsia="Times New Roman" w:hAnsi="Times New Roman"/>
          <w:sz w:val="18"/>
          <w:szCs w:val="18"/>
          <w:color w:val="auto"/>
        </w:rPr>
        <w:t>In the normal course of its business activities, we are exposed to market risks, including price and liquidity risk. Market risk is the potential for loss from adverse changes in market rates and prices, such as interest rates (interest rate risk). Liquidity risk arises from the possibility that we may not be able to satisfy current or future commitments or that we may be more reliant on alternative funding sources such as long-term debt. Financial products that expose us to market risk include securities, loans, deposits, debt, and derivative financial instruments.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1" w:name="page72"/>
    <w:bookmarkEnd w:id="71"/>
    <w:p>
      <w:pPr>
        <w:ind w:right="460" w:firstLine="644"/>
        <w:spacing w:after="0" w:line="265" w:lineRule="auto"/>
        <w:rPr>
          <w:sz w:val="20"/>
          <w:szCs w:val="20"/>
          <w:color w:val="auto"/>
        </w:rPr>
      </w:pPr>
      <w:r>
        <w:rPr>
          <w:rFonts w:ascii="Times New Roman" w:cs="Times New Roman" w:eastAsia="Times New Roman" w:hAnsi="Times New Roman"/>
          <w:sz w:val="18"/>
          <w:szCs w:val="18"/>
          <w:color w:val="auto"/>
        </w:rPr>
        <w:t>The table below provides the actual balances as of December 31, 2022 of interest-earning assets and interest-bearing liabilities, including the average rate earned or incurred for 2022, the projected contractual maturities over the next five years, and the estimated fair value of each category determined using available market information and appropriate valuation methodologies.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w w:val="97"/>
              </w:rPr>
              <w:t>Maturing</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77"/>
              <w:spacing w:after="0" w:line="12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0"/>
                <w:szCs w:val="10"/>
                <w:color w:val="auto"/>
              </w:rPr>
            </w:pPr>
          </w:p>
        </w:tc>
        <w:tc>
          <w:tcPr>
            <w:tcW w:w="820" w:type="dxa"/>
            <w:vAlign w:val="bottom"/>
            <w:gridSpan w:val="2"/>
          </w:tcPr>
          <w:p>
            <w:pPr>
              <w:jc w:val="right"/>
              <w:ind w:right="320"/>
              <w:spacing w:after="0" w:line="12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37"/>
              <w:spacing w:after="0" w:line="124" w:lineRule="exact"/>
              <w:rPr>
                <w:sz w:val="20"/>
                <w:szCs w:val="20"/>
                <w:color w:val="auto"/>
              </w:rPr>
            </w:pPr>
            <w:r>
              <w:rPr>
                <w:rFonts w:ascii="Times New Roman" w:cs="Times New Roman" w:eastAsia="Times New Roman" w:hAnsi="Times New Roman"/>
                <w:sz w:val="13"/>
                <w:szCs w:val="13"/>
                <w:b w:val="1"/>
                <w:bCs w:val="1"/>
                <w:color w:val="auto"/>
                <w:w w:val="93"/>
              </w:rPr>
              <w:t>Five Years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137"/>
              <w:spacing w:after="0" w:line="124"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00" w:type="dxa"/>
            <w:vAlign w:val="bottom"/>
          </w:tcPr>
          <w:p>
            <w:pPr>
              <w:spacing w:after="0"/>
              <w:rPr>
                <w:sz w:val="10"/>
                <w:szCs w:val="10"/>
                <w:color w:val="auto"/>
              </w:rPr>
            </w:pPr>
          </w:p>
        </w:tc>
      </w:tr>
      <w:tr>
        <w:trPr>
          <w:trHeight w:val="167"/>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Two Years</w:t>
            </w:r>
          </w:p>
        </w:tc>
        <w:tc>
          <w:tcPr>
            <w:tcW w:w="220" w:type="dxa"/>
            <w:vAlign w:val="bottom"/>
          </w:tcPr>
          <w:p>
            <w:pPr>
              <w:spacing w:after="0"/>
              <w:rPr>
                <w:sz w:val="14"/>
                <w:szCs w:val="14"/>
                <w:color w:val="auto"/>
              </w:rPr>
            </w:pPr>
          </w:p>
        </w:tc>
        <w:tc>
          <w:tcPr>
            <w:tcW w:w="7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Three Years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Four Years</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and Beyond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Pr>
          <w:p>
            <w:pPr>
              <w:spacing w:after="0"/>
              <w:rPr>
                <w:sz w:val="14"/>
                <w:szCs w:val="14"/>
                <w:color w:val="auto"/>
              </w:rPr>
            </w:pPr>
          </w:p>
        </w:tc>
      </w:tr>
      <w:tr>
        <w:trPr>
          <w:trHeight w:val="157"/>
        </w:trPr>
        <w:tc>
          <w:tcPr>
            <w:tcW w:w="28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(Dollars</w:t>
            </w:r>
          </w:p>
        </w:tc>
        <w:tc>
          <w:tcPr>
            <w:tcW w:w="2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w:t>
            </w: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i w:val="1"/>
                <w:iCs w:val="1"/>
                <w:color w:val="auto"/>
              </w:rPr>
              <w:t>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Interest-earning assets:</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Investment securities available-for-sale (1)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3,255,211</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1.97 %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1,939</w:t>
            </w:r>
          </w:p>
        </w:tc>
        <w:tc>
          <w:tcPr>
            <w:tcW w:w="42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49,207</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3,127,094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3,255,211</w:t>
            </w:r>
          </w:p>
        </w:tc>
        <w:tc>
          <w:tcPr>
            <w:tcW w:w="100" w:type="dxa"/>
            <w:vAlign w:val="bottom"/>
          </w:tcPr>
          <w:p>
            <w:pPr>
              <w:spacing w:after="0"/>
              <w:rPr>
                <w:sz w:val="14"/>
                <w:szCs w:val="14"/>
                <w:color w:val="auto"/>
              </w:rPr>
            </w:pPr>
          </w:p>
        </w:tc>
      </w:tr>
      <w:tr>
        <w:trPr>
          <w:trHeight w:val="162"/>
        </w:trPr>
        <w:tc>
          <w:tcPr>
            <w:tcW w:w="2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Investment securities held-to-maturity (1)</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2,554,301</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2.11 %</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13,750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15,790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12,151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2,510,610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2,155,587</w:t>
            </w:r>
          </w:p>
        </w:tc>
        <w:tc>
          <w:tcPr>
            <w:tcW w:w="100" w:type="dxa"/>
            <w:vAlign w:val="bottom"/>
            <w:shd w:val="clear" w:color="auto" w:fill="CFF0FC"/>
          </w:tcPr>
          <w:p>
            <w:pPr>
              <w:spacing w:after="0"/>
              <w:rPr>
                <w:sz w:val="14"/>
                <w:szCs w:val="14"/>
                <w:color w:val="auto"/>
              </w:rPr>
            </w:pPr>
          </w:p>
        </w:tc>
      </w:tr>
      <w:tr>
        <w:trPr>
          <w:trHeight w:val="162"/>
        </w:trPr>
        <w:tc>
          <w:tcPr>
            <w:tcW w:w="2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Investment in FHLB stock</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27,627</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6.59 %</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27,627</w:t>
            </w:r>
          </w:p>
        </w:tc>
        <w:tc>
          <w:tcPr>
            <w:tcW w:w="100" w:type="dxa"/>
            <w:vAlign w:val="bottom"/>
          </w:tcPr>
          <w:p>
            <w:pPr>
              <w:spacing w:after="0"/>
              <w:rPr>
                <w:sz w:val="14"/>
                <w:szCs w:val="14"/>
                <w:color w:val="auto"/>
              </w:rPr>
            </w:pPr>
          </w:p>
        </w:tc>
      </w:tr>
      <w:tr>
        <w:trPr>
          <w:trHeight w:val="130"/>
        </w:trPr>
        <w:tc>
          <w:tcPr>
            <w:tcW w:w="284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Interest-earning deposits due from Federal</w:t>
            </w: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2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Reserve and with other institutions</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54,778</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0.83 %</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54,778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54,778</w:t>
            </w:r>
          </w:p>
        </w:tc>
        <w:tc>
          <w:tcPr>
            <w:tcW w:w="100" w:type="dxa"/>
            <w:vAlign w:val="bottom"/>
            <w:shd w:val="clear" w:color="auto" w:fill="CFF0FC"/>
          </w:tcPr>
          <w:p>
            <w:pPr>
              <w:spacing w:after="0"/>
              <w:rPr>
                <w:sz w:val="14"/>
                <w:szCs w:val="14"/>
                <w:color w:val="auto"/>
              </w:rPr>
            </w:pPr>
          </w:p>
        </w:tc>
      </w:tr>
      <w:tr>
        <w:trPr>
          <w:trHeight w:val="162"/>
        </w:trPr>
        <w:tc>
          <w:tcPr>
            <w:tcW w:w="2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Loans and lease finance receivables (2)</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9,079,392</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4.49 %</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1,090,230</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443,464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402,356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472,937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6,670,405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8,160,069</w:t>
            </w:r>
          </w:p>
        </w:tc>
        <w:tc>
          <w:tcPr>
            <w:tcW w:w="100" w:type="dxa"/>
            <w:vAlign w:val="bottom"/>
          </w:tcPr>
          <w:p>
            <w:pPr>
              <w:spacing w:after="0"/>
              <w:rPr>
                <w:sz w:val="14"/>
                <w:szCs w:val="14"/>
                <w:color w:val="auto"/>
              </w:rPr>
            </w:pPr>
          </w:p>
        </w:tc>
      </w:tr>
      <w:tr>
        <w:trPr>
          <w:trHeight w:val="195"/>
        </w:trPr>
        <w:tc>
          <w:tcPr>
            <w:tcW w:w="28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interest-earning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14,971,309</w:t>
            </w:r>
          </w:p>
        </w:tc>
        <w:tc>
          <w:tcPr>
            <w:tcW w:w="2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1,148,591</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459,153</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467,353</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560,476</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12,335,736</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13,653,272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42"/>
        </w:trPr>
        <w:tc>
          <w:tcPr>
            <w:tcW w:w="28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Interest-bearing deposits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4,671,881</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0.13 %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4,636,021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18,685</w:t>
            </w:r>
          </w:p>
        </w:tc>
        <w:tc>
          <w:tcPr>
            <w:tcW w:w="42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9,473</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5,552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4,664,657</w:t>
            </w:r>
          </w:p>
        </w:tc>
        <w:tc>
          <w:tcPr>
            <w:tcW w:w="100" w:type="dxa"/>
            <w:vAlign w:val="bottom"/>
            <w:shd w:val="clear" w:color="auto" w:fill="CFF0FC"/>
          </w:tcPr>
          <w:p>
            <w:pPr>
              <w:spacing w:after="0"/>
              <w:rPr>
                <w:sz w:val="14"/>
                <w:szCs w:val="14"/>
                <w:color w:val="auto"/>
              </w:rPr>
            </w:pPr>
          </w:p>
        </w:tc>
      </w:tr>
      <w:tr>
        <w:trPr>
          <w:trHeight w:val="162"/>
        </w:trPr>
        <w:tc>
          <w:tcPr>
            <w:tcW w:w="2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Borrowings</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1,560,431</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0.38 %</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1,560,431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1,444,659</w:t>
            </w:r>
          </w:p>
        </w:tc>
        <w:tc>
          <w:tcPr>
            <w:tcW w:w="100" w:type="dxa"/>
            <w:vAlign w:val="bottom"/>
          </w:tcPr>
          <w:p>
            <w:pPr>
              <w:spacing w:after="0"/>
              <w:rPr>
                <w:sz w:val="14"/>
                <w:szCs w:val="14"/>
                <w:color w:val="auto"/>
              </w:rPr>
            </w:pPr>
          </w:p>
        </w:tc>
      </w:tr>
      <w:tr>
        <w:trPr>
          <w:trHeight w:val="162"/>
        </w:trPr>
        <w:tc>
          <w:tcPr>
            <w:tcW w:w="2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Junior subordinated debentures</w:t>
            </w: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28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interest-bearing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6,232,312</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6,196,452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18,685</w:t>
            </w:r>
          </w:p>
        </w:tc>
        <w:tc>
          <w:tcPr>
            <w:tcW w:w="42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9,473</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6,109,316</w:t>
            </w:r>
          </w:p>
        </w:tc>
        <w:tc>
          <w:tcPr>
            <w:tcW w:w="100" w:type="dxa"/>
            <w:vAlign w:val="bottom"/>
          </w:tcPr>
          <w:p>
            <w:pPr>
              <w:spacing w:after="0"/>
              <w:rPr>
                <w:sz w:val="13"/>
                <w:szCs w:val="13"/>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-572770</wp:posOffset>
            </wp:positionV>
            <wp:extent cx="4692015" cy="1282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692015" cy="12827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-136525</wp:posOffset>
            </wp:positionV>
            <wp:extent cx="76835"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-136525</wp:posOffset>
            </wp:positionV>
            <wp:extent cx="76835"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-136525</wp:posOffset>
            </wp:positionV>
            <wp:extent cx="6858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-136525</wp:posOffset>
            </wp:positionV>
            <wp:extent cx="6858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-136525</wp:posOffset>
            </wp:positionV>
            <wp:extent cx="6858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-136525</wp:posOffset>
            </wp:positionV>
            <wp:extent cx="68580"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73" w:lineRule="exact"/>
        <w:rPr>
          <w:sz w:val="20"/>
          <w:szCs w:val="20"/>
          <w:color w:val="auto"/>
        </w:rPr>
      </w:pPr>
    </w:p>
    <w:p>
      <w:pPr>
        <w:ind w:left="1020" w:hanging="368"/>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include mortgage-backed securities which generally prepay before maturity. Includes TE adjustments utilizing a federal statutory rate of 21%.</w:t>
      </w:r>
    </w:p>
    <w:p>
      <w:pPr>
        <w:spacing w:after="0" w:line="3" w:lineRule="exact"/>
        <w:rPr>
          <w:rFonts w:ascii="Times New Roman" w:cs="Times New Roman" w:eastAsia="Times New Roman" w:hAnsi="Times New Roman"/>
          <w:sz w:val="14"/>
          <w:szCs w:val="14"/>
          <w:color w:val="auto"/>
        </w:rPr>
      </w:pPr>
    </w:p>
    <w:p>
      <w:pPr>
        <w:ind w:left="1020" w:hanging="368"/>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loans, at amortized cost.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 Management</w:t>
      </w:r>
    </w:p>
    <w:p>
      <w:pPr>
        <w:spacing w:after="0" w:line="188" w:lineRule="exact"/>
        <w:rPr>
          <w:sz w:val="20"/>
          <w:szCs w:val="20"/>
          <w:color w:val="auto"/>
        </w:rPr>
      </w:pPr>
    </w:p>
    <w:p>
      <w:pPr>
        <w:ind w:right="60" w:firstLine="637"/>
        <w:spacing w:after="0" w:line="254" w:lineRule="auto"/>
        <w:rPr>
          <w:sz w:val="20"/>
          <w:szCs w:val="20"/>
          <w:color w:val="auto"/>
        </w:rPr>
      </w:pPr>
      <w:r>
        <w:rPr>
          <w:rFonts w:ascii="Times New Roman" w:cs="Times New Roman" w:eastAsia="Times New Roman" w:hAnsi="Times New Roman"/>
          <w:sz w:val="18"/>
          <w:szCs w:val="18"/>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45" w:lineRule="exact"/>
        <w:rPr>
          <w:sz w:val="20"/>
          <w:szCs w:val="20"/>
          <w:color w:val="auto"/>
        </w:rPr>
      </w:pPr>
    </w:p>
    <w:p>
      <w:pPr>
        <w:ind w:right="60" w:firstLine="637"/>
        <w:spacing w:after="0" w:line="255" w:lineRule="auto"/>
        <w:rPr>
          <w:sz w:val="20"/>
          <w:szCs w:val="20"/>
          <w:color w:val="auto"/>
        </w:rPr>
      </w:pPr>
      <w:r>
        <w:rPr>
          <w:rFonts w:ascii="Times New Roman" w:cs="Times New Roman" w:eastAsia="Times New Roman" w:hAnsi="Times New Roman"/>
          <w:sz w:val="18"/>
          <w:szCs w:val="18"/>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interest rate risk policy measures the sensitivity of our net interest income over both a one-year and two-year cumulative time horizon.</w:t>
      </w:r>
    </w:p>
    <w:p>
      <w:pPr>
        <w:spacing w:after="0" w:line="184" w:lineRule="exact"/>
        <w:rPr>
          <w:sz w:val="20"/>
          <w:szCs w:val="20"/>
          <w:color w:val="auto"/>
        </w:rPr>
      </w:pPr>
    </w:p>
    <w:p>
      <w:pPr>
        <w:ind w:right="20" w:firstLine="637"/>
        <w:spacing w:after="0" w:line="258" w:lineRule="auto"/>
        <w:rPr>
          <w:sz w:val="20"/>
          <w:szCs w:val="20"/>
          <w:color w:val="auto"/>
        </w:rPr>
      </w:pPr>
      <w:r>
        <w:rPr>
          <w:rFonts w:ascii="Times New Roman" w:cs="Times New Roman" w:eastAsia="Times New Roman" w:hAnsi="Times New Roman"/>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one-year horizon assuming no balance sheet growth, given a 200 basis point upward and a 200 or 100 basis point downward shift in interest rates, depending on the level of current market rates. The simulation model uses a parallel yield curve shift that ramps rates up or down on a pro rata basis over the 12-month and 24-month time horizon.</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2" w:name="page73"/>
    <w:bookmarkEnd w:id="72"/>
    <w:p>
      <w:pPr>
        <w:ind w:right="80" w:firstLine="644"/>
        <w:spacing w:after="0" w:line="281" w:lineRule="auto"/>
        <w:rPr>
          <w:sz w:val="20"/>
          <w:szCs w:val="20"/>
          <w:color w:val="auto"/>
        </w:rPr>
      </w:pPr>
      <w:r>
        <w:rPr>
          <w:rFonts w:ascii="Times New Roman" w:cs="Times New Roman" w:eastAsia="Times New Roman" w:hAnsi="Times New Roman"/>
          <w:sz w:val="18"/>
          <w:szCs w:val="18"/>
          <w:color w:val="auto"/>
        </w:rPr>
        <w:t>The following depicts the Company’s net interest income sensitivity analysis for the periods presented below, when rates are ramped up 200bps or ramped down 200bps or 100bps over a 12-month time horizon.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4"/>
                <w:szCs w:val="14"/>
                <w:b w:val="1"/>
                <w:bCs w:val="1"/>
                <w:color w:val="auto"/>
              </w:rPr>
              <w:t>Estimated Net Interest Income Sensitivity (1)</w:t>
            </w:r>
          </w:p>
        </w:tc>
        <w:tc>
          <w:tcPr>
            <w:tcW w:w="1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tcBorders>
              <w:bottom w:val="single" w:sz="8" w:color="auto"/>
            </w:tcBorders>
            <w:gridSpan w:val="3"/>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3"/>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Scenario</w:t>
            </w:r>
          </w:p>
        </w:tc>
        <w:tc>
          <w:tcPr>
            <w:tcW w:w="184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12-month Period</w:t>
            </w:r>
          </w:p>
        </w:tc>
        <w:tc>
          <w:tcPr>
            <w:tcW w:w="156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24-month Period</w:t>
            </w:r>
          </w:p>
        </w:tc>
        <w:tc>
          <w:tcPr>
            <w:tcW w:w="240" w:type="dxa"/>
            <w:vAlign w:val="bottom"/>
          </w:tcPr>
          <w:p>
            <w:pPr>
              <w:spacing w:after="0"/>
              <w:rPr>
                <w:sz w:val="11"/>
                <w:szCs w:val="11"/>
                <w:color w:val="auto"/>
              </w:rPr>
            </w:pPr>
          </w:p>
        </w:tc>
        <w:tc>
          <w:tcPr>
            <w:tcW w:w="22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Interest Rate Scenario</w:t>
            </w:r>
          </w:p>
        </w:tc>
        <w:tc>
          <w:tcPr>
            <w:tcW w:w="1560" w:type="dxa"/>
            <w:vAlign w:val="bottom"/>
            <w:gridSpan w:val="2"/>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12-month Period</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24-month Period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10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80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80" w:type="dxa"/>
            <w:vAlign w:val="bottom"/>
            <w:gridSpan w:val="3"/>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69"/>
        </w:trPr>
        <w:tc>
          <w:tcPr>
            <w:tcW w:w="19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+ 200 basis points</w:t>
            </w:r>
          </w:p>
        </w:tc>
        <w:tc>
          <w:tcPr>
            <w:tcW w:w="120" w:type="dxa"/>
            <w:vAlign w:val="bottom"/>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+ 200 basis points</w:t>
            </w:r>
          </w:p>
        </w:tc>
        <w:tc>
          <w:tcPr>
            <w:tcW w:w="1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- 200 basis points</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-2.28 %</w:t>
            </w:r>
          </w:p>
        </w:tc>
        <w:tc>
          <w:tcPr>
            <w:tcW w:w="1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-6.83 %</w:t>
            </w: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- 100 basis points</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-4.30 %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1540" w:right="280" w:hanging="514"/>
        <w:spacing w:after="0" w:line="258" w:lineRule="auto"/>
        <w:tabs>
          <w:tab w:leader="none" w:pos="1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change from base scenario, but the current low interest rate environment limits the absolute decline in rates as the model does not assume rates go below zero.</w:t>
      </w:r>
    </w:p>
    <w:p>
      <w:pPr>
        <w:spacing w:after="0" w:line="144"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Based on our current simulation models, we believe that the interest rate risk profile of the balance sheet is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Our exposure in the rates down scenario is impacted by the current low interest rate environment and the model does not assume that rates go below zero.</w:t>
      </w:r>
    </w:p>
    <w:p>
      <w:pPr>
        <w:spacing w:after="0" w:line="149" w:lineRule="exact"/>
        <w:rPr>
          <w:sz w:val="20"/>
          <w:szCs w:val="20"/>
          <w:color w:val="auto"/>
        </w:rPr>
      </w:pPr>
    </w:p>
    <w:p>
      <w:pPr>
        <w:ind w:right="40" w:firstLine="637"/>
        <w:spacing w:after="0" w:line="254" w:lineRule="auto"/>
        <w:rPr>
          <w:sz w:val="20"/>
          <w:szCs w:val="20"/>
          <w:color w:val="auto"/>
        </w:rPr>
      </w:pPr>
      <w:r>
        <w:rPr>
          <w:rFonts w:ascii="Times New Roman" w:cs="Times New Roman" w:eastAsia="Times New Roman" w:hAnsi="Times New Roman"/>
          <w:sz w:val="18"/>
          <w:szCs w:val="18"/>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December 31, 2022 and December 31, 2021, the EVE profile indicates a decline in net balance sheet value due to instantaneous downward changes in rates, compared to an increase resulting from an increase in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Value of Equity Sensitivity</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63"/>
        </w:trPr>
        <w:tc>
          <w:tcPr>
            <w:tcW w:w="4360" w:type="dxa"/>
            <w:vAlign w:val="bottom"/>
          </w:tcPr>
          <w:p>
            <w:pPr>
              <w:spacing w:after="0"/>
              <w:rPr>
                <w:sz w:val="22"/>
                <w:szCs w:val="22"/>
                <w:color w:val="auto"/>
              </w:rPr>
            </w:pPr>
          </w:p>
        </w:tc>
        <w:tc>
          <w:tcPr>
            <w:tcW w:w="306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Instantaneous Rate Change</w:t>
            </w:r>
          </w:p>
        </w:tc>
        <w:tc>
          <w:tcPr>
            <w:tcW w:w="21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200 bp decrease in interest rates</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100 bp decrease in interest rates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6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100 bp increase in interest rates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6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200 bp increase in interest rates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6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300 bp increase in interest rates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6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400 bp increase in interest rates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6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-607060</wp:posOffset>
            </wp:positionV>
            <wp:extent cx="570230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-299085</wp:posOffset>
            </wp:positionV>
            <wp:extent cx="570230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191"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2"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202" w:lineRule="exact"/>
        <w:rPr>
          <w:sz w:val="20"/>
          <w:szCs w:val="20"/>
          <w:color w:val="auto"/>
        </w:rPr>
      </w:pPr>
    </w:p>
    <w:p>
      <w:pPr>
        <w:ind w:right="320" w:firstLine="637"/>
        <w:spacing w:after="0" w:line="265" w:lineRule="auto"/>
        <w:rPr>
          <w:sz w:val="20"/>
          <w:szCs w:val="20"/>
          <w:color w:val="auto"/>
        </w:rPr>
      </w:pPr>
      <w:r>
        <w:rPr>
          <w:rFonts w:ascii="Times New Roman" w:cs="Times New Roman" w:eastAsia="Times New Roman" w:hAnsi="Times New Roman"/>
          <w:sz w:val="18"/>
          <w:szCs w:val="18"/>
          <w:color w:val="auto"/>
        </w:rPr>
        <w:t>Recent developments in the financial markets have placed an increased awareness of Counterparty Risks. These risks occur when a financial institution has an indebtedness or potential for indebtedness to another financial institution. We have assessed our Counterparty Risk with the following results:</w:t>
      </w:r>
    </w:p>
    <w:p>
      <w:pPr>
        <w:spacing w:after="0" w:line="137" w:lineRule="exact"/>
        <w:rPr>
          <w:sz w:val="20"/>
          <w:szCs w:val="20"/>
          <w:color w:val="auto"/>
        </w:rPr>
      </w:pPr>
    </w:p>
    <w:p>
      <w:pPr>
        <w:ind w:left="1520" w:hanging="374"/>
        <w:spacing w:after="0"/>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any investments in the preferred stock of any other company;</w:t>
      </w:r>
    </w:p>
    <w:p>
      <w:pPr>
        <w:spacing w:after="0" w:line="27" w:lineRule="exact"/>
        <w:rPr>
          <w:rFonts w:ascii="Times New Roman" w:cs="Times New Roman" w:eastAsia="Times New Roman" w:hAnsi="Times New Roman"/>
          <w:sz w:val="18"/>
          <w:szCs w:val="18"/>
          <w:color w:val="auto"/>
        </w:rPr>
      </w:pPr>
    </w:p>
    <w:p>
      <w:pPr>
        <w:ind w:left="1520" w:right="320" w:hanging="374"/>
        <w:spacing w:after="0" w:line="250"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investment securities are either municipal securities or securities either issued or guaranteed by government, agencies, including Fannie Mae, Freddie Mac, SBA or FHLB;</w:t>
      </w:r>
    </w:p>
    <w:p>
      <w:pPr>
        <w:ind w:left="1520" w:hanging="374"/>
        <w:spacing w:after="0"/>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commercial line insurance policies are with companies with the highest AM Best ratings of A or above;</w:t>
      </w:r>
    </w:p>
    <w:p>
      <w:pPr>
        <w:spacing w:after="0" w:line="8" w:lineRule="exact"/>
        <w:rPr>
          <w:rFonts w:ascii="Times New Roman" w:cs="Times New Roman" w:eastAsia="Times New Roman" w:hAnsi="Times New Roman"/>
          <w:sz w:val="18"/>
          <w:szCs w:val="18"/>
          <w:color w:val="auto"/>
        </w:rPr>
      </w:pPr>
    </w:p>
    <w:p>
      <w:pPr>
        <w:ind w:left="1520" w:right="940" w:hanging="374"/>
        <w:spacing w:after="0" w:line="250"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significant exposure to our Cash Surrender Value of Life Insurance since the Cash Surrender Value balance is predominately supported by insurance companies that carry an AM Best rating of B+ or greater;</w:t>
      </w:r>
    </w:p>
    <w:p>
      <w:pPr>
        <w:ind w:left="1520" w:right="80" w:hanging="374"/>
        <w:spacing w:after="0" w:line="250"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significant Counterparty exposure related to derivatives such as interest rate swaps. Our Counterparty is a major financial institution and our agreement requires the Counterparty to post cash collateral for mark-to-market balances due to us;</w:t>
      </w:r>
    </w:p>
    <w:p>
      <w:pPr>
        <w:ind w:left="1520" w:right="40" w:hanging="374"/>
        <w:spacing w:after="0" w:line="257"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risk of loss associated with our counterparty borrowers related to interest rate swaps is generally mitigated as the loans with swaps are underwritten to take into account potential additional exposure;</w:t>
      </w:r>
    </w:p>
    <w:p>
      <w:pPr>
        <w:spacing w:after="0" w:line="1" w:lineRule="exact"/>
        <w:rPr>
          <w:rFonts w:ascii="Times New Roman" w:cs="Times New Roman" w:eastAsia="Times New Roman" w:hAnsi="Times New Roman"/>
          <w:sz w:val="18"/>
          <w:szCs w:val="18"/>
          <w:color w:val="auto"/>
        </w:rPr>
      </w:pPr>
    </w:p>
    <w:p>
      <w:pPr>
        <w:ind w:left="1520" w:right="240" w:hanging="374"/>
        <w:spacing w:after="0" w:line="250"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we had $339.0 million in Fed Funds lines of credit with other major U.S. banks. These lines of credit are available for overnight borrowings; and</w:t>
      </w:r>
    </w:p>
    <w:p>
      <w:pPr>
        <w:ind w:left="1520" w:right="360" w:hanging="374"/>
        <w:spacing w:after="0" w:line="260"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2022, we had $995.0 million in short-term borrowings with the FHLB. Our secured borrowing capacity with the FHLB and FRB totaled $4.89 billion, of which $3.85 billion was available as of December 31, 2022.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and Foreign Exchange Risk</w:t>
      </w:r>
    </w:p>
    <w:p>
      <w:pPr>
        <w:spacing w:after="0" w:line="202" w:lineRule="exact"/>
        <w:rPr>
          <w:sz w:val="20"/>
          <w:szCs w:val="20"/>
          <w:color w:val="auto"/>
        </w:rPr>
      </w:pPr>
    </w:p>
    <w:p>
      <w:pPr>
        <w:ind w:right="140" w:firstLine="637"/>
        <w:spacing w:after="0" w:line="281" w:lineRule="auto"/>
        <w:rPr>
          <w:sz w:val="20"/>
          <w:szCs w:val="20"/>
          <w:color w:val="auto"/>
        </w:rPr>
      </w:pPr>
      <w:r>
        <w:rPr>
          <w:rFonts w:ascii="Times New Roman" w:cs="Times New Roman" w:eastAsia="Times New Roman" w:hAnsi="Times New Roman"/>
          <w:sz w:val="18"/>
          <w:szCs w:val="18"/>
          <w:color w:val="auto"/>
        </w:rPr>
        <w:t>Price risk arises from changes in market factors that affect the value of traded instruments. Foreign exchange risk is the risk to earnings or capital arising from movements in foreign exchange rates.</w:t>
      </w:r>
    </w:p>
    <w:p>
      <w:pPr>
        <w:spacing w:after="0" w:line="122" w:lineRule="exact"/>
        <w:rPr>
          <w:sz w:val="20"/>
          <w:szCs w:val="20"/>
          <w:color w:val="auto"/>
        </w:rPr>
      </w:pPr>
    </w:p>
    <w:p>
      <w:pPr>
        <w:ind w:right="620" w:firstLine="637"/>
        <w:spacing w:after="0" w:line="281" w:lineRule="auto"/>
        <w:rPr>
          <w:sz w:val="20"/>
          <w:szCs w:val="20"/>
          <w:color w:val="auto"/>
        </w:rPr>
      </w:pPr>
      <w:r>
        <w:rPr>
          <w:rFonts w:ascii="Times New Roman" w:cs="Times New Roman" w:eastAsia="Times New Roman" w:hAnsi="Times New Roman"/>
          <w:sz w:val="18"/>
          <w:szCs w:val="18"/>
          <w:color w:val="auto"/>
        </w:rPr>
        <w:t>Our current exposure to price risk is nominal. We do not have trading accounts. Consequently, the level of price risk within the investment portfolio is limited to the need to sell securities for reasons other than trading.</w:t>
      </w:r>
    </w:p>
    <w:p>
      <w:pPr>
        <w:spacing w:after="0" w:line="122" w:lineRule="exact"/>
        <w:rPr>
          <w:sz w:val="20"/>
          <w:szCs w:val="20"/>
          <w:color w:val="auto"/>
        </w:rPr>
      </w:pPr>
    </w:p>
    <w:p>
      <w:pPr>
        <w:ind w:firstLine="637"/>
        <w:spacing w:after="0" w:line="281" w:lineRule="auto"/>
        <w:rPr>
          <w:sz w:val="20"/>
          <w:szCs w:val="20"/>
          <w:color w:val="auto"/>
        </w:rPr>
      </w:pPr>
      <w:r>
        <w:rPr>
          <w:rFonts w:ascii="Times New Roman" w:cs="Times New Roman" w:eastAsia="Times New Roman" w:hAnsi="Times New Roman"/>
          <w:sz w:val="18"/>
          <w:szCs w:val="18"/>
          <w:color w:val="auto"/>
        </w:rPr>
        <w:t>We maintain limited deposit accounts with various foreign banks. Our Interbank Liability Policy seeks to limit the balance in any of these accounts to an amount that does not in our judgment present a significant risk to our earnings from changes in the value of foreign currencies.</w:t>
      </w:r>
    </w:p>
    <w:p>
      <w:pPr>
        <w:spacing w:after="0" w:line="136" w:lineRule="exact"/>
        <w:rPr>
          <w:sz w:val="20"/>
          <w:szCs w:val="20"/>
          <w:color w:val="auto"/>
        </w:rPr>
      </w:pPr>
    </w:p>
    <w:p>
      <w:pPr>
        <w:ind w:right="100" w:firstLine="637"/>
        <w:spacing w:after="0" w:line="265" w:lineRule="auto"/>
        <w:rPr>
          <w:sz w:val="20"/>
          <w:szCs w:val="20"/>
          <w:color w:val="auto"/>
        </w:rPr>
      </w:pPr>
      <w:r>
        <w:rPr>
          <w:rFonts w:ascii="Times New Roman" w:cs="Times New Roman" w:eastAsia="Times New Roman" w:hAnsi="Times New Roman"/>
          <w:sz w:val="18"/>
          <w:szCs w:val="18"/>
          <w:color w:val="auto"/>
        </w:rPr>
        <w:t>Our asset liability model seeks to calculate the market value of the Bank’s equity. In addition, management prepares, on a monthly basis, a capital volatility report that compares changes in the market value of the investment portfolio. We have as our target to always be well-capitalized by regulatory standards.</w:t>
      </w:r>
    </w:p>
    <w:p>
      <w:pPr>
        <w:spacing w:after="0" w:line="28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88" w:lineRule="exact"/>
        <w:rPr>
          <w:sz w:val="20"/>
          <w:szCs w:val="20"/>
          <w:color w:val="auto"/>
        </w:rPr>
      </w:pPr>
    </w:p>
    <w:p>
      <w:pPr>
        <w:ind w:right="20" w:firstLine="637"/>
        <w:spacing w:after="0" w:line="253" w:lineRule="auto"/>
        <w:rPr>
          <w:sz w:val="20"/>
          <w:szCs w:val="20"/>
          <w:color w:val="auto"/>
        </w:rPr>
      </w:pPr>
      <w:r>
        <w:rPr>
          <w:rFonts w:ascii="Times New Roman" w:cs="Times New Roman" w:eastAsia="Times New Roman" w:hAnsi="Times New Roman"/>
          <w:sz w:val="18"/>
          <w:szCs w:val="18"/>
          <w:color w:val="auto"/>
        </w:rPr>
        <w:t xml:space="preserve">Market risk is the risk of loss from adverse changes in the market prices and interest rates. Our market risk arises primarily from interest rate risk inherent in our lending and deposit taking activities. We currently do not enter into futures, forwards, or option contracts. LIBOR is expected to be completely phased out by 2023, as such the Company continues to assess the impacts of this transition and exploring alternatives to use in place of LIBOR for various financial instruments, primarily related to our variable-rate loans and interest rate swap derivatives that are indexed to LIBOR. The Bank will use multiple alternative indices as replacements for LIBOR for new instruments originated after 2021.All remaining financial instruments indexed to LIBOR will be transitioned to a replacement index, primarily CME Term SOFR, prior to June 2023. For further quantitative and qualitative disclosures about market risks in our portfolio, see “Asset/Liability Management and Interest Rate Sensitivity Management” included in Item 7 —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the Results of Operations </w:t>
      </w:r>
      <w:r>
        <w:rPr>
          <w:rFonts w:ascii="Times New Roman" w:cs="Times New Roman" w:eastAsia="Times New Roman" w:hAnsi="Times New Roman"/>
          <w:sz w:val="18"/>
          <w:szCs w:val="18"/>
          <w:color w:val="auto"/>
        </w:rPr>
        <w:t>presented elsewhere in this report. Our analysis of market risk and market-sensitive financial information contain forward looking statements and is subject to the disclosure at the beginning of Part I regarding such forward-looking information.</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64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gridSpan w:val="4"/>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rPr>
              <w:t>CVB Financial Corp.</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480" w:type="dxa"/>
            <w:vAlign w:val="bottom"/>
            <w:gridSpan w:val="7"/>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480" w:type="dxa"/>
            <w:vAlign w:val="bottom"/>
            <w:gridSpan w:val="7"/>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and Financial Statement Schedules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70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63"/>
        </w:trPr>
        <w:tc>
          <w:tcPr>
            <w:tcW w:w="20" w:type="dxa"/>
            <w:vAlign w:val="bottom"/>
          </w:tcPr>
          <w:p>
            <w:pPr>
              <w:spacing w:after="0"/>
              <w:rPr>
                <w:sz w:val="22"/>
                <w:szCs w:val="22"/>
                <w:color w:val="auto"/>
              </w:rPr>
            </w:pPr>
          </w:p>
        </w:tc>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4480" w:type="dxa"/>
            <w:vAlign w:val="bottom"/>
            <w:tcBorders>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Balance Sheets — December 31, 2022 and 2021</w:t>
            </w:r>
          </w:p>
        </w:tc>
        <w:tc>
          <w:tcPr>
            <w:tcW w:w="20" w:type="dxa"/>
            <w:vAlign w:val="bottom"/>
            <w:tcBorders>
              <w:bottom w:val="single" w:sz="8" w:color="0000EE"/>
            </w:tcBorders>
          </w:tcPr>
          <w:p>
            <w:pPr>
              <w:spacing w:after="0"/>
              <w:rPr>
                <w:sz w:val="17"/>
                <w:szCs w:val="17"/>
                <w:color w:val="auto"/>
              </w:rPr>
            </w:pPr>
          </w:p>
        </w:tc>
        <w:tc>
          <w:tcPr>
            <w:tcW w:w="6140" w:type="dxa"/>
            <w:vAlign w:val="bottom"/>
            <w:gridSpan w:val="4"/>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84</w:t>
            </w:r>
          </w:p>
        </w:tc>
      </w:tr>
      <w:tr>
        <w:trPr>
          <w:trHeight w:val="223"/>
        </w:trPr>
        <w:tc>
          <w:tcPr>
            <w:tcW w:w="20" w:type="dxa"/>
            <w:vAlign w:val="bottom"/>
          </w:tcPr>
          <w:p>
            <w:pPr>
              <w:spacing w:after="0"/>
              <w:rPr>
                <w:sz w:val="19"/>
                <w:szCs w:val="19"/>
                <w:color w:val="auto"/>
              </w:rPr>
            </w:pPr>
          </w:p>
        </w:tc>
        <w:tc>
          <w:tcPr>
            <w:tcW w:w="85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Earnings and Comprehensive Income — Years Ended December 31, 2022, 2021 and 2020</w:t>
            </w:r>
          </w:p>
        </w:tc>
        <w:tc>
          <w:tcPr>
            <w:tcW w:w="2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20" w:type="dxa"/>
            <w:vAlign w:val="bottom"/>
          </w:tcPr>
          <w:p>
            <w:pPr>
              <w:spacing w:after="0"/>
              <w:rPr>
                <w:sz w:val="19"/>
                <w:szCs w:val="19"/>
                <w:color w:val="auto"/>
              </w:rPr>
            </w:pPr>
          </w:p>
        </w:tc>
        <w:tc>
          <w:tcPr>
            <w:tcW w:w="7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 Three Years Ended December 31, 2022, 2021 and 2020</w:t>
            </w:r>
          </w:p>
        </w:tc>
        <w:tc>
          <w:tcPr>
            <w:tcW w:w="284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20" w:type="dxa"/>
            <w:vAlign w:val="bottom"/>
          </w:tcPr>
          <w:p>
            <w:pPr>
              <w:spacing w:after="0"/>
              <w:rPr>
                <w:sz w:val="19"/>
                <w:szCs w:val="19"/>
                <w:color w:val="auto"/>
              </w:rPr>
            </w:pPr>
          </w:p>
        </w:tc>
        <w:tc>
          <w:tcPr>
            <w:tcW w:w="6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 Years Ended December 31, 2022, 2021 and 2020</w:t>
            </w:r>
          </w:p>
        </w:tc>
        <w:tc>
          <w:tcPr>
            <w:tcW w:w="3980" w:type="dxa"/>
            <w:vAlign w:val="bottom"/>
            <w:gridSpan w:val="3"/>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20" w:type="dxa"/>
            <w:vAlign w:val="bottom"/>
          </w:tcPr>
          <w:p>
            <w:pPr>
              <w:spacing w:after="0"/>
              <w:rPr>
                <w:sz w:val="19"/>
                <w:szCs w:val="19"/>
                <w:color w:val="auto"/>
              </w:rPr>
            </w:pPr>
          </w:p>
        </w:tc>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EE"/>
            </w:tcBorders>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380" w:type="dxa"/>
            <w:vAlign w:val="bottom"/>
            <w:gridSpan w:val="6"/>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211" w:lineRule="exact"/>
        <w:rPr>
          <w:sz w:val="20"/>
          <w:szCs w:val="20"/>
          <w:color w:val="auto"/>
        </w:rPr>
      </w:pPr>
    </w:p>
    <w:p>
      <w:pPr>
        <w:ind w:right="320" w:firstLine="637"/>
        <w:spacing w:after="0" w:line="281"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material or because the information is included in the financial statements or the notes thereto.</w:t>
      </w:r>
    </w:p>
    <w:p>
      <w:pPr>
        <w:spacing w:after="0" w:line="55" w:lineRule="exact"/>
        <w:rPr>
          <w:sz w:val="20"/>
          <w:szCs w:val="20"/>
          <w:color w:val="auto"/>
        </w:rPr>
      </w:pPr>
    </w:p>
    <w:p>
      <w:pPr>
        <w:ind w:right="100" w:firstLine="637"/>
        <w:spacing w:after="0" w:line="281" w:lineRule="auto"/>
        <w:rPr>
          <w:sz w:val="20"/>
          <w:szCs w:val="20"/>
          <w:color w:val="auto"/>
        </w:rPr>
      </w:pPr>
      <w:r>
        <w:rPr>
          <w:rFonts w:ascii="Times New Roman" w:cs="Times New Roman" w:eastAsia="Times New Roman" w:hAnsi="Times New Roman"/>
          <w:sz w:val="18"/>
          <w:szCs w:val="18"/>
          <w:color w:val="auto"/>
        </w:rPr>
        <w:t xml:space="preserve">For information about the location of management’s annual reports on internal control, our financial reporting and the audit report of KPMG LLP thereon. See “Item 9A.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4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84" w:lineRule="exact"/>
        <w:rPr>
          <w:sz w:val="20"/>
          <w:szCs w:val="20"/>
          <w:color w:val="auto"/>
        </w:rPr>
      </w:pPr>
    </w:p>
    <w:p>
      <w:pPr>
        <w:ind w:left="500" w:hanging="365"/>
        <w:spacing w:after="0"/>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40" w:firstLine="637"/>
        <w:spacing w:after="0" w:line="258" w:lineRule="auto"/>
        <w:rPr>
          <w:sz w:val="20"/>
          <w:szCs w:val="20"/>
          <w:color w:val="auto"/>
        </w:rPr>
      </w:pPr>
      <w:r>
        <w:rPr>
          <w:rFonts w:ascii="Times New Roman" w:cs="Times New Roman" w:eastAsia="Times New Roman" w:hAnsi="Times New Roman"/>
          <w:sz w:val="18"/>
          <w:szCs w:val="18"/>
          <w:color w:val="auto"/>
        </w:rPr>
        <w:t>Management of CVB Financial Corp., together with its consolidated subsidiaries (the “Company”), is responsible for establishing and maintaining adequate internal control over financial reporting. The Company’s internal control over financial reporting is a process designed by, or under the supervision of, the Company’s principal executive and principal financial officers to provide reasonable assurance regarding the reliability of financial reporting and the preparation of the Company’s financial statements for external reporting purposes in accordance with U.S. generally accepted accounting principles.</w:t>
      </w:r>
    </w:p>
    <w:p>
      <w:pPr>
        <w:spacing w:after="0" w:line="74" w:lineRule="exact"/>
        <w:rPr>
          <w:sz w:val="20"/>
          <w:szCs w:val="20"/>
          <w:color w:val="auto"/>
        </w:rPr>
      </w:pPr>
    </w:p>
    <w:p>
      <w:pPr>
        <w:ind w:right="80" w:firstLine="637"/>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74" w:lineRule="exact"/>
        <w:rPr>
          <w:sz w:val="20"/>
          <w:szCs w:val="20"/>
          <w:color w:val="auto"/>
        </w:rPr>
      </w:pPr>
    </w:p>
    <w:p>
      <w:pPr>
        <w:ind w:right="140" w:firstLine="637"/>
        <w:spacing w:after="0" w:line="258" w:lineRule="auto"/>
        <w:rPr>
          <w:sz w:val="20"/>
          <w:szCs w:val="20"/>
          <w:color w:val="auto"/>
        </w:rPr>
      </w:pPr>
      <w:r>
        <w:rPr>
          <w:rFonts w:ascii="Times New Roman" w:cs="Times New Roman" w:eastAsia="Times New Roman" w:hAnsi="Times New Roman"/>
          <w:sz w:val="18"/>
          <w:szCs w:val="18"/>
          <w:color w:val="auto"/>
        </w:rPr>
        <w:t>As of December 31, 2022, management conducted an assessment of the effectiveness of the Company’s internal control over financial reporting based on the framework established in Internal Control — Integrated Framework (2013) issued by the Committee of Sponsoring Organizations of the Treadway Commission (COSO). Based on this assessment, management has determined that the Company’s internal control over financial reporting as of December 31, 2022 is effective. KPMG LLP, an independent registered public accounting firm, has issued their report on the effectiveness of internal control over financial reporting as of December 31, 2022.</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5" w:name="page76"/>
    <w:bookmarkEnd w:id="75"/>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 attestation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have audited CVB Financial Corp.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171"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2022 and 2021, the related consolidated statements of earnings and comprehensive income, stockholders’ equity, and cash flows for each of the years in the three-year period ended December 31, 2022, and the related notes (collectively, the consolidated financial statements), and our report dated February 28, 2023 expressed an unqualified opinion on those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6" w:name="page77"/>
    <w:bookmarkEnd w:id="76"/>
    <w:p>
      <w:pPr>
        <w:ind w:left="360" w:hanging="352"/>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 Changes in Internal Control over Financial Reporting</w:t>
      </w:r>
    </w:p>
    <w:p>
      <w:pPr>
        <w:spacing w:after="0" w:line="188" w:lineRule="exact"/>
        <w:rPr>
          <w:sz w:val="20"/>
          <w:szCs w:val="20"/>
          <w:color w:val="auto"/>
        </w:rPr>
      </w:pPr>
    </w:p>
    <w:p>
      <w:pPr>
        <w:jc w:val="both"/>
        <w:ind w:right="100" w:firstLine="637"/>
        <w:spacing w:after="0" w:line="258" w:lineRule="auto"/>
        <w:rPr>
          <w:sz w:val="20"/>
          <w:szCs w:val="20"/>
          <w:color w:val="auto"/>
        </w:rPr>
      </w:pPr>
      <w:r>
        <w:rPr>
          <w:rFonts w:ascii="Times New Roman" w:cs="Times New Roman" w:eastAsia="Times New Roman" w:hAnsi="Times New Roman"/>
          <w:sz w:val="18"/>
          <w:szCs w:val="18"/>
          <w:color w:val="auto"/>
        </w:rPr>
        <w:t>We maintain controls and procedures designed to ensure that information required to be disclosed by us in reports that we file or submit under the Securities Exchange Act of 1934, as amended (the “Exchange Act”), is recorded, processed, summarized and reported within the time periods specified in SEC rules and forms. Such information is reported to our management, including our Chief Executive Officer and Chief Financial Officer to allow timely and accurate disclosure based on the definition of “disclosure controls and procedures” in SEC Rule 13a-15(e) and 15d-15(e) promulgated pursuant to the Exchange Act.</w:t>
      </w:r>
    </w:p>
    <w:p>
      <w:pPr>
        <w:spacing w:after="0" w:line="155"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our disclosure controls and procedures under the supervision and with the participation of our management, including our Chief Executive Officer and the Chief Financial Officer. Based on the foregoing, our Chief Executive Officer and the Chief Financial Officer concluded that our disclosure controls and procedures are effective as of the end of the period covered by this report.</w:t>
      </w:r>
    </w:p>
    <w:p>
      <w:pPr>
        <w:spacing w:after="0" w:line="141" w:lineRule="exact"/>
        <w:rPr>
          <w:sz w:val="20"/>
          <w:szCs w:val="20"/>
          <w:color w:val="auto"/>
        </w:rPr>
      </w:pPr>
    </w:p>
    <w:p>
      <w:pPr>
        <w:ind w:right="80" w:firstLine="637"/>
        <w:spacing w:after="0" w:line="281" w:lineRule="auto"/>
        <w:rPr>
          <w:sz w:val="20"/>
          <w:szCs w:val="20"/>
          <w:color w:val="auto"/>
        </w:rPr>
      </w:pPr>
      <w:r>
        <w:rPr>
          <w:rFonts w:ascii="Times New Roman" w:cs="Times New Roman" w:eastAsia="Times New Roman" w:hAnsi="Times New Roman"/>
          <w:sz w:val="18"/>
          <w:szCs w:val="18"/>
          <w:color w:val="auto"/>
        </w:rPr>
        <w:t>During the fiscal quarter ended December 31, 2022, there have been no changes in our internal control over financial reporting that has materially affected or is reasonably likely to materially affect our internal control over financial reporting.</w:t>
      </w:r>
    </w:p>
    <w:p>
      <w:pPr>
        <w:spacing w:after="0" w:line="3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88" w:lineRule="exact"/>
        <w:rPr>
          <w:sz w:val="20"/>
          <w:szCs w:val="20"/>
          <w:color w:val="auto"/>
        </w:rPr>
      </w:pPr>
    </w:p>
    <w:p>
      <w:pPr>
        <w:ind w:right="60" w:firstLine="637"/>
        <w:spacing w:after="0" w:line="260" w:lineRule="auto"/>
        <w:rPr>
          <w:sz w:val="20"/>
          <w:szCs w:val="20"/>
          <w:color w:val="auto"/>
        </w:rPr>
      </w:pPr>
      <w:r>
        <w:rPr>
          <w:rFonts w:ascii="Times New Roman" w:cs="Times New Roman" w:eastAsia="Times New Roman" w:hAnsi="Times New Roman"/>
          <w:sz w:val="18"/>
          <w:szCs w:val="18"/>
          <w:color w:val="auto"/>
        </w:rPr>
        <w:t>On February 22, 2023, the Board of Directors of CVB Financial Corp. (“Company”) adopted the 2023 Executive Incentive Plan (“2023 Plan”) which was intended to replace the Company’s prior 2015 Executive Plan (“2015 Plan”). The primary purpose of both the 2015 Plan and 2023 Plan (each a “Plan” and, collectively, the “Plans”) is to set forth the relevant business criteria, metrics and parameters for the formulation of group or individual cash performance compensation plans for the Company’s executives.</w:t>
      </w:r>
    </w:p>
    <w:p>
      <w:pPr>
        <w:spacing w:after="0" w:line="141"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The Board of Directors adopted the 2023 Plan in replacement of the 2015 Plan in order to eliminate Plan references to, and Plan provisions related to compliance with, the terms of Section 162(m) of the Internal Revenue Code, which had previously set forth requirements relating to tax deductibility for performance-based compensation in excess of $1 million to any individual for any fiscal year. As a result of amendments made to Section 162(m) by the federal Tax Cuts and Jobs Act of 2017, and corresponding legislation adopted by the State of California in 2019, performance-based compensation is no longer exempt from the $1 million limit on corporate deductibility of compensation, so the provisions of the 2015 Plan relating to compliance with Section 162(m) were no longer relevant.</w:t>
      </w:r>
    </w:p>
    <w:p>
      <w:pPr>
        <w:spacing w:after="0" w:line="159" w:lineRule="exact"/>
        <w:rPr>
          <w:sz w:val="20"/>
          <w:szCs w:val="20"/>
          <w:color w:val="auto"/>
        </w:rPr>
      </w:pPr>
    </w:p>
    <w:p>
      <w:pPr>
        <w:ind w:right="40" w:firstLine="637"/>
        <w:spacing w:after="0" w:line="271" w:lineRule="auto"/>
        <w:rPr>
          <w:sz w:val="20"/>
          <w:szCs w:val="20"/>
          <w:color w:val="auto"/>
        </w:rPr>
      </w:pPr>
      <w:r>
        <w:rPr>
          <w:rFonts w:ascii="Times New Roman" w:cs="Times New Roman" w:eastAsia="Times New Roman" w:hAnsi="Times New Roman"/>
          <w:sz w:val="17"/>
          <w:szCs w:val="17"/>
          <w:color w:val="auto"/>
        </w:rPr>
        <w:t>In addition, in connection with modifying and updating its 2015 Plan, the Company has made several other changes in its 2023 Plan, including (i) deleting the fixed dollar maximum annual amount payable to any individual executive, which had been a requirement for performance-based compensation treatment under Section 162(m), (ii) specifying, as a range, the percentage payable as incentive compensation to a Plan participant from 10% to 200% of such participant’s base salary for the year in question, (iii) revising the list of business criteria used to formulate the objective metrics pursuant to which incentive compensation is payable to individual executives, and (iv) removing the requirement for shareholder approval of the Plan which was previously mandated by Section 162(m). “Business criteria” set forth in the 2023 Plan include, but are not limited to, total revenue, deposit growth, earnings per share, average demand deposits, average total loans, noninterest income, operating expense, net profit after tax, return on assets, return on common equity and organizational metrics. Business criteria may differ from 2023 Plan participant to participant and from annual award to annual award.</w:t>
      </w:r>
    </w:p>
    <w:p>
      <w:pPr>
        <w:spacing w:after="0" w:line="135" w:lineRule="exact"/>
        <w:rPr>
          <w:sz w:val="20"/>
          <w:szCs w:val="20"/>
          <w:color w:val="auto"/>
        </w:rPr>
      </w:pPr>
    </w:p>
    <w:p>
      <w:pPr>
        <w:ind w:right="80" w:firstLine="637"/>
        <w:spacing w:after="0" w:line="281"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form of the 2023 Plan, a copy of which is included with this Form 10-K as Exhibit 10.12 and incorporated herein by reference.</w:t>
      </w:r>
    </w:p>
    <w:p>
      <w:pPr>
        <w:spacing w:after="0" w:line="3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7" w:name="page78"/>
    <w:bookmarkEnd w:id="77"/>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02" w:lineRule="exact"/>
        <w:rPr>
          <w:sz w:val="20"/>
          <w:szCs w:val="20"/>
          <w:color w:val="auto"/>
        </w:rPr>
      </w:pPr>
    </w:p>
    <w:p>
      <w:pPr>
        <w:ind w:firstLine="637"/>
        <w:spacing w:after="0" w:line="258" w:lineRule="auto"/>
        <w:rPr>
          <w:sz w:val="20"/>
          <w:szCs w:val="20"/>
          <w:color w:val="auto"/>
        </w:rPr>
      </w:pPr>
      <w:r>
        <w:rPr>
          <w:rFonts w:ascii="Times New Roman" w:cs="Times New Roman" w:eastAsia="Times New Roman" w:hAnsi="Times New Roman"/>
          <w:sz w:val="18"/>
          <w:szCs w:val="18"/>
          <w:color w:val="auto"/>
        </w:rPr>
        <w:t>Except as hereinafter noted, the information concerning directors and executive officers of the Company, corporate governance and our audit committee financial experts is incorporated by reference from the section entitled “Discussion of Proposals recommended by the Board — Proposal 1: Election of Directors” and “Beneficial Ownership Reporting Compliance,” “Corporate Governance Principles and Board Matters,” and “Audit Committee” of our definitive Proxy Statement to be filed pursuant to Regulation 14A within 120 days after the end of the last fiscal year. For information concerning the executive officers of the Company, see Item I of Part I hereto.</w:t>
      </w:r>
    </w:p>
    <w:p>
      <w:pPr>
        <w:spacing w:after="0" w:line="141" w:lineRule="exact"/>
        <w:rPr>
          <w:sz w:val="20"/>
          <w:szCs w:val="20"/>
          <w:color w:val="auto"/>
        </w:rPr>
      </w:pPr>
    </w:p>
    <w:p>
      <w:pPr>
        <w:ind w:right="120" w:firstLine="637"/>
        <w:spacing w:after="0" w:line="256" w:lineRule="auto"/>
        <w:rPr>
          <w:sz w:val="20"/>
          <w:szCs w:val="20"/>
          <w:color w:val="auto"/>
        </w:rPr>
      </w:pPr>
      <w:r>
        <w:rPr>
          <w:rFonts w:ascii="Times New Roman" w:cs="Times New Roman" w:eastAsia="Times New Roman" w:hAnsi="Times New Roman"/>
          <w:sz w:val="18"/>
          <w:szCs w:val="18"/>
          <w:color w:val="auto"/>
        </w:rPr>
        <w:t>The Company has adopted a Code of Ethics that applies to all of the Company’s employees, including the Company’s principal executive officer, the principal financial officer, accounting officers, and all employees who perform these functions. A copy of the Code of Ethics is available to any person without charge by submitting a request to the Company’s Chief Financial Officer at 701 N. Haven Avenue, Suite 350, Ontario, CA 91764. If the Company shall amend its Code of Ethics as it applies to the principal executive officer, principal financial officer, principal accounting officer or controller (or persons performing similar functions) or shall grant a waiver from any provision of the code of ethics to any such person, the Company shall disclose such amendment or waiver on its website at www.cbbank.com under the tab “Investor Relations.”</w:t>
      </w:r>
    </w:p>
    <w:p>
      <w:pPr>
        <w:spacing w:after="0" w:line="33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88" w:lineRule="exact"/>
        <w:rPr>
          <w:sz w:val="20"/>
          <w:szCs w:val="20"/>
          <w:color w:val="auto"/>
        </w:rPr>
      </w:pPr>
    </w:p>
    <w:p>
      <w:pPr>
        <w:ind w:right="20" w:firstLine="637"/>
        <w:spacing w:after="0" w:line="265" w:lineRule="auto"/>
        <w:rPr>
          <w:sz w:val="20"/>
          <w:szCs w:val="20"/>
          <w:color w:val="auto"/>
        </w:rPr>
      </w:pPr>
      <w:r>
        <w:rPr>
          <w:rFonts w:ascii="Times New Roman" w:cs="Times New Roman" w:eastAsia="Times New Roman" w:hAnsi="Times New Roman"/>
          <w:sz w:val="18"/>
          <w:szCs w:val="18"/>
          <w:color w:val="auto"/>
        </w:rPr>
        <w:t>Information concerning management remuneration and transactions is incorporated by reference from the section entitled “Election of Directors” and “Executive Compensation — Certain Relationships and Related Transactions” of our definitive Proxy Statement to be filed pursuant to Regulation 14A within 120 days after the end of the last fiscal year.</w:t>
      </w:r>
    </w:p>
    <w:p>
      <w:pPr>
        <w:spacing w:after="0" w:line="281" w:lineRule="exact"/>
        <w:rPr>
          <w:sz w:val="20"/>
          <w:szCs w:val="20"/>
          <w:color w:val="auto"/>
        </w:rPr>
      </w:pPr>
    </w:p>
    <w:p>
      <w:pPr>
        <w:ind w:left="1080" w:right="660" w:hanging="13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17" w:lineRule="exact"/>
        <w:rPr>
          <w:sz w:val="20"/>
          <w:szCs w:val="20"/>
          <w:color w:val="auto"/>
        </w:rPr>
      </w:pPr>
    </w:p>
    <w:p>
      <w:pPr>
        <w:ind w:right="500" w:firstLine="637"/>
        <w:spacing w:after="0" w:line="281"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2022 relating to our equity compensation plans pursuant to which grants of options, restricted stock, or other rights to acquire shares may be granted from time to time.</w:t>
      </w:r>
    </w:p>
    <w:p>
      <w:pPr>
        <w:spacing w:after="0" w:line="1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7" w:lineRule="exact"/>
        <w:rPr>
          <w:sz w:val="20"/>
          <w:szCs w:val="20"/>
          <w:color w:val="auto"/>
        </w:rPr>
      </w:pPr>
    </w:p>
    <w:p>
      <w:pPr>
        <w:ind w:left="300" w:right="200" w:hanging="107"/>
        <w:spacing w:after="0" w:line="241" w:lineRule="auto"/>
        <w:rPr>
          <w:sz w:val="20"/>
          <w:szCs w:val="20"/>
          <w:color w:val="auto"/>
        </w:rPr>
      </w:pPr>
      <w:r>
        <w:rPr>
          <w:rFonts w:ascii="Times New Roman" w:cs="Times New Roman" w:eastAsia="Times New Roman" w:hAnsi="Times New Roman"/>
          <w:sz w:val="14"/>
          <w:szCs w:val="14"/>
          <w:color w:val="auto"/>
        </w:rPr>
        <w:t>Equity compensation plans approved by security holders</w:t>
      </w:r>
    </w:p>
    <w:p>
      <w:pPr>
        <w:ind w:left="300" w:right="160" w:hanging="107"/>
        <w:spacing w:after="0" w:line="241" w:lineRule="auto"/>
        <w:rPr>
          <w:sz w:val="20"/>
          <w:szCs w:val="20"/>
          <w:color w:val="auto"/>
        </w:rPr>
      </w:pPr>
      <w:r>
        <w:rPr>
          <w:rFonts w:ascii="Times New Roman" w:cs="Times New Roman" w:eastAsia="Times New Roman" w:hAnsi="Times New Roman"/>
          <w:sz w:val="14"/>
          <w:szCs w:val="14"/>
          <w:color w:val="auto"/>
        </w:rPr>
        <w:t>Equity compensation plans not approved by security holders</w:t>
      </w:r>
    </w:p>
    <w:p>
      <w:pPr>
        <w:ind w:left="38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1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87"/>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 (a)</w:t>
            </w:r>
          </w:p>
        </w:tc>
        <w:tc>
          <w:tcPr>
            <w:tcW w:w="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and Rights (b)</w:t>
            </w:r>
          </w:p>
        </w:tc>
        <w:tc>
          <w:tcPr>
            <w:tcW w:w="30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 (c)</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490,133</w:t>
            </w:r>
          </w:p>
        </w:tc>
        <w:tc>
          <w:tcPr>
            <w:tcW w:w="48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 (2)</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19.25  </w:t>
            </w:r>
            <w:r>
              <w:rPr>
                <w:rFonts w:ascii="Times New Roman" w:cs="Times New Roman" w:eastAsia="Times New Roman" w:hAnsi="Times New Roman"/>
                <w:sz w:val="8"/>
                <w:szCs w:val="8"/>
                <w:color w:val="auto"/>
              </w:rPr>
              <w:t>(3)</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5,476,877  </w:t>
            </w: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309"/>
        </w:trPr>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490,133</w:t>
            </w:r>
          </w:p>
        </w:tc>
        <w:tc>
          <w:tcPr>
            <w:tcW w:w="4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300" w:type="dxa"/>
            <w:vAlign w:val="bottom"/>
          </w:tcPr>
          <w:p>
            <w:pPr>
              <w:spacing w:after="0"/>
              <w:rPr>
                <w:sz w:val="14"/>
                <w:szCs w:val="14"/>
                <w:color w:val="auto"/>
              </w:rPr>
            </w:pPr>
          </w:p>
        </w:tc>
        <w:tc>
          <w:tcPr>
            <w:tcW w:w="2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5,476,877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-547370</wp:posOffset>
            </wp:positionV>
            <wp:extent cx="7132320" cy="2057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-136525</wp:posOffset>
            </wp:positionV>
            <wp:extent cx="713232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700" w:space="720"/>
            <w:col w:w="7820"/>
          </w:cols>
          <w:pgMar w:left="320" w:top="333" w:right="339" w:bottom="1440" w:gutter="0" w:footer="0" w:header="0"/>
          <w:type w:val="continuous"/>
        </w:sectPr>
      </w:pPr>
    </w:p>
    <w:p>
      <w:pPr>
        <w:ind w:left="720" w:hanging="203"/>
        <w:spacing w:after="0"/>
        <w:tabs>
          <w:tab w:leader="none" w:pos="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172,313 performance-based restricted stock units. There are no restricted stock units outstanding.</w:t>
      </w:r>
    </w:p>
    <w:p>
      <w:pPr>
        <w:spacing w:after="0" w:line="3" w:lineRule="exact"/>
        <w:rPr>
          <w:rFonts w:ascii="Times New Roman" w:cs="Times New Roman" w:eastAsia="Times New Roman" w:hAnsi="Times New Roman"/>
          <w:sz w:val="14"/>
          <w:szCs w:val="14"/>
          <w:color w:val="auto"/>
        </w:rPr>
      </w:pPr>
    </w:p>
    <w:p>
      <w:pPr>
        <w:ind w:left="520" w:right="40" w:hanging="3"/>
        <w:spacing w:after="0" w:line="221" w:lineRule="auto"/>
        <w:tabs>
          <w:tab w:leader="none" w:pos="7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shares issued upon vesting of performance-based units vest at 100% of target number of units. Actual number of shares issued on vesting of performance units could be zero to 125% of the target number of units.</w:t>
      </w:r>
    </w:p>
    <w:p>
      <w:pPr>
        <w:ind w:left="720" w:hanging="203"/>
        <w:spacing w:after="0"/>
        <w:tabs>
          <w:tab w:leader="none" w:pos="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exercise price of outstanding options; excludes restricted stock units and performance-based restricted stock units.</w:t>
      </w:r>
    </w:p>
    <w:p>
      <w:pPr>
        <w:spacing w:after="0" w:line="191" w:lineRule="exact"/>
        <w:rPr>
          <w:sz w:val="20"/>
          <w:szCs w:val="20"/>
          <w:color w:val="auto"/>
        </w:rPr>
      </w:pPr>
    </w:p>
    <w:p>
      <w:pPr>
        <w:ind w:right="240" w:firstLine="644"/>
        <w:spacing w:after="0" w:line="281" w:lineRule="auto"/>
        <w:rPr>
          <w:sz w:val="20"/>
          <w:szCs w:val="20"/>
          <w:color w:val="auto"/>
        </w:rPr>
      </w:pPr>
      <w:r>
        <w:rPr>
          <w:rFonts w:ascii="Times New Roman" w:cs="Times New Roman" w:eastAsia="Times New Roman" w:hAnsi="Times New Roman"/>
          <w:sz w:val="18"/>
          <w:szCs w:val="18"/>
          <w:color w:val="auto"/>
        </w:rPr>
        <w:t>Information concerning security ownership of certain beneficial owners and management is incorporated by reference from the sections entitled “Stock Ownership” of our definitive Proxy Statement to be filed pursuant to Regulation 14A within 120 days after the end of the last fiscal year.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8" w:name="page79"/>
    <w:bookmarkEnd w:id="7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02" w:lineRule="exact"/>
        <w:rPr>
          <w:sz w:val="20"/>
          <w:szCs w:val="20"/>
          <w:color w:val="auto"/>
        </w:rPr>
      </w:pPr>
    </w:p>
    <w:p>
      <w:pPr>
        <w:ind w:right="360" w:firstLine="637"/>
        <w:spacing w:after="0" w:line="288" w:lineRule="auto"/>
        <w:rPr>
          <w:sz w:val="20"/>
          <w:szCs w:val="20"/>
          <w:color w:val="auto"/>
        </w:rPr>
      </w:pPr>
      <w:r>
        <w:rPr>
          <w:rFonts w:ascii="Times New Roman" w:cs="Times New Roman" w:eastAsia="Times New Roman" w:hAnsi="Times New Roman"/>
          <w:sz w:val="17"/>
          <w:szCs w:val="17"/>
          <w:color w:val="auto"/>
        </w:rPr>
        <w:t>Information concerning certain relationships and related transactions with management and others and information regarding director independence is incorporated by reference from the section entitled “Executive Compensation — Certain Relationships and Related Transactions” and “Director Independence” of our definitive Proxy Statement to be filed pursuant to Regulation 14A within 120 days after the end of the last fiscal year.</w:t>
      </w:r>
    </w:p>
    <w:p>
      <w:pPr>
        <w:spacing w:after="0" w:line="200" w:lineRule="exact"/>
        <w:rPr>
          <w:sz w:val="20"/>
          <w:szCs w:val="20"/>
          <w:color w:val="auto"/>
        </w:rPr>
      </w:pPr>
    </w:p>
    <w:p>
      <w:pPr>
        <w:spacing w:after="0" w:line="3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88" w:lineRule="exact"/>
        <w:rPr>
          <w:sz w:val="20"/>
          <w:szCs w:val="20"/>
          <w:color w:val="auto"/>
        </w:rPr>
      </w:pPr>
    </w:p>
    <w:p>
      <w:pPr>
        <w:jc w:val="both"/>
        <w:ind w:firstLine="637"/>
        <w:spacing w:after="0" w:line="265" w:lineRule="auto"/>
        <w:rPr>
          <w:sz w:val="20"/>
          <w:szCs w:val="20"/>
          <w:color w:val="auto"/>
        </w:rPr>
      </w:pPr>
      <w:r>
        <w:rPr>
          <w:rFonts w:ascii="Times New Roman" w:cs="Times New Roman" w:eastAsia="Times New Roman" w:hAnsi="Times New Roman"/>
          <w:sz w:val="18"/>
          <w:szCs w:val="18"/>
          <w:color w:val="auto"/>
        </w:rPr>
        <w:t>Information concerning principal accounting fees and services is incorporated by reference from the section entitled “Ratification of Appointment of Independent Public Accountants” of our definitive Proxy Statement to be filed pursuant to Regulation 14A within 120 days after the end of the last fiscal year.</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6" w:right="379" w:bottom="1440" w:gutter="0" w:footer="0" w:header="0"/>
        </w:sectPr>
      </w:pPr>
    </w:p>
    <w:bookmarkStart w:id="79" w:name="page80"/>
    <w:bookmarkEnd w:id="79"/>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97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(1)   All Financial Statements</w:t>
            </w:r>
          </w:p>
        </w:tc>
      </w:tr>
      <w:tr>
        <w:trPr>
          <w:trHeight w:val="194"/>
        </w:trPr>
        <w:tc>
          <w:tcPr>
            <w:tcW w:w="480" w:type="dxa"/>
            <w:vAlign w:val="bottom"/>
          </w:tcPr>
          <w:p>
            <w:pPr>
              <w:spacing w:after="0"/>
              <w:rPr>
                <w:sz w:val="16"/>
                <w:szCs w:val="16"/>
                <w:color w:val="auto"/>
              </w:rPr>
            </w:pPr>
          </w:p>
        </w:tc>
        <w:tc>
          <w:tcPr>
            <w:tcW w:w="9780" w:type="dxa"/>
            <w:vAlign w:val="bottom"/>
            <w:gridSpan w:val="3"/>
          </w:tcPr>
          <w:p>
            <w:pPr>
              <w:ind w:left="700"/>
              <w:spacing w:after="0" w:line="194" w:lineRule="exact"/>
              <w:rPr>
                <w:sz w:val="20"/>
                <w:szCs w:val="20"/>
                <w:color w:val="auto"/>
              </w:rPr>
            </w:pPr>
            <w:r>
              <w:rPr>
                <w:rFonts w:ascii="Times New Roman" w:cs="Times New Roman" w:eastAsia="Times New Roman" w:hAnsi="Times New Roman"/>
                <w:sz w:val="18"/>
                <w:szCs w:val="18"/>
                <w:color w:val="auto"/>
                <w:w w:val="99"/>
              </w:rPr>
              <w:t xml:space="preserve">Reference is made to the Index to Financial Statements on page </w:t>
            </w:r>
            <w:r>
              <w:rPr>
                <w:rFonts w:ascii="Times New Roman" w:cs="Times New Roman" w:eastAsia="Times New Roman" w:hAnsi="Times New Roman"/>
                <w:sz w:val="18"/>
                <w:szCs w:val="18"/>
                <w:color w:val="0000FF"/>
                <w:w w:val="99"/>
              </w:rPr>
              <w:t>74</w:t>
            </w:r>
            <w:r>
              <w:rPr>
                <w:rFonts w:ascii="Times New Roman" w:cs="Times New Roman" w:eastAsia="Times New Roman" w:hAnsi="Times New Roman"/>
                <w:sz w:val="18"/>
                <w:szCs w:val="18"/>
                <w:color w:val="auto"/>
                <w:w w:val="99"/>
              </w:rPr>
              <w:t xml:space="preserve"> for a list of financial statements filed as part of this Annual</w:t>
            </w:r>
          </w:p>
        </w:tc>
      </w:tr>
      <w:tr>
        <w:trPr>
          <w:trHeight w:val="236"/>
        </w:trPr>
        <w:tc>
          <w:tcPr>
            <w:tcW w:w="480" w:type="dxa"/>
            <w:vAlign w:val="bottom"/>
          </w:tcPr>
          <w:p>
            <w:pPr>
              <w:spacing w:after="0"/>
              <w:rPr>
                <w:sz w:val="20"/>
                <w:szCs w:val="20"/>
                <w:color w:val="auto"/>
              </w:rPr>
            </w:pPr>
          </w:p>
        </w:tc>
        <w:tc>
          <w:tcPr>
            <w:tcW w:w="5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Report on Form 10-K.</w:t>
            </w:r>
          </w:p>
        </w:tc>
        <w:tc>
          <w:tcPr>
            <w:tcW w:w="180" w:type="dxa"/>
            <w:vAlign w:val="bottom"/>
            <w:tcBorders>
              <w:top w:val="single" w:sz="8" w:color="0000FF"/>
            </w:tcBorders>
          </w:tcPr>
          <w:p>
            <w:pPr>
              <w:spacing w:after="0"/>
              <w:rPr>
                <w:sz w:val="20"/>
                <w:szCs w:val="20"/>
                <w:color w:val="auto"/>
              </w:rPr>
            </w:pPr>
          </w:p>
        </w:tc>
        <w:tc>
          <w:tcPr>
            <w:tcW w:w="4280" w:type="dxa"/>
            <w:vAlign w:val="bottom"/>
          </w:tcPr>
          <w:p>
            <w:pPr>
              <w:spacing w:after="0"/>
              <w:rPr>
                <w:sz w:val="20"/>
                <w:szCs w:val="20"/>
                <w:color w:val="auto"/>
              </w:rPr>
            </w:pPr>
          </w:p>
        </w:tc>
      </w:tr>
    </w:tbl>
    <w:p>
      <w:pPr>
        <w:spacing w:after="0" w:line="247" w:lineRule="exact"/>
        <w:rPr>
          <w:sz w:val="20"/>
          <w:szCs w:val="20"/>
          <w:color w:val="auto"/>
        </w:rPr>
      </w:pPr>
    </w:p>
    <w:p>
      <w:pPr>
        <w:ind w:left="1760" w:hanging="444"/>
        <w:spacing w:after="0"/>
        <w:tabs>
          <w:tab w:leader="none" w:pos="1760" w:val="left"/>
        </w:tabs>
        <w:numPr>
          <w:ilvl w:val="1"/>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31" w:lineRule="exact"/>
        <w:rPr>
          <w:rFonts w:ascii="Times New Roman" w:cs="Times New Roman" w:eastAsia="Times New Roman" w:hAnsi="Times New Roman"/>
          <w:sz w:val="18"/>
          <w:szCs w:val="18"/>
          <w:b w:val="1"/>
          <w:bCs w:val="1"/>
          <w:i w:val="1"/>
          <w:iCs w:val="1"/>
          <w:color w:val="auto"/>
        </w:rPr>
      </w:pPr>
    </w:p>
    <w:p>
      <w:pPr>
        <w:ind w:left="176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Reference is made to the Index to Financial Statements on page </w:t>
      </w:r>
      <w:r>
        <w:rPr>
          <w:rFonts w:ascii="Times New Roman" w:cs="Times New Roman" w:eastAsia="Times New Roman" w:hAnsi="Times New Roman"/>
          <w:sz w:val="18"/>
          <w:szCs w:val="18"/>
          <w:color w:val="0000FF"/>
        </w:rPr>
        <w:t>74</w:t>
      </w:r>
      <w:r>
        <w:rPr>
          <w:rFonts w:ascii="Times New Roman" w:cs="Times New Roman" w:eastAsia="Times New Roman" w:hAnsi="Times New Roman"/>
          <w:sz w:val="18"/>
          <w:szCs w:val="18"/>
          <w:color w:val="auto"/>
        </w:rPr>
        <w:t xml:space="preserve"> for the listing of supplementary financial statement schedules required by this item.</w:t>
      </w:r>
    </w:p>
    <w:p>
      <w:pPr>
        <w:spacing w:after="0" w:line="230" w:lineRule="exact"/>
        <w:rPr>
          <w:rFonts w:ascii="Times New Roman" w:cs="Times New Roman" w:eastAsia="Times New Roman" w:hAnsi="Times New Roman"/>
          <w:sz w:val="18"/>
          <w:szCs w:val="18"/>
          <w:b w:val="1"/>
          <w:bCs w:val="1"/>
          <w:i w:val="1"/>
          <w:iCs w:val="1"/>
          <w:color w:val="auto"/>
        </w:rPr>
      </w:pPr>
    </w:p>
    <w:p>
      <w:pPr>
        <w:ind w:left="1760" w:hanging="444"/>
        <w:spacing w:after="0"/>
        <w:tabs>
          <w:tab w:leader="none" w:pos="1760" w:val="left"/>
        </w:tabs>
        <w:numPr>
          <w:ilvl w:val="1"/>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31" w:lineRule="exact"/>
        <w:rPr>
          <w:rFonts w:ascii="Times New Roman" w:cs="Times New Roman" w:eastAsia="Times New Roman" w:hAnsi="Times New Roman"/>
          <w:sz w:val="18"/>
          <w:szCs w:val="18"/>
          <w:b w:val="1"/>
          <w:bCs w:val="1"/>
          <w:i w:val="1"/>
          <w:iCs w:val="1"/>
          <w:color w:val="auto"/>
        </w:rPr>
      </w:pPr>
    </w:p>
    <w:p>
      <w:pPr>
        <w:ind w:left="17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The listing of exhibits required by this item is set forth in the Index to Exhibits on page </w:t>
      </w:r>
      <w:r>
        <w:rPr>
          <w:rFonts w:ascii="Times New Roman" w:cs="Times New Roman" w:eastAsia="Times New Roman" w:hAnsi="Times New Roman"/>
          <w:sz w:val="18"/>
          <w:szCs w:val="18"/>
          <w:u w:val="single" w:color="auto"/>
          <w:color w:val="0000FF"/>
        </w:rPr>
        <w:t>80</w:t>
      </w:r>
      <w:r>
        <w:rPr>
          <w:rFonts w:ascii="Times New Roman" w:cs="Times New Roman" w:eastAsia="Times New Roman" w:hAnsi="Times New Roman"/>
          <w:sz w:val="18"/>
          <w:szCs w:val="18"/>
          <w:color w:val="auto"/>
        </w:rPr>
        <w:t xml:space="preserve"> of this Annual Report on Form 10-K.</w:t>
      </w:r>
    </w:p>
    <w:p>
      <w:pPr>
        <w:spacing w:after="0" w:line="256" w:lineRule="exact"/>
        <w:rPr>
          <w:rFonts w:ascii="Times New Roman" w:cs="Times New Roman" w:eastAsia="Times New Roman" w:hAnsi="Times New Roman"/>
          <w:sz w:val="18"/>
          <w:szCs w:val="18"/>
          <w:b w:val="1"/>
          <w:bCs w:val="1"/>
          <w:i w:val="1"/>
          <w:iCs w:val="1"/>
          <w:color w:val="auto"/>
        </w:rPr>
      </w:pPr>
    </w:p>
    <w:p>
      <w:pPr>
        <w:ind w:left="1320" w:hanging="732"/>
        <w:spacing w:after="0"/>
        <w:tabs>
          <w:tab w:leader="none" w:pos="13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31" w:lineRule="exact"/>
        <w:rPr>
          <w:rFonts w:ascii="Times New Roman" w:cs="Times New Roman" w:eastAsia="Times New Roman" w:hAnsi="Times New Roman"/>
          <w:sz w:val="18"/>
          <w:szCs w:val="18"/>
          <w:b w:val="1"/>
          <w:bCs w:val="1"/>
          <w:i w:val="1"/>
          <w:iCs w:val="1"/>
          <w:color w:val="auto"/>
        </w:rPr>
      </w:pPr>
    </w:p>
    <w:p>
      <w:pPr>
        <w:ind w:left="13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See Index to Exhibits on Page </w:t>
      </w:r>
      <w:r>
        <w:rPr>
          <w:rFonts w:ascii="Times New Roman" w:cs="Times New Roman" w:eastAsia="Times New Roman" w:hAnsi="Times New Roman"/>
          <w:sz w:val="18"/>
          <w:szCs w:val="18"/>
          <w:u w:val="single" w:color="auto"/>
          <w:color w:val="0000FF"/>
        </w:rPr>
        <w:t>80</w:t>
      </w:r>
      <w:r>
        <w:rPr>
          <w:rFonts w:ascii="Times New Roman" w:cs="Times New Roman" w:eastAsia="Times New Roman" w:hAnsi="Times New Roman"/>
          <w:sz w:val="18"/>
          <w:szCs w:val="18"/>
          <w:color w:val="auto"/>
        </w:rPr>
        <w:t xml:space="preserve"> of this Form 10-K.</w:t>
      </w:r>
    </w:p>
    <w:p>
      <w:pPr>
        <w:spacing w:after="0" w:line="256" w:lineRule="exact"/>
        <w:rPr>
          <w:rFonts w:ascii="Times New Roman" w:cs="Times New Roman" w:eastAsia="Times New Roman" w:hAnsi="Times New Roman"/>
          <w:sz w:val="18"/>
          <w:szCs w:val="18"/>
          <w:b w:val="1"/>
          <w:bCs w:val="1"/>
          <w:i w:val="1"/>
          <w:iCs w:val="1"/>
          <w:color w:val="auto"/>
        </w:rPr>
      </w:pPr>
    </w:p>
    <w:p>
      <w:pPr>
        <w:ind w:left="1320" w:hanging="732"/>
        <w:spacing w:after="0"/>
        <w:tabs>
          <w:tab w:leader="none" w:pos="13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31" w:lineRule="exact"/>
        <w:rPr>
          <w:rFonts w:ascii="Times New Roman" w:cs="Times New Roman" w:eastAsia="Times New Roman" w:hAnsi="Times New Roman"/>
          <w:sz w:val="18"/>
          <w:szCs w:val="18"/>
          <w:b w:val="1"/>
          <w:bCs w:val="1"/>
          <w:i w:val="1"/>
          <w:iCs w:val="1"/>
          <w:color w:val="auto"/>
        </w:rPr>
      </w:pPr>
    </w:p>
    <w:p>
      <w:pPr>
        <w:ind w:left="13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There are no financial statement schedules required by Regulation S-X that have been excluded from the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-1485265</wp:posOffset>
            </wp:positionV>
            <wp:extent cx="1428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-902970</wp:posOffset>
            </wp:positionV>
            <wp:extent cx="1143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-457200</wp:posOffset>
            </wp:positionV>
            <wp:extent cx="1143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3" w:right="559" w:bottom="1440" w:gutter="0" w:footer="0" w:header="0"/>
        </w:sectPr>
      </w:pPr>
    </w:p>
    <w:bookmarkStart w:id="80" w:name="page81"/>
    <w:bookmarkEnd w:id="80"/>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140" w:type="dxa"/>
            <w:vAlign w:val="bottom"/>
            <w:gridSpan w:val="23"/>
          </w:tcPr>
          <w:p>
            <w:pPr>
              <w:ind w:left="6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8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9"/>
                <w:szCs w:val="19"/>
                <w:color w:val="auto"/>
              </w:rPr>
            </w:pPr>
          </w:p>
        </w:tc>
        <w:tc>
          <w:tcPr>
            <w:tcW w:w="10000" w:type="dxa"/>
            <w:vAlign w:val="bottom"/>
            <w:gridSpan w:val="25"/>
          </w:tcPr>
          <w:p>
            <w:pPr>
              <w:spacing w:after="0"/>
              <w:rPr>
                <w:rFonts w:ascii="Times New Roman" w:cs="Times New Roman" w:eastAsia="Times New Roman" w:hAnsi="Times New Roman"/>
                <w:sz w:val="18"/>
                <w:szCs w:val="18"/>
                <w:color w:val="0000FF"/>
                <w:w w:val="99"/>
              </w:rPr>
            </w:pPr>
            <w:hyperlink r:id="rId399">
              <w:r>
                <w:rPr>
                  <w:rFonts w:ascii="Times New Roman" w:cs="Times New Roman" w:eastAsia="Times New Roman" w:hAnsi="Times New Roman"/>
                  <w:sz w:val="18"/>
                  <w:szCs w:val="18"/>
                  <w:color w:val="0000FF"/>
                  <w:w w:val="99"/>
                </w:rPr>
                <w:t>Agreement and Plan of Reorganization and Merger by and among CVB Financial Corp., Citizens Business Bank and Suncrest Bank, dated</w:t>
              </w:r>
            </w:hyperlink>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0" w:type="dxa"/>
            <w:vAlign w:val="bottom"/>
            <w:gridSpan w:val="25"/>
          </w:tcPr>
          <w:p>
            <w:pPr>
              <w:spacing w:after="0" w:line="195"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July 27, 2021(1)</w:t>
              </w:r>
            </w:hyperlink>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9"/>
                <w:szCs w:val="19"/>
                <w:color w:val="auto"/>
              </w:rPr>
            </w:pPr>
          </w:p>
        </w:tc>
        <w:tc>
          <w:tcPr>
            <w:tcW w:w="10000" w:type="dxa"/>
            <w:vAlign w:val="bottom"/>
            <w:gridSpan w:val="25"/>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Articles of Incorporation of CVB Financial Corp., as amended (2)</w:t>
              </w:r>
            </w:hyperlink>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9"/>
                <w:szCs w:val="19"/>
                <w:color w:val="auto"/>
              </w:rPr>
            </w:pPr>
          </w:p>
        </w:tc>
        <w:tc>
          <w:tcPr>
            <w:tcW w:w="10000" w:type="dxa"/>
            <w:vAlign w:val="bottom"/>
            <w:gridSpan w:val="25"/>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Amended and Restated Bylaws of CVB Financial Corp. (3)</w:t>
              </w:r>
            </w:hyperlink>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86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9"/>
                <w:szCs w:val="19"/>
                <w:color w:val="auto"/>
              </w:rPr>
            </w:pPr>
          </w:p>
        </w:tc>
        <w:tc>
          <w:tcPr>
            <w:tcW w:w="10000" w:type="dxa"/>
            <w:vAlign w:val="bottom"/>
            <w:gridSpan w:val="25"/>
          </w:tcPr>
          <w:p>
            <w:pPr>
              <w:spacing w:after="0"/>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Form of CVB Financial Corp.’s Common Stock certificate (4)</w:t>
              </w:r>
            </w:hyperlink>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9"/>
                <w:szCs w:val="19"/>
                <w:color w:val="auto"/>
              </w:rPr>
            </w:pPr>
          </w:p>
        </w:tc>
        <w:tc>
          <w:tcPr>
            <w:tcW w:w="10000" w:type="dxa"/>
            <w:vAlign w:val="bottom"/>
            <w:gridSpan w:val="25"/>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Description of CVB Financial Corp. Common Stock (5)</w:t>
              </w:r>
            </w:hyperlink>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9"/>
                <w:szCs w:val="19"/>
                <w:color w:val="auto"/>
              </w:rPr>
            </w:pPr>
          </w:p>
        </w:tc>
        <w:tc>
          <w:tcPr>
            <w:tcW w:w="10000" w:type="dxa"/>
            <w:vAlign w:val="bottom"/>
            <w:gridSpan w:val="25"/>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CVB Financial Corp. 401(k) &amp; Profit Sharing Plan, as amended†(6)</w:t>
              </w:r>
            </w:hyperlink>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9"/>
                <w:szCs w:val="19"/>
                <w:color w:val="auto"/>
              </w:rPr>
            </w:pPr>
          </w:p>
        </w:tc>
        <w:tc>
          <w:tcPr>
            <w:tcW w:w="10000" w:type="dxa"/>
            <w:vAlign w:val="bottom"/>
            <w:gridSpan w:val="25"/>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Form of Indemnification Agreement (7)</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286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10.3(a)</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CVB Financial Corp. 2008 Equity Incentive Plan†(8)</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84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10.3(b)</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CVB Financial Corp. Amendment No. 1 to the 2008 Equity Incentive Plan†(9)</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10.3(c)</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CVB Financial Corp. Amendment No. 2 to the 2008 Equity Incentive Plan†(10)</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10.3(d)</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CVB Financial Corp. Amendment No. 3 to the 2008 Equity Incentive Plan†(11)</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10.3(e)</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CVB Financial Corp. Amendment No. 4 to the 2008 Equity Incentive Plan†(12)</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10.3(f)</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CVB Financial Corp. Amendment No. 5 to the 2008 Equity Incentive Plan†(13)</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10.3(g)</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Form of Notice of Non-Qualified Stock Option Grant and Agreement pursuant to the 2008 Equity Incentive Plan†(14)</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10.3(h)</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Form of Notice of Grant and Restricted Stock Agreement pursuant to the 2008 Equity Incentive Plan†(15)</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10.4(a)</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CVB Financial Corp. 2018 Equity Incentive Plan†(16)</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10.4(b)</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Form of Stock Option Agreement under 2018 Equity Incentive Plan†(17)</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10.4(c)</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Form of Restricted Stock Agreement under 2018 Equity Incentive Plan†(18)</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10.4(d)</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Form of Restricted Stock Unit Agreement under 2018 Equity Incentive Plan†(19)</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10.5(a)</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The Executive Non Qualified Excess Plan(SM) Plan Document effective February 21, 2007†(20)</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10.5(b)</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CVB Financial Corp. Deferred Compensation Plan effective December 1, 2020†(27)</w:t>
              </w:r>
            </w:hyperlink>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9"/>
                <w:szCs w:val="19"/>
                <w:color w:val="auto"/>
              </w:rPr>
            </w:pPr>
          </w:p>
        </w:tc>
        <w:tc>
          <w:tcPr>
            <w:tcW w:w="10000" w:type="dxa"/>
            <w:vAlign w:val="bottom"/>
            <w:gridSpan w:val="25"/>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CVB Financial Corp. 2015 Executive Incentive Plan†(21)</w:t>
              </w:r>
            </w:hyperlink>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9"/>
                <w:szCs w:val="19"/>
                <w:color w:val="auto"/>
              </w:rPr>
            </w:pPr>
          </w:p>
        </w:tc>
        <w:tc>
          <w:tcPr>
            <w:tcW w:w="10000" w:type="dxa"/>
            <w:vAlign w:val="bottom"/>
            <w:gridSpan w:val="25"/>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Amended and Restated Employment Agreement by and among CVB Financial Corp. and Citizens Business Bank, on the one hand, and</w:t>
              </w:r>
            </w:hyperlink>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0" w:type="dxa"/>
            <w:vAlign w:val="bottom"/>
            <w:gridSpan w:val="25"/>
          </w:tcPr>
          <w:p>
            <w:pPr>
              <w:spacing w:after="0" w:line="195"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David A. Brager, on the other hand, dated as of July 20, 2022. †(22)</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10.8(a)</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Offer letter for David C. Harvey, dated December 7, 2009†(23)</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10.9(a)</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Offer Letter for E. Allen Nicholson executed April 30, 2016†(24)</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10.10(a)</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Offer Letter for David Farnsworth dated July 1, 2016†(25)</w:t>
              </w:r>
            </w:hyperlink>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320" w:type="dxa"/>
            <w:vAlign w:val="bottom"/>
          </w:tcPr>
          <w:p>
            <w:pPr>
              <w:spacing w:after="0"/>
              <w:rPr>
                <w:sz w:val="19"/>
                <w:szCs w:val="19"/>
                <w:color w:val="auto"/>
              </w:rPr>
            </w:pPr>
          </w:p>
        </w:tc>
        <w:tc>
          <w:tcPr>
            <w:tcW w:w="10000" w:type="dxa"/>
            <w:vAlign w:val="bottom"/>
            <w:gridSpan w:val="25"/>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Form of Severance Compensation Agreement by and between each of Yamynn De Angelis, David Farnsworth, David C. Harvey, E. Allen</w:t>
              </w:r>
            </w:hyperlink>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140" w:type="dxa"/>
            <w:vAlign w:val="bottom"/>
            <w:tcBorders>
              <w:left w:val="single" w:sz="8" w:color="0000FF"/>
            </w:tcBorders>
            <w:gridSpan w:val="1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0" w:type="dxa"/>
            <w:vAlign w:val="bottom"/>
            <w:gridSpan w:val="25"/>
          </w:tcPr>
          <w:p>
            <w:pPr>
              <w:spacing w:after="0" w:line="195"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Nicholson, Richard Wohl and Citizens Business Bank, effective March 1, 2022. † (26)</w:t>
              </w:r>
            </w:hyperlink>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920" w:type="dxa"/>
            <w:vAlign w:val="bottom"/>
            <w:tcBorders>
              <w:right w:val="single" w:sz="8" w:color="0000EE"/>
            </w:tcBorders>
            <w:gridSpan w:val="4"/>
            <w:shd w:val="clear" w:color="auto" w:fill="0000EE"/>
          </w:tcPr>
          <w:p>
            <w:pPr>
              <w:spacing w:after="0" w:line="20" w:lineRule="exact"/>
              <w:rPr>
                <w:sz w:val="1"/>
                <w:szCs w:val="1"/>
                <w:color w:val="auto"/>
              </w:rPr>
            </w:pPr>
          </w:p>
        </w:tc>
        <w:tc>
          <w:tcPr>
            <w:tcW w:w="2140" w:type="dxa"/>
            <w:vAlign w:val="bottom"/>
            <w:tcBorders>
              <w:left w:val="single" w:sz="8" w:color="0000EE"/>
            </w:tcBorders>
            <w:gridSpan w:val="1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r>
      <w:tr>
        <w:trPr>
          <w:trHeight w:val="223"/>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320" w:type="dxa"/>
            <w:vAlign w:val="bottom"/>
          </w:tcPr>
          <w:p>
            <w:pPr>
              <w:spacing w:after="0"/>
              <w:rPr>
                <w:sz w:val="19"/>
                <w:szCs w:val="19"/>
                <w:color w:val="auto"/>
              </w:rPr>
            </w:pPr>
          </w:p>
        </w:tc>
        <w:tc>
          <w:tcPr>
            <w:tcW w:w="100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CVB Financial Corp. 2023 Executive Incentive Plan* †</w:t>
            </w:r>
          </w:p>
        </w:tc>
      </w:tr>
      <w:tr>
        <w:trPr>
          <w:trHeight w:val="20"/>
        </w:trPr>
        <w:tc>
          <w:tcPr>
            <w:tcW w:w="8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160" w:hanging="1023"/>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Company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-7620</wp:posOffset>
            </wp:positionV>
            <wp:extent cx="1407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16" w:lineRule="exact"/>
        <w:rPr>
          <w:sz w:val="20"/>
          <w:szCs w:val="20"/>
          <w:color w:val="auto"/>
        </w:rPr>
      </w:pPr>
    </w:p>
    <w:p>
      <w:pPr>
        <w:ind w:left="1160" w:hanging="1023"/>
        <w:spacing w:after="0"/>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-7620</wp:posOffset>
            </wp:positionV>
            <wp:extent cx="11442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David A. Brager pursuant to Section 302 of the Sarbanes-Oxley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7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E. Allen Nicholson pursuant to Section 302 of the Sarbanes-Oxley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David A. Brager pursuant to Section 906 of the Sarbanes-Oxley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8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E. Allen Nicholson pursuant to Section 906 of the Sarbanes-Oxley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980" w:type="dxa"/>
            <w:vAlign w:val="bottom"/>
            <w:gridSpan w:val="4"/>
            <w:shd w:val="clear" w:color="auto" w:fill="0000FF"/>
          </w:tcPr>
          <w:p>
            <w:pPr>
              <w:spacing w:after="0" w:line="20" w:lineRule="exact"/>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 w:lineRule="exact"/>
        <w:rPr>
          <w:sz w:val="20"/>
          <w:szCs w:val="20"/>
          <w:color w:val="auto"/>
        </w:rPr>
      </w:pPr>
    </w:p>
    <w:p>
      <w:pPr>
        <w:ind w:left="1160" w:hanging="1023"/>
        <w:spacing w:after="0"/>
        <w:tabs>
          <w:tab w:leader="none" w:pos="1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2022, has been formatted in Inline</w:t>
      </w:r>
    </w:p>
    <w:p>
      <w:pPr>
        <w:spacing w:after="0" w:line="2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720" w:hanging="712"/>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compensation plan.</w:t>
      </w:r>
    </w:p>
    <w:p>
      <w:pPr>
        <w:spacing w:after="0" w:line="9" w:lineRule="exact"/>
        <w:rPr>
          <w:sz w:val="20"/>
          <w:szCs w:val="20"/>
          <w:color w:val="auto"/>
        </w:rPr>
      </w:pPr>
    </w:p>
    <w:p>
      <w:pPr>
        <w:ind w:left="780" w:right="3660" w:hanging="772"/>
        <w:spacing w:after="0" w:line="26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below, Form 8-A12G, Form 8-K, Form 10-Q, Form 10-K and Form DEF 14A identified in the exhibit index have SEC file number 001-10140.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82" w:name="page83"/>
    <w:bookmarkEnd w:id="82"/>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2.1 to our Form 8-K filed with the SEC on July 28, 2021.</w:t>
      </w:r>
    </w:p>
    <w:p>
      <w:pPr>
        <w:spacing w:after="0" w:line="35"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3.1 to our Form 10-Q filed with the SEC on August 9, 2010.</w:t>
      </w:r>
    </w:p>
    <w:p>
      <w:pPr>
        <w:spacing w:after="0" w:line="2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Exhibits 3.1 to our Form 8-K filed with the SEC on January 23, 2020.</w:t>
      </w:r>
    </w:p>
    <w:p>
      <w:pPr>
        <w:spacing w:after="0" w:line="22"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4.1 to our Form 8-A12G filed with the SEC on June 11, 2001.</w:t>
      </w:r>
    </w:p>
    <w:p>
      <w:pPr>
        <w:spacing w:after="0" w:line="22"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4.2 to our Annual Report on Form 10-K filed with the SEC on March 2, 2020.</w:t>
      </w:r>
    </w:p>
    <w:p>
      <w:pPr>
        <w:spacing w:after="0" w:line="8"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the Annual Report on Form 10-K filed with the SEC on February 29, 2016.</w:t>
      </w:r>
    </w:p>
    <w:p>
      <w:pPr>
        <w:spacing w:after="0" w:line="8"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the Current Report on Form 8-K filed June 29, 2016.</w:t>
      </w:r>
    </w:p>
    <w:p>
      <w:pPr>
        <w:spacing w:after="0" w:line="8"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herein by reference to Annex A to our Definitive Proxy Statement on Form DEF 14A filed with the SEC on April 16, 2008.</w:t>
      </w:r>
    </w:p>
    <w:p>
      <w:pPr>
        <w:spacing w:after="0" w:line="20" w:lineRule="exact"/>
        <w:rPr>
          <w:rFonts w:ascii="Times New Roman" w:cs="Times New Roman" w:eastAsia="Times New Roman" w:hAnsi="Times New Roman"/>
          <w:sz w:val="17"/>
          <w:szCs w:val="17"/>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Current Report on Form 8-K filed with the SEC on September 22, 2009</w:t>
      </w:r>
    </w:p>
    <w:p>
      <w:pPr>
        <w:spacing w:after="0" w:line="8"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our Current Report on Form 8-K filed with the SEC on November 24, 2009.</w:t>
      </w:r>
    </w:p>
    <w:p>
      <w:pPr>
        <w:spacing w:after="0" w:line="8"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Current Report on Form 8-K filed with the SEC on February 6, 2014.</w:t>
      </w:r>
    </w:p>
    <w:p>
      <w:pPr>
        <w:spacing w:after="0" w:line="8"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our Quarterly Report on Form 10-Q filed with the SEC on May 10, 2017.</w:t>
      </w:r>
    </w:p>
    <w:p>
      <w:pPr>
        <w:spacing w:after="0" w:line="8"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Quarterly Report on Form 10-Q filed with the SEC on May 10, 2017.</w:t>
      </w:r>
    </w:p>
    <w:p>
      <w:pPr>
        <w:spacing w:after="0" w:line="8"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Current Report on Form 8-K filed with the SEC on May 23, 2008.</w:t>
      </w:r>
    </w:p>
    <w:p>
      <w:pPr>
        <w:spacing w:after="0" w:line="8"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10.3 to our Current Report on Form 8-K filed with the SEC on May 23, 2008.</w:t>
      </w:r>
    </w:p>
    <w:p>
      <w:pPr>
        <w:spacing w:after="0" w:line="8"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Annex A to our Definitive Proxy Statement on Form DEF 14A filed with the SEC on April 4, 2018.</w:t>
      </w:r>
    </w:p>
    <w:p>
      <w:pPr>
        <w:spacing w:after="0" w:line="1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Form 8-K filed with the SEC on May 24, 2018.</w:t>
      </w:r>
    </w:p>
    <w:p>
      <w:pPr>
        <w:spacing w:after="0" w:line="2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10.3 to our Form 8-K filed with the SEC on May 24, 2018.</w:t>
      </w:r>
    </w:p>
    <w:p>
      <w:pPr>
        <w:spacing w:after="0" w:line="22"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hereby by reference to Exhibit 10.4 to our Form 8-K filed with the SEC on May 24, 2018.</w:t>
      </w:r>
    </w:p>
    <w:p>
      <w:pPr>
        <w:spacing w:after="0" w:line="30"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10.26 to our Annual Report on Form 10-K filed with the SEC on March 1, 2007.</w:t>
      </w:r>
    </w:p>
    <w:p>
      <w:pPr>
        <w:spacing w:after="0" w:line="2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A to our Definitive Proxy Statement on Form DEF 14A filed with the SEC on April 3, 2015.</w:t>
      </w:r>
    </w:p>
    <w:p>
      <w:pPr>
        <w:spacing w:after="0" w:line="22"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our Form 8-K filed with the SEC on July 21, 2022.</w:t>
      </w:r>
    </w:p>
    <w:p>
      <w:pPr>
        <w:spacing w:after="0" w:line="30"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10.21(A) to our Annual Report on Form 10-K filed with the SEC on March 4, 2010.</w:t>
      </w:r>
    </w:p>
    <w:p>
      <w:pPr>
        <w:spacing w:after="0" w:line="2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the Current Report on Form 8-K filed May 5, 2016.</w:t>
      </w:r>
    </w:p>
    <w:p>
      <w:pPr>
        <w:spacing w:after="0" w:line="22"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10.3 to the Quarterly Report on Form 10-Q filed November 9, 2016.</w:t>
      </w:r>
    </w:p>
    <w:p>
      <w:pPr>
        <w:spacing w:after="0" w:line="30"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10.11 to our Annual Report on Form 10-K filed with the SEC on March 1, 2022.</w:t>
      </w:r>
    </w:p>
    <w:p>
      <w:pPr>
        <w:spacing w:after="0" w:line="2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10.5(b) to our Annual Report on Form 10-K filed with the SEC on March 1, 2021.</w:t>
      </w:r>
    </w:p>
    <w:p>
      <w:pPr>
        <w:spacing w:after="0" w:line="112" w:lineRule="exact"/>
        <w:rPr>
          <w:sz w:val="20"/>
          <w:szCs w:val="20"/>
          <w:color w:val="auto"/>
        </w:rPr>
      </w:pPr>
    </w:p>
    <w:p>
      <w:pPr>
        <w:jc w:val="center"/>
        <w:ind w:right="136"/>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73025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4"/>
          </w:cols>
          <w:pgMar w:left="836" w:top="350" w:right="69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right="100" w:firstLine="637"/>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28th day of February 2023.</w:t>
      </w:r>
    </w:p>
    <w:p>
      <w:pPr>
        <w:spacing w:after="0" w:line="1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251"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DAVID A. BRAGER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David A. Brager</w:t>
      </w:r>
    </w:p>
    <w:p>
      <w:pPr>
        <w:spacing w:after="0" w:line="2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22" w:lineRule="exact"/>
        <w:rPr>
          <w:sz w:val="20"/>
          <w:szCs w:val="20"/>
          <w:color w:val="auto"/>
        </w:rPr>
      </w:pPr>
    </w:p>
    <w:p>
      <w:pPr>
        <w:ind w:right="140" w:firstLine="637"/>
        <w:spacing w:after="0" w:line="31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20"/>
          </w:cols>
          <w:pgMar w:left="320" w:top="333" w:right="359" w:bottom="1440" w:gutter="0" w:footer="0" w:header="0"/>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Signature</w:t>
            </w:r>
          </w:p>
        </w:tc>
      </w:tr>
      <w:tr>
        <w:trPr>
          <w:trHeight w:val="45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HAL W. OSWALT</w:t>
            </w:r>
          </w:p>
        </w:tc>
      </w:tr>
      <w:tr>
        <w:trPr>
          <w:trHeight w:val="23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Hal W. Oswalt</w:t>
            </w:r>
          </w:p>
        </w:tc>
      </w:tr>
      <w:tr>
        <w:trPr>
          <w:trHeight w:val="46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GEORGE A. BORBA, JR.</w:t>
            </w:r>
          </w:p>
        </w:tc>
      </w:tr>
      <w:tr>
        <w:trPr>
          <w:trHeight w:val="23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 A. Borba, Jr.</w:t>
            </w:r>
          </w:p>
        </w:tc>
      </w:tr>
      <w:tr>
        <w:trPr>
          <w:trHeight w:val="454"/>
        </w:trPr>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STEPHEN A. DEL GUERCIO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21119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A. Del Guercio</w:t>
      </w:r>
    </w:p>
    <w:p>
      <w:pPr>
        <w:spacing w:after="0" w:line="251"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ANNA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1119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Anna Kan</w:t>
      </w:r>
    </w:p>
    <w:p>
      <w:pPr>
        <w:spacing w:after="0" w:line="251"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KIMBERLY SHEEHY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111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Kimberly Sheehy</w:t>
      </w:r>
    </w:p>
    <w:p>
      <w:pPr>
        <w:spacing w:after="0" w:line="251"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JANE OLVERA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111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Jane Olvera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RAYMOND V. O’BRIEN III</w:t>
            </w:r>
          </w:p>
        </w:tc>
      </w:tr>
      <w:tr>
        <w:trPr>
          <w:trHeight w:val="23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V. O’Brien III</w:t>
            </w:r>
          </w:p>
        </w:tc>
      </w:tr>
      <w:tr>
        <w:trPr>
          <w:trHeight w:val="461"/>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DAVID A. BRAGER</w:t>
            </w:r>
          </w:p>
        </w:tc>
      </w:tr>
      <w:tr>
        <w:trPr>
          <w:trHeight w:val="23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A. Brager</w:t>
            </w:r>
          </w:p>
        </w:tc>
      </w:tr>
      <w:tr>
        <w:trPr>
          <w:trHeight w:val="696"/>
        </w:trPr>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 ALLEN NICHOLSON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2111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 Allen Nicholson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FRANCENE LaPOINT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1119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Francene LaPoint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16510</wp:posOffset>
            </wp:positionV>
            <wp:extent cx="21405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2140585" cy="8255"/>
                    </a:xfrm>
                    <a:prstGeom prst="rect">
                      <a:avLst/>
                    </a:prstGeom>
                    <a:noFill/>
                  </pic:spPr>
                </pic:pic>
              </a:graphicData>
            </a:graphic>
          </wp:anchor>
        </w:drawing>
      </w:r>
    </w:p>
    <w:p>
      <w:pPr>
        <w:spacing w:after="0" w:line="23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Vice Chairman</w:t>
      </w:r>
    </w:p>
    <w:p>
      <w:pPr>
        <w:spacing w:after="0" w:line="200" w:lineRule="exact"/>
        <w:rPr>
          <w:sz w:val="20"/>
          <w:szCs w:val="20"/>
          <w:color w:val="auto"/>
        </w:rPr>
      </w:pPr>
    </w:p>
    <w:p>
      <w:pPr>
        <w:spacing w:after="0" w:line="30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Director</w:t>
      </w:r>
    </w:p>
    <w:p>
      <w:pPr>
        <w:spacing w:after="0" w:line="30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Director and</w:t>
      </w:r>
    </w:p>
    <w:p>
      <w:pPr>
        <w:spacing w:after="0" w:line="2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3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(Principal Financial Officer )</w:t>
      </w:r>
    </w:p>
    <w:p>
      <w:pPr>
        <w:spacing w:after="0" w:line="200" w:lineRule="exact"/>
        <w:rPr>
          <w:sz w:val="20"/>
          <w:szCs w:val="20"/>
          <w:color w:val="auto"/>
        </w:rPr>
      </w:pPr>
    </w:p>
    <w:p>
      <w:pPr>
        <w:spacing w:after="0" w:line="24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16510</wp:posOffset>
            </wp:positionV>
            <wp:extent cx="12757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43" w:lineRule="exact"/>
        <w:rPr>
          <w:sz w:val="20"/>
          <w:szCs w:val="20"/>
          <w:color w:val="auto"/>
        </w:rPr>
      </w:pPr>
    </w:p>
    <w:p>
      <w:pPr>
        <w:sectPr>
          <w:pgSz w:w="11900" w:h="16838" w:orient="portrait"/>
          <w:cols w:equalWidth="0" w:num="3">
            <w:col w:w="5320" w:space="720"/>
            <w:col w:w="3140" w:space="720"/>
            <w:col w:w="1320"/>
          </w:cols>
          <w:pgMar w:left="320" w:top="333" w:right="359" w:bottom="1440" w:gutter="0" w:footer="0" w:header="0"/>
          <w:type w:val="continuous"/>
        </w:sectPr>
      </w:pP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(Dollars 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158,236</w:t>
            </w:r>
          </w:p>
        </w:tc>
        <w:tc>
          <w:tcPr>
            <w:tcW w:w="2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Federal Reserve</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1,642,536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203,461</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depository institutions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 at fair value (with amortized cost of</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$3,755,297 at December 31, 2022, and $3,185,249 at December 31, 2021)</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3,255,211</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 (with fair value of $2,155,587 at</w:t>
            </w: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2,554,301</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2022, and $1,921,693 at December 31, 2021)</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5,809,512</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stock of Federal Home Loan Bank (FHLB)</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27,627</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and lease finance receivables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9,079,392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(85,117 )</w:t>
            </w:r>
          </w:p>
        </w:tc>
        <w:tc>
          <w:tcPr>
            <w:tcW w:w="5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(65,019 )</w:t>
            </w:r>
          </w:p>
        </w:tc>
        <w:tc>
          <w:tcPr>
            <w:tcW w:w="0" w:type="dxa"/>
            <w:vAlign w:val="bottom"/>
          </w:tcPr>
          <w:p>
            <w:pPr>
              <w:spacing w:after="0"/>
              <w:rPr>
                <w:sz w:val="1"/>
                <w:szCs w:val="1"/>
                <w:color w:val="auto"/>
              </w:rPr>
            </w:pPr>
          </w:p>
        </w:tc>
      </w:tr>
      <w:tr>
        <w:trPr>
          <w:trHeight w:val="236"/>
        </w:trPr>
        <w:tc>
          <w:tcPr>
            <w:tcW w:w="77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loans and lease finance receivables</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8,994,275</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46,698</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owned life insurance (BOLI)</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255,528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46,692</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186,684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108,946</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16,476,540</w:t>
            </w: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15,883,697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Noninterest-bearing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8,164,364</w:t>
            </w:r>
          </w:p>
        </w:tc>
        <w:tc>
          <w:tcPr>
            <w:tcW w:w="2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Interest-bearing</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4,671,881</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4,872,386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12,836,245</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Customer repurchase agreements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565,431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borrowings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compensation</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22,092</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Payable for securities purchased</w:t>
            </w:r>
          </w:p>
        </w:tc>
        <w:tc>
          <w:tcPr>
            <w:tcW w:w="36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109,255</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14,528,023</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Common stock, authorized, 225,000,000 shares without par; issued and</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outstanding 139,818,703 at December 31, 2022 and 135,526,025 at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December 31, 2021</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1,300,466</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1,209,903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1,002,847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 income, net of tax</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(354,796 )</w:t>
            </w:r>
          </w:p>
        </w:tc>
        <w:tc>
          <w:tcPr>
            <w:tcW w:w="5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(3,968 )</w:t>
            </w:r>
          </w:p>
        </w:tc>
        <w:tc>
          <w:tcPr>
            <w:tcW w:w="0" w:type="dxa"/>
            <w:vAlign w:val="bottom"/>
          </w:tcPr>
          <w:p>
            <w:pPr>
              <w:spacing w:after="0"/>
              <w:rPr>
                <w:sz w:val="1"/>
                <w:szCs w:val="1"/>
                <w:color w:val="auto"/>
              </w:rPr>
            </w:pPr>
          </w:p>
        </w:tc>
      </w:tr>
      <w:tr>
        <w:trPr>
          <w:trHeight w:val="236"/>
        </w:trPr>
        <w:tc>
          <w:tcPr>
            <w:tcW w:w="770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1,948,517</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2,081,503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16,476,540</w:t>
            </w:r>
          </w:p>
        </w:tc>
        <w:tc>
          <w:tcPr>
            <w:tcW w:w="2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15,883,697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-6241415</wp:posOffset>
            </wp:positionV>
            <wp:extent cx="68580" cy="1714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-6241415</wp:posOffset>
            </wp:positionV>
            <wp:extent cx="68580" cy="1714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-5342255</wp:posOffset>
            </wp:positionV>
            <wp:extent cx="68580" cy="1714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-5342255</wp:posOffset>
            </wp:positionV>
            <wp:extent cx="68580" cy="1714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-4708525</wp:posOffset>
            </wp:positionV>
            <wp:extent cx="68580" cy="1714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-4708525</wp:posOffset>
            </wp:positionV>
            <wp:extent cx="68580" cy="1714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-3458845</wp:posOffset>
            </wp:positionV>
            <wp:extent cx="68580" cy="1885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-3458845</wp:posOffset>
            </wp:positionV>
            <wp:extent cx="68580" cy="1885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-2499360</wp:posOffset>
            </wp:positionV>
            <wp:extent cx="68580" cy="162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162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-1566545</wp:posOffset>
            </wp:positionV>
            <wp:extent cx="68580" cy="1714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1714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-350520</wp:posOffset>
            </wp:positionV>
            <wp:extent cx="68580" cy="1714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Loans and leases, including fees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389,192</w:t>
            </w:r>
          </w:p>
        </w:tc>
        <w:tc>
          <w:tcPr>
            <w:tcW w:w="80" w:type="dxa"/>
            <w:vAlign w:val="bottom"/>
          </w:tcPr>
          <w:p>
            <w:pPr>
              <w:spacing w:after="0"/>
              <w:rPr>
                <w:sz w:val="15"/>
                <w:szCs w:val="15"/>
                <w:color w:val="auto"/>
              </w:rPr>
            </w:pP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356,594</w:t>
            </w:r>
          </w:p>
        </w:tc>
        <w:tc>
          <w:tcPr>
            <w:tcW w:w="24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377,402</w:t>
            </w: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Investment securities: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36,052</w:t>
            </w:r>
          </w:p>
        </w:tc>
        <w:tc>
          <w:tcPr>
            <w:tcW w:w="100" w:type="dxa"/>
            <w:vAlign w:val="bottom"/>
          </w:tcPr>
          <w:p>
            <w:pPr>
              <w:spacing w:after="0"/>
              <w:rPr>
                <w:sz w:val="15"/>
                <w:szCs w:val="15"/>
                <w:color w:val="auto"/>
              </w:rPr>
            </w:pPr>
          </w:p>
        </w:tc>
      </w:tr>
      <w:tr>
        <w:trPr>
          <w:trHeight w:val="175"/>
        </w:trPr>
        <w:tc>
          <w:tcPr>
            <w:tcW w:w="66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49,048</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22,175</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14,223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117,556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60,448</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50,275</w:t>
            </w:r>
          </w:p>
        </w:tc>
        <w:tc>
          <w:tcPr>
            <w:tcW w:w="100" w:type="dxa"/>
            <w:vAlign w:val="bottom"/>
          </w:tcPr>
          <w:p>
            <w:pPr>
              <w:spacing w:after="0"/>
              <w:rPr>
                <w:sz w:val="14"/>
                <w:szCs w:val="14"/>
                <w:color w:val="auto"/>
              </w:rPr>
            </w:pPr>
          </w:p>
        </w:tc>
      </w:tr>
      <w:tr>
        <w:trPr>
          <w:trHeight w:val="16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Dividends from FHLB stock</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shd w:val="clear" w:color="auto" w:fill="CFF0FC"/>
          </w:tcPr>
          <w:p>
            <w:pPr>
              <w:spacing w:after="0"/>
              <w:rPr>
                <w:sz w:val="14"/>
                <w:szCs w:val="14"/>
                <w:color w:val="auto"/>
              </w:rPr>
            </w:pP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100" w:type="dxa"/>
            <w:vAlign w:val="bottom"/>
          </w:tcPr>
          <w:p>
            <w:pPr>
              <w:spacing w:after="0"/>
              <w:rPr>
                <w:sz w:val="15"/>
                <w:szCs w:val="15"/>
                <w:color w:val="auto"/>
              </w:rPr>
            </w:pPr>
          </w:p>
        </w:tc>
      </w:tr>
      <w:tr>
        <w:trPr>
          <w:trHeight w:val="169"/>
        </w:trPr>
        <w:tc>
          <w:tcPr>
            <w:tcW w:w="666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4"/>
                <w:szCs w:val="14"/>
                <w:b w:val="1"/>
                <w:bCs w:val="1"/>
                <w:color w:val="auto"/>
              </w:rPr>
              <w:t>Total interest income</w:t>
            </w: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514,668</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420,630</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430,337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Deposits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12,602</w:t>
            </w:r>
          </w:p>
        </w:tc>
        <w:tc>
          <w:tcPr>
            <w:tcW w:w="100" w:type="dxa"/>
            <w:vAlign w:val="bottom"/>
            <w:shd w:val="clear" w:color="auto" w:fill="CFF0FC"/>
          </w:tcPr>
          <w:p>
            <w:pPr>
              <w:spacing w:after="0"/>
              <w:rPr>
                <w:sz w:val="15"/>
                <w:szCs w:val="15"/>
                <w:color w:val="auto"/>
              </w:rPr>
            </w:pP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Borrowings and customer repurchase agreements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Junior subordinated debentures</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shd w:val="clear" w:color="auto" w:fill="CFF0FC"/>
          </w:tcPr>
          <w:p>
            <w:pPr>
              <w:spacing w:after="0"/>
              <w:rPr>
                <w:sz w:val="15"/>
                <w:szCs w:val="15"/>
                <w:color w:val="auto"/>
              </w:rPr>
            </w:pPr>
          </w:p>
        </w:tc>
      </w:tr>
      <w:tr>
        <w:trPr>
          <w:trHeight w:val="169"/>
        </w:trPr>
        <w:tc>
          <w:tcPr>
            <w:tcW w:w="6660" w:type="dxa"/>
            <w:vAlign w:val="bottom"/>
            <w:tcBorders>
              <w:top w:val="single" w:sz="8" w:color="CFF0FC"/>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9,155</w:t>
            </w: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24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14,284</w:t>
            </w:r>
          </w:p>
        </w:tc>
        <w:tc>
          <w:tcPr>
            <w:tcW w:w="100" w:type="dxa"/>
            <w:vAlign w:val="bottom"/>
            <w:tcBorders>
              <w:top w:val="single" w:sz="8" w:color="CFF0FC"/>
            </w:tcBorders>
          </w:tcPr>
          <w:p>
            <w:pPr>
              <w:spacing w:after="0"/>
              <w:rPr>
                <w:sz w:val="14"/>
                <w:szCs w:val="14"/>
                <w:color w:val="auto"/>
              </w:rPr>
            </w:pPr>
          </w:p>
        </w:tc>
      </w:tr>
      <w:tr>
        <w:trPr>
          <w:trHeight w:val="169"/>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interest income before provision for (recapture of) credit losses</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505,513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414,550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416,053</w:t>
            </w:r>
          </w:p>
        </w:tc>
        <w:tc>
          <w:tcPr>
            <w:tcW w:w="100" w:type="dxa"/>
            <w:vAlign w:val="bottom"/>
            <w:shd w:val="clear" w:color="auto" w:fill="CFF0FC"/>
          </w:tcPr>
          <w:p>
            <w:pPr>
              <w:spacing w:after="0"/>
              <w:rPr>
                <w:sz w:val="14"/>
                <w:szCs w:val="14"/>
                <w:color w:val="auto"/>
              </w:rPr>
            </w:pPr>
          </w:p>
        </w:tc>
      </w:tr>
      <w:tr>
        <w:trPr>
          <w:trHeight w:val="175"/>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(recapture of) credit losses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(25,500 )</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23,500</w:t>
            </w:r>
          </w:p>
        </w:tc>
        <w:tc>
          <w:tcPr>
            <w:tcW w:w="100" w:type="dxa"/>
            <w:vAlign w:val="bottom"/>
          </w:tcPr>
          <w:p>
            <w:pPr>
              <w:spacing w:after="0"/>
              <w:rPr>
                <w:sz w:val="15"/>
                <w:szCs w:val="15"/>
                <w:color w:val="auto"/>
              </w:rPr>
            </w:pPr>
          </w:p>
        </w:tc>
      </w:tr>
      <w:tr>
        <w:trPr>
          <w:trHeight w:val="169"/>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(recapture of) credit losses</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494,913</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440,050</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392,553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21,382</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17,152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16,561</w:t>
            </w:r>
          </w:p>
        </w:tc>
        <w:tc>
          <w:tcPr>
            <w:tcW w:w="100" w:type="dxa"/>
            <w:vAlign w:val="bottom"/>
            <w:shd w:val="clear" w:color="auto" w:fill="CFF0FC"/>
          </w:tcPr>
          <w:p>
            <w:pPr>
              <w:spacing w:after="0"/>
              <w:rPr>
                <w:sz w:val="15"/>
                <w:szCs w:val="15"/>
                <w:color w:val="auto"/>
              </w:rPr>
            </w:pP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9,978</w:t>
            </w: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Bankcard services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shd w:val="clear" w:color="auto" w:fill="CFF0FC"/>
          </w:tcPr>
          <w:p>
            <w:pPr>
              <w:spacing w:after="0"/>
              <w:rPr>
                <w:sz w:val="15"/>
                <w:szCs w:val="15"/>
                <w:color w:val="auto"/>
              </w:rPr>
            </w:pP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BOLI income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Gain on OREO, net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FF0FC"/>
          </w:tcPr>
          <w:p>
            <w:pPr>
              <w:spacing w:after="0"/>
              <w:rPr>
                <w:sz w:val="15"/>
                <w:szCs w:val="15"/>
                <w:color w:val="auto"/>
              </w:rPr>
            </w:pP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sale of building, net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00" w:type="dxa"/>
            <w:vAlign w:val="bottom"/>
          </w:tcPr>
          <w:p>
            <w:pPr>
              <w:spacing w:after="0"/>
              <w:rPr>
                <w:sz w:val="15"/>
                <w:szCs w:val="15"/>
                <w:color w:val="auto"/>
              </w:rPr>
            </w:pPr>
          </w:p>
        </w:tc>
      </w:tr>
      <w:tr>
        <w:trPr>
          <w:trHeight w:val="175"/>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7,007</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11,277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49,989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47,385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49,870</w:t>
            </w:r>
          </w:p>
        </w:tc>
        <w:tc>
          <w:tcPr>
            <w:tcW w:w="100" w:type="dxa"/>
            <w:vAlign w:val="bottom"/>
          </w:tcPr>
          <w:p>
            <w:pPr>
              <w:spacing w:after="0"/>
              <w:rPr>
                <w:sz w:val="14"/>
                <w:szCs w:val="14"/>
                <w:color w:val="auto"/>
              </w:rPr>
            </w:pPr>
          </w:p>
        </w:tc>
      </w:tr>
      <w:tr>
        <w:trPr>
          <w:trHeight w:val="16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131,596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117,871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119,759</w:t>
            </w: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Occupancy and equipment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22,737</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19,756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20,622</w:t>
            </w:r>
          </w:p>
        </w:tc>
        <w:tc>
          <w:tcPr>
            <w:tcW w:w="100" w:type="dxa"/>
            <w:vAlign w:val="bottom"/>
            <w:shd w:val="clear" w:color="auto" w:fill="CFF0FC"/>
          </w:tcPr>
          <w:p>
            <w:pPr>
              <w:spacing w:after="0"/>
              <w:rPr>
                <w:sz w:val="15"/>
                <w:szCs w:val="15"/>
                <w:color w:val="auto"/>
              </w:rPr>
            </w:pP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services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9,460</w:t>
            </w: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13,503</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11,302</w:t>
            </w:r>
          </w:p>
        </w:tc>
        <w:tc>
          <w:tcPr>
            <w:tcW w:w="100" w:type="dxa"/>
            <w:vAlign w:val="bottom"/>
            <w:shd w:val="clear" w:color="auto" w:fill="CFF0FC"/>
          </w:tcPr>
          <w:p>
            <w:pPr>
              <w:spacing w:after="0"/>
              <w:rPr>
                <w:sz w:val="15"/>
                <w:szCs w:val="15"/>
                <w:color w:val="auto"/>
              </w:rPr>
            </w:pP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Marketing and promotion</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4,488</w:t>
            </w: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(Recapture of) provision for unfunded loan commitments</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w:t>
            </w: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Acquisition related expenses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6,013</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17,920</w:t>
            </w:r>
          </w:p>
        </w:tc>
        <w:tc>
          <w:tcPr>
            <w:tcW w:w="100" w:type="dxa"/>
            <w:vAlign w:val="bottom"/>
          </w:tcPr>
          <w:p>
            <w:pPr>
              <w:spacing w:after="0"/>
              <w:rPr>
                <w:sz w:val="15"/>
                <w:szCs w:val="15"/>
                <w:color w:val="auto"/>
              </w:rPr>
            </w:pPr>
          </w:p>
        </w:tc>
      </w:tr>
      <w:tr>
        <w:trPr>
          <w:trHeight w:val="169"/>
        </w:trPr>
        <w:tc>
          <w:tcPr>
            <w:tcW w:w="66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216,555</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189,787</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192,903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297,648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249,520</w:t>
            </w:r>
          </w:p>
        </w:tc>
        <w:tc>
          <w:tcPr>
            <w:tcW w:w="100" w:type="dxa"/>
            <w:vAlign w:val="bottom"/>
          </w:tcPr>
          <w:p>
            <w:pPr>
              <w:spacing w:after="0"/>
              <w:rPr>
                <w:sz w:val="14"/>
                <w:szCs w:val="14"/>
                <w:color w:val="auto"/>
              </w:rPr>
            </w:pPr>
          </w:p>
        </w:tc>
      </w:tr>
      <w:tr>
        <w:trPr>
          <w:trHeight w:val="175"/>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92,922</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85,127</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72,361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235,425</w:t>
            </w:r>
          </w:p>
        </w:tc>
        <w:tc>
          <w:tcPr>
            <w:tcW w:w="80" w:type="dxa"/>
            <w:vAlign w:val="bottom"/>
          </w:tcPr>
          <w:p>
            <w:pPr>
              <w:spacing w:after="0"/>
              <w:rPr>
                <w:sz w:val="14"/>
                <w:szCs w:val="14"/>
                <w:color w:val="auto"/>
              </w:rPr>
            </w:pP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212,521</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177,159</w:t>
            </w:r>
          </w:p>
        </w:tc>
        <w:tc>
          <w:tcPr>
            <w:tcW w:w="100" w:type="dxa"/>
            <w:vAlign w:val="bottom"/>
          </w:tcPr>
          <w:p>
            <w:pPr>
              <w:spacing w:after="0"/>
              <w:rPr>
                <w:sz w:val="14"/>
                <w:szCs w:val="14"/>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Other comprehensive (loss) income:</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Unrealized (loss) gain on securities arising during the period, before tax</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(498,078 )</w:t>
            </w:r>
          </w:p>
        </w:tc>
        <w:tc>
          <w:tcPr>
            <w:tcW w:w="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(55,819 )</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32,277</w:t>
            </w: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Less: Income tax benefit (expense) related to items of other comprehensive income</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147,250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16,502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(9,542 )</w:t>
            </w:r>
          </w:p>
        </w:tc>
      </w:tr>
      <w:tr>
        <w:trPr>
          <w:trHeight w:val="20"/>
        </w:trPr>
        <w:tc>
          <w:tcPr>
            <w:tcW w:w="6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3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(350,828 )</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(39,317 )</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100" w:type="dxa"/>
            <w:vAlign w:val="bottom"/>
          </w:tcPr>
          <w:p>
            <w:pPr>
              <w:spacing w:after="0"/>
              <w:rPr>
                <w:sz w:val="14"/>
                <w:szCs w:val="14"/>
                <w:color w:val="auto"/>
              </w:rPr>
            </w:pPr>
          </w:p>
        </w:tc>
      </w:tr>
      <w:tr>
        <w:trPr>
          <w:trHeight w:val="209"/>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(115,403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173,204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199,894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6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Basic earnings per common share</w:t>
            </w:r>
          </w:p>
        </w:tc>
        <w:tc>
          <w:tcPr>
            <w:tcW w:w="300" w:type="dxa"/>
            <w:vAlign w:val="bottom"/>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3"/>
                <w:szCs w:val="13"/>
                <w:color w:val="auto"/>
              </w:rPr>
            </w:pPr>
          </w:p>
        </w:tc>
        <w:tc>
          <w:tcPr>
            <w:tcW w:w="460" w:type="dxa"/>
            <w:vAlign w:val="bottom"/>
            <w:gridSpan w:val="2"/>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1.57</w:t>
            </w:r>
          </w:p>
        </w:tc>
        <w:tc>
          <w:tcPr>
            <w:tcW w:w="240" w:type="dxa"/>
            <w:vAlign w:val="bottom"/>
          </w:tcPr>
          <w:p>
            <w:pPr>
              <w:spacing w:after="0"/>
              <w:rPr>
                <w:sz w:val="13"/>
                <w:szCs w:val="13"/>
                <w:color w:val="auto"/>
              </w:rPr>
            </w:pPr>
          </w:p>
        </w:tc>
        <w:tc>
          <w:tcPr>
            <w:tcW w:w="300" w:type="dxa"/>
            <w:vAlign w:val="bottom"/>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3"/>
                <w:szCs w:val="13"/>
                <w:color w:val="auto"/>
              </w:rPr>
            </w:pPr>
          </w:p>
        </w:tc>
      </w:tr>
      <w:tr>
        <w:trPr>
          <w:trHeight w:val="175"/>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-4853940</wp:posOffset>
            </wp:positionV>
            <wp:extent cx="76835" cy="1282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-4853940</wp:posOffset>
            </wp:positionV>
            <wp:extent cx="68580" cy="1282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-4853940</wp:posOffset>
            </wp:positionV>
            <wp:extent cx="68580" cy="1282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-4383405</wp:posOffset>
            </wp:positionV>
            <wp:extent cx="76835" cy="1200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-4383405</wp:posOffset>
            </wp:positionV>
            <wp:extent cx="68580" cy="1200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-4383405</wp:posOffset>
            </wp:positionV>
            <wp:extent cx="68580" cy="1200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-3929380</wp:posOffset>
            </wp:positionV>
            <wp:extent cx="76835" cy="1282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-3929380</wp:posOffset>
            </wp:positionV>
            <wp:extent cx="68580" cy="1282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-3929380</wp:posOffset>
            </wp:positionV>
            <wp:extent cx="68580" cy="1282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-3458845</wp:posOffset>
            </wp:positionV>
            <wp:extent cx="76835" cy="1200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-3458845</wp:posOffset>
            </wp:positionV>
            <wp:extent cx="68580" cy="1200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-3458845</wp:posOffset>
            </wp:positionV>
            <wp:extent cx="68580" cy="1200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-2559685</wp:posOffset>
            </wp:positionV>
            <wp:extent cx="76835" cy="1282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-2559685</wp:posOffset>
            </wp:positionV>
            <wp:extent cx="68580" cy="1282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1282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-1198245</wp:posOffset>
            </wp:positionV>
            <wp:extent cx="76835" cy="1200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-1198245</wp:posOffset>
            </wp:positionV>
            <wp:extent cx="68580" cy="1200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-1198245</wp:posOffset>
            </wp:positionV>
            <wp:extent cx="68580" cy="1200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-967105</wp:posOffset>
            </wp:positionV>
            <wp:extent cx="76835" cy="1454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-967105</wp:posOffset>
            </wp:positionV>
            <wp:extent cx="68580" cy="1454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1454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-487680</wp:posOffset>
            </wp:positionV>
            <wp:extent cx="76835" cy="1282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-487680</wp:posOffset>
            </wp:positionV>
            <wp:extent cx="68580" cy="1282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1282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-247650</wp:posOffset>
            </wp:positionV>
            <wp:extent cx="206375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2063750" cy="1371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the consolidated financial statements.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(Dollars and shares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14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3"/>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140,102</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1,298,792</w:t>
            </w:r>
          </w:p>
        </w:tc>
        <w:tc>
          <w:tcPr>
            <w:tcW w:w="2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682,692</w:t>
            </w: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12,614</w:t>
            </w:r>
          </w:p>
        </w:tc>
        <w:tc>
          <w:tcPr>
            <w:tcW w:w="2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1,994,098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Cumulative adjustment upon adoption of ASU 2016-13</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(1,325 )</w:t>
            </w:r>
          </w:p>
        </w:tc>
        <w:tc>
          <w:tcPr>
            <w:tcW w:w="10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(1,325 )</w:t>
            </w:r>
          </w:p>
        </w:tc>
        <w:tc>
          <w:tcPr>
            <w:tcW w:w="0" w:type="dxa"/>
            <w:vAlign w:val="bottom"/>
          </w:tcPr>
          <w:p>
            <w:pPr>
              <w:spacing w:after="0"/>
              <w:rPr>
                <w:sz w:val="1"/>
                <w:szCs w:val="1"/>
                <w:color w:val="auto"/>
              </w:rPr>
            </w:pPr>
          </w:p>
        </w:tc>
      </w:tr>
      <w:tr>
        <w:trPr>
          <w:trHeight w:val="175"/>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(5,008 )</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(92,772 )</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(92,772 )</w:t>
            </w:r>
          </w:p>
        </w:tc>
        <w:tc>
          <w:tcPr>
            <w:tcW w:w="0" w:type="dxa"/>
            <w:vAlign w:val="bottom"/>
          </w:tcPr>
          <w:p>
            <w:pPr>
              <w:spacing w:after="0"/>
              <w:rPr>
                <w:sz w:val="1"/>
                <w:szCs w:val="1"/>
                <w:color w:val="auto"/>
              </w:rPr>
            </w:pPr>
          </w:p>
        </w:tc>
      </w:tr>
      <w:tr>
        <w:trPr>
          <w:trHeight w:val="175"/>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Shares issued pursuant to stock-based compensation 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dividends declared on common stock ($0.72 per share)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(97,665 )</w:t>
            </w:r>
          </w:p>
        </w:tc>
        <w:tc>
          <w:tcPr>
            <w:tcW w:w="10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(97,665 )</w:t>
            </w:r>
          </w:p>
        </w:tc>
        <w:tc>
          <w:tcPr>
            <w:tcW w:w="0" w:type="dxa"/>
            <w:vAlign w:val="bottom"/>
          </w:tcPr>
          <w:p>
            <w:pPr>
              <w:spacing w:after="0"/>
              <w:rPr>
                <w:sz w:val="1"/>
                <w:szCs w:val="1"/>
                <w:color w:val="auto"/>
              </w:rPr>
            </w:pPr>
          </w:p>
        </w:tc>
      </w:tr>
      <w:tr>
        <w:trPr>
          <w:trHeight w:val="175"/>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177,159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177,159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135,601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1,211,780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760,861</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35,349</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2,007,990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10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Repurchase of common stock</w:t>
            </w:r>
          </w:p>
        </w:tc>
        <w:tc>
          <w:tcPr>
            <w:tcW w:w="126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(435 )</w:t>
            </w:r>
          </w:p>
        </w:tc>
        <w:tc>
          <w:tcPr>
            <w:tcW w:w="160" w:type="dxa"/>
            <w:vAlign w:val="bottom"/>
          </w:tcPr>
          <w:p>
            <w:pPr>
              <w:spacing w:after="0"/>
              <w:rPr>
                <w:sz w:val="13"/>
                <w:szCs w:val="13"/>
                <w:color w:val="auto"/>
              </w:rPr>
            </w:pPr>
          </w:p>
        </w:tc>
        <w:tc>
          <w:tcPr>
            <w:tcW w:w="110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(8,337 )</w:t>
            </w:r>
          </w:p>
        </w:tc>
        <w:tc>
          <w:tcPr>
            <w:tcW w:w="160" w:type="dxa"/>
            <w:vAlign w:val="bottom"/>
          </w:tcPr>
          <w:p>
            <w:pPr>
              <w:spacing w:after="0"/>
              <w:rPr>
                <w:sz w:val="13"/>
                <w:szCs w:val="13"/>
                <w:color w:val="auto"/>
              </w:rPr>
            </w:pPr>
          </w:p>
        </w:tc>
        <w:tc>
          <w:tcPr>
            <w:tcW w:w="108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(8,337 )</w:t>
            </w:r>
          </w:p>
        </w:tc>
        <w:tc>
          <w:tcPr>
            <w:tcW w:w="0" w:type="dxa"/>
            <w:vAlign w:val="bottom"/>
          </w:tcPr>
          <w:p>
            <w:pPr>
              <w:spacing w:after="0"/>
              <w:rPr>
                <w:sz w:val="1"/>
                <w:szCs w:val="1"/>
                <w:color w:val="auto"/>
              </w:rPr>
            </w:pPr>
          </w:p>
        </w:tc>
      </w:tr>
      <w:tr>
        <w:trPr>
          <w:trHeight w:val="175"/>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Shares issued pursuant to stock-based compensation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dividends declared on common stock ($0.72 per share)</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(97,814 )</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(97,814 )</w:t>
            </w:r>
          </w:p>
        </w:tc>
        <w:tc>
          <w:tcPr>
            <w:tcW w:w="0" w:type="dxa"/>
            <w:vAlign w:val="bottom"/>
          </w:tcPr>
          <w:p>
            <w:pPr>
              <w:spacing w:after="0"/>
              <w:rPr>
                <w:sz w:val="1"/>
                <w:szCs w:val="1"/>
                <w:color w:val="auto"/>
              </w:rPr>
            </w:pPr>
          </w:p>
        </w:tc>
      </w:tr>
      <w:tr>
        <w:trPr>
          <w:trHeight w:val="175"/>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212,521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(39,317 )</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(39,317 )</w:t>
            </w: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135,526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1,209,903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875,568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(3,968 )</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common stock for acquisition of Suncrest Bank</w:t>
            </w: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8,617</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197,069</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197,069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(1,976 )</w:t>
            </w:r>
          </w:p>
        </w:tc>
        <w:tc>
          <w:tcPr>
            <w:tcW w:w="1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(46,330 )</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(46,330 )</w:t>
            </w:r>
          </w:p>
        </w:tc>
        <w:tc>
          <w:tcPr>
            <w:tcW w:w="0" w:type="dxa"/>
            <w:vAlign w:val="bottom"/>
          </w:tcPr>
          <w:p>
            <w:pPr>
              <w:spacing w:after="0"/>
              <w:rPr>
                <w:sz w:val="1"/>
                <w:szCs w:val="1"/>
                <w:color w:val="auto"/>
              </w:rPr>
            </w:pPr>
          </w:p>
        </w:tc>
      </w:tr>
      <w:tr>
        <w:trPr>
          <w:trHeight w:val="175"/>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of common stock, ASR Plan</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(2,994 )</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(70,000 )</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(70,000 )</w:t>
            </w:r>
          </w:p>
        </w:tc>
        <w:tc>
          <w:tcPr>
            <w:tcW w:w="0" w:type="dxa"/>
            <w:vAlign w:val="bottom"/>
          </w:tcPr>
          <w:p>
            <w:pPr>
              <w:spacing w:after="0"/>
              <w:rPr>
                <w:sz w:val="1"/>
                <w:szCs w:val="1"/>
                <w:color w:val="auto"/>
              </w:rPr>
            </w:pPr>
          </w:p>
        </w:tc>
      </w:tr>
      <w:tr>
        <w:trPr>
          <w:trHeight w:val="175"/>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Shares issued pursuant to stock-based compensation 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dividends declared on common stock ($0.77 per share)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(108,146 )</w:t>
            </w:r>
          </w:p>
        </w:tc>
        <w:tc>
          <w:tcPr>
            <w:tcW w:w="10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(108,146 )</w:t>
            </w:r>
          </w:p>
        </w:tc>
        <w:tc>
          <w:tcPr>
            <w:tcW w:w="0" w:type="dxa"/>
            <w:vAlign w:val="bottom"/>
          </w:tcPr>
          <w:p>
            <w:pPr>
              <w:spacing w:after="0"/>
              <w:rPr>
                <w:sz w:val="1"/>
                <w:szCs w:val="1"/>
                <w:color w:val="auto"/>
              </w:rPr>
            </w:pPr>
          </w:p>
        </w:tc>
      </w:tr>
      <w:tr>
        <w:trPr>
          <w:trHeight w:val="175"/>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235,425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235,425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(350,828 )</w:t>
            </w:r>
          </w:p>
        </w:tc>
        <w:tc>
          <w:tcPr>
            <w:tcW w:w="2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(350,828 )</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139,819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1,300,466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1,002,847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(354,796</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1,948,517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-1874520</wp:posOffset>
            </wp:positionV>
            <wp:extent cx="3253740" cy="137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325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-1181100</wp:posOffset>
            </wp:positionV>
            <wp:extent cx="76835" cy="1454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-1181100</wp:posOffset>
            </wp:positionV>
            <wp:extent cx="68580" cy="1454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-1181100</wp:posOffset>
            </wp:positionV>
            <wp:extent cx="68580" cy="1454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-1181100</wp:posOffset>
            </wp:positionV>
            <wp:extent cx="68580" cy="1454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1454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-24765</wp:posOffset>
            </wp:positionV>
            <wp:extent cx="768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-7620</wp:posOffset>
            </wp:positionV>
            <wp:extent cx="768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-24765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dividends received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512,693</w:t>
            </w:r>
          </w:p>
        </w:tc>
        <w:tc>
          <w:tcPr>
            <w:tcW w:w="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410,155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400,867</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 charges and other fees received</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43,859</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39,525</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(8,583 )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(6,010 )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(13,627 )</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paid to vendors, employees and others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(185,300 )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(176,807 )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(168,036 )</w:t>
            </w: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(88,938 )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(69,878 )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(73,633 )</w:t>
            </w:r>
          </w:p>
        </w:tc>
      </w:tr>
      <w:tr>
        <w:trPr>
          <w:trHeight w:val="236"/>
        </w:trPr>
        <w:tc>
          <w:tcPr>
            <w:tcW w:w="66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273,731</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195,242</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FHLB stock, net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interest-earning balances from depository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institutions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(40,632 )</w:t>
            </w:r>
          </w:p>
        </w:tc>
      </w:tr>
      <w:tr>
        <w:trPr>
          <w:trHeight w:val="24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repayment of investment securities available-for-sale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423,040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775,538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642,576</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maturity of investment securities available-for-sale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 securities available-for-sale</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(1,146,071 )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(1,648,575 )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(1,231,163 )</w:t>
            </w:r>
          </w:p>
        </w:tc>
      </w:tr>
      <w:tr>
        <w:trPr>
          <w:trHeight w:val="211"/>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repayment and maturity of investment securities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held-to-maturity</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152,575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146,309</w:t>
            </w: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 securities held-to-maturity</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(659,039 )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(1,510,112 )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(52,855 )</w:t>
            </w: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(increase) in equity investments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(4,010 )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(3,608 )</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(increase) decrease in loan and lease finance receivables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(400,217 )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497,293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(743,290 )</w:t>
            </w: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building, net of selling costs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(4,677 )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(4,672 )</w:t>
            </w: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BOLI</w:t>
            </w:r>
          </w:p>
        </w:tc>
        <w:tc>
          <w:tcPr>
            <w:tcW w:w="32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(25,000 )</w:t>
            </w: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BOLI death benefit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other real estate owned</w:t>
            </w:r>
          </w:p>
        </w:tc>
        <w:tc>
          <w:tcPr>
            <w:tcW w:w="32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20"/>
                <w:szCs w:val="20"/>
                <w:color w:val="auto"/>
              </w:rPr>
            </w:pPr>
          </w:p>
        </w:tc>
      </w:tr>
      <w:tr>
        <w:trPr>
          <w:trHeight w:val="24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acquired from acquisition, net of cash paid</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329,001</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(1,176,966 )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(1,730,491 )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(1,268,758 )</w:t>
            </w:r>
          </w:p>
        </w:tc>
      </w:tr>
      <w:tr>
        <w:trPr>
          <w:trHeight w:val="24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increase in other deposits</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(1,219,107 )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1,313,953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3,076,187</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 time deposits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(103,661 )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(74,012 )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(44,614 )</w:t>
            </w: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other borrowings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(2,719 )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increase in customer repurchase agreements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(76,957 )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202,982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junior subordinated debentures</w:t>
            </w:r>
          </w:p>
        </w:tc>
        <w:tc>
          <w:tcPr>
            <w:tcW w:w="32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(25,774 )</w:t>
            </w: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(104,439 )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(97,733 )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(98,475 )</w:t>
            </w: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(46,330 )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(8,337 )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(92,772 )</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common stock, ASR Plan</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r>
      <w:tr>
        <w:trPr>
          <w:trHeight w:val="236"/>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(625,852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1,309,637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2,856,304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(1,529,087 )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(225,612 )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1,772,642</w:t>
            </w:r>
          </w:p>
        </w:tc>
        <w:tc>
          <w:tcPr>
            <w:tcW w:w="100" w:type="dxa"/>
            <w:vAlign w:val="bottom"/>
          </w:tcPr>
          <w:p>
            <w:pPr>
              <w:spacing w:after="0"/>
              <w:rPr>
                <w:sz w:val="20"/>
                <w:szCs w:val="20"/>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1,958,160</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203,461</w:t>
            </w:r>
          </w:p>
        </w:tc>
        <w:tc>
          <w:tcPr>
            <w:tcW w:w="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1,958,160</w:t>
            </w:r>
          </w:p>
        </w:tc>
        <w:tc>
          <w:tcPr>
            <w:tcW w:w="10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-5128260</wp:posOffset>
            </wp:positionV>
            <wp:extent cx="76835" cy="1625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-5128260</wp:posOffset>
            </wp:positionV>
            <wp:extent cx="68580" cy="1625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-5128260</wp:posOffset>
            </wp:positionV>
            <wp:extent cx="68580" cy="1625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-2379980</wp:posOffset>
            </wp:positionV>
            <wp:extent cx="76835" cy="1714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-2379980</wp:posOffset>
            </wp:positionV>
            <wp:extent cx="68580" cy="171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-2379980</wp:posOffset>
            </wp:positionV>
            <wp:extent cx="68580" cy="1714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-504825</wp:posOffset>
            </wp:positionV>
            <wp:extent cx="76835" cy="1625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-504825</wp:posOffset>
            </wp:positionV>
            <wp:extent cx="68580" cy="1625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1885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1885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00"/>
        </w:trPr>
        <w:tc>
          <w:tcPr>
            <w:tcW w:w="660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Reconciliation of Net Earnings to Net Cash Provided by Operating</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2"/>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235,425</w:t>
            </w:r>
          </w:p>
        </w:tc>
        <w:tc>
          <w:tcPr>
            <w:tcW w:w="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212,521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177,159</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building, net</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(2,717 )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(189 )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(1,680 )</w:t>
            </w: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sale of other real estate owned</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(1,177 )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(365 )</w:t>
            </w:r>
          </w:p>
        </w:tc>
      </w:tr>
      <w:tr>
        <w:trPr>
          <w:trHeight w:val="23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BOLI</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(5,356 )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(8,500 )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(5,303 )</w:t>
            </w: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 securities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for acquired loans, net</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(7,904 )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(12,270 )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(17,412 )</w:t>
            </w: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(recapture of) credit losses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(25,500 )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(Recapture of) provision for unfunded loan commitments</w:t>
            </w: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(1,000 )</w:t>
            </w: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Valuation allowance on other real estate owned</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net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(6,426 )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(1,157 )</w:t>
            </w:r>
          </w:p>
        </w:tc>
      </w:tr>
      <w:tr>
        <w:trPr>
          <w:trHeight w:val="23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other assets and liabilities</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(4,444 )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(10,920 )</w:t>
            </w:r>
          </w:p>
        </w:tc>
      </w:tr>
      <w:tr>
        <w:trPr>
          <w:trHeight w:val="236"/>
        </w:trPr>
        <w:tc>
          <w:tcPr>
            <w:tcW w:w="66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273,731</w:t>
            </w:r>
          </w:p>
        </w:tc>
        <w:tc>
          <w:tcPr>
            <w:tcW w:w="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195,242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185,096</w:t>
            </w:r>
          </w:p>
        </w:tc>
        <w:tc>
          <w:tcPr>
            <w:tcW w:w="10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purchased and not settled</w:t>
            </w: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60,113</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 of loans to other real estate owned</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197,069</w:t>
            </w:r>
          </w:p>
        </w:tc>
        <w:tc>
          <w:tcPr>
            <w:tcW w:w="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-798830</wp:posOffset>
            </wp:positionV>
            <wp:extent cx="76835" cy="1885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-798830</wp:posOffset>
            </wp:positionV>
            <wp:extent cx="68580" cy="1885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-798830</wp:posOffset>
            </wp:positionV>
            <wp:extent cx="68580" cy="1885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YEARS ENDED DECEMBER 31, 2022</w:t>
      </w:r>
    </w:p>
    <w:p>
      <w:pPr>
        <w:spacing w:after="0" w:line="310"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188" w:lineRule="exact"/>
        <w:rPr>
          <w:sz w:val="20"/>
          <w:szCs w:val="20"/>
          <w:color w:val="auto"/>
        </w:rPr>
      </w:pPr>
    </w:p>
    <w:p>
      <w:pPr>
        <w:ind w:right="40" w:firstLine="637"/>
        <w:spacing w:after="0" w:line="265" w:lineRule="auto"/>
        <w:rPr>
          <w:sz w:val="20"/>
          <w:szCs w:val="20"/>
          <w:color w:val="auto"/>
        </w:rPr>
      </w:pPr>
      <w:r>
        <w:rPr>
          <w:rFonts w:ascii="Times New Roman" w:cs="Times New Roman" w:eastAsia="Times New Roman" w:hAnsi="Times New Roman"/>
          <w:sz w:val="18"/>
          <w:szCs w:val="18"/>
          <w:color w:val="auto"/>
        </w:rPr>
        <w:t>The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50" w:lineRule="exact"/>
        <w:rPr>
          <w:sz w:val="20"/>
          <w:szCs w:val="20"/>
          <w:color w:val="auto"/>
        </w:rPr>
      </w:pPr>
    </w:p>
    <w:p>
      <w:pPr>
        <w:ind w:right="40" w:firstLine="637"/>
        <w:spacing w:after="0" w:line="258" w:lineRule="auto"/>
        <w:rPr>
          <w:sz w:val="20"/>
          <w:szCs w:val="20"/>
          <w:color w:val="auto"/>
        </w:rPr>
      </w:pPr>
      <w:r>
        <w:rPr>
          <w:rFonts w:ascii="Times New Roman" w:cs="Times New Roman" w:eastAsia="Times New Roman" w:hAnsi="Times New Roman"/>
          <w:sz w:val="18"/>
          <w:szCs w:val="18"/>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in the Inland Empire, Los Angeles County, Orange County, San Diego County, Ventura County, Santa Barbara County, and the Central Valley area of California. As of December 31, 2022, the Bank operated 62 banking centers, and four trust office locations. The Company is headquartered in the city of Ontario, California.</w:t>
      </w:r>
    </w:p>
    <w:p>
      <w:pPr>
        <w:spacing w:after="0" w:line="286"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8" w:lineRule="exact"/>
        <w:rPr>
          <w:sz w:val="20"/>
          <w:szCs w:val="20"/>
          <w:color w:val="auto"/>
        </w:rPr>
      </w:pPr>
    </w:p>
    <w:p>
      <w:pPr>
        <w:ind w:right="140" w:firstLine="637"/>
        <w:spacing w:after="0" w:line="265"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thereto have been prepared in accordance with the rules and regulations of the Securities and Exchange Commission (“SEC”) for Form 10-K and conform to practices within the banking industry and include all of the information and disclosures required by accounting principles generally accepted in the United States of America (“GAAP”) for financial reporting.</w:t>
      </w:r>
    </w:p>
    <w:p>
      <w:pPr>
        <w:spacing w:after="0" w:line="133" w:lineRule="exact"/>
        <w:rPr>
          <w:sz w:val="20"/>
          <w:szCs w:val="20"/>
          <w:color w:val="auto"/>
        </w:rPr>
      </w:pPr>
    </w:p>
    <w:p>
      <w:pPr>
        <w:ind w:right="4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 </w:t>
      </w:r>
      <w:r>
        <w:rPr>
          <w:rFonts w:ascii="Times New Roman" w:cs="Times New Roman" w:eastAsia="Times New Roman" w:hAnsi="Times New Roman"/>
          <w:sz w:val="18"/>
          <w:szCs w:val="18"/>
          <w:color w:val="auto"/>
        </w:rPr>
        <w:t>— Certain amounts in the prior periods’ financial statements and related footnote disclosures have been reclassified to conform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current presentation with no impact on previously reported net income or stockholders’ equity.</w:t>
      </w:r>
    </w:p>
    <w:p>
      <w:pPr>
        <w:spacing w:after="0" w:line="262"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98" w:lineRule="exact"/>
        <w:rPr>
          <w:sz w:val="20"/>
          <w:szCs w:val="20"/>
          <w:color w:val="auto"/>
        </w:rPr>
      </w:pPr>
    </w:p>
    <w:p>
      <w:pPr>
        <w:ind w:right="40" w:firstLine="63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 The preparation of financial statements in conformity with GAAP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and loans, as well as valuation of deferred tax assets.</w:t>
      </w:r>
    </w:p>
    <w:p>
      <w:pPr>
        <w:spacing w:after="0" w:line="140"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Adoption of New Accounting Standard </w:t>
      </w:r>
      <w:r>
        <w:rPr>
          <w:rFonts w:ascii="Times New Roman" w:cs="Times New Roman" w:eastAsia="Times New Roman" w:hAnsi="Times New Roman"/>
          <w:sz w:val="18"/>
          <w:szCs w:val="18"/>
          <w:color w:val="auto"/>
        </w:rPr>
        <w:t>— On January 1, 2020, the Company adopted ASU No. 2016-13, “Financial Instruments — Credit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(Topic 326): Measurement of Credit Losses on Financial Instruments”. This ASU significantly changes how entities will measure credit losses for most financial assets and certain other instruments that are not measured at fair value through net income. This ASU replaces the current “incurred loss” approach with an “expected loss” model. The new model, referred to as the Current Expected Credit Loss (“CECL”) model, applies to: (1) financial assets subject to credit losses and measured at amortized cost, and (2) certain off balance sheet credit exposures. This includes, but is not limited to, loans, held-to-maturity (“HTM”) securities, loan commitments, and financial guarantees. For loans and HTM debt securities, this ASU requires a CECL measurement to estimate the allowance for credit losses (“ACL”) for the remaining contractual term, adjusted for prepayments, of the financial asset (including off-balance sheet credit exposures) using historical experience, current conditions, and reasonable and supportable forecasts. This ASU also eliminated the existing guidance for purchased credit-impaired (“PCI”) loans, but requires an allowance for purchased financial assets with more than an insignificant deterioration of credit since origination. Purchase Credit Deteriorated (“PCD”) assets are recorded at their purchase price plus an ACL estimated at the time of acquisition. Under this ASU, there is no provision for credit losses recognized at acquisition; instead, there is a gross-up of the purchase price of the financial asset for the estimate of expected credit losses and a corresponding ACL recorded. Changes in estimates of expected credit losses after acquisition are recognized as provision for credit losses (or reversal of provision for credit losses) in subsequent periods. In addition, this ASU modifies the OTTI model for available-for-sale (“AFS”) debt securities to require an allowance for credit impairment instead of a direct write-down, which allows for reversal of credit impairments in future periods based on improvements in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ind w:right="40"/>
        <w:spacing w:after="0" w:line="281" w:lineRule="auto"/>
        <w:rPr>
          <w:sz w:val="20"/>
          <w:szCs w:val="20"/>
          <w:color w:val="auto"/>
        </w:rPr>
      </w:pPr>
      <w:r>
        <w:rPr>
          <w:rFonts w:ascii="Times New Roman" w:cs="Times New Roman" w:eastAsia="Times New Roman" w:hAnsi="Times New Roman"/>
          <w:sz w:val="18"/>
          <w:szCs w:val="18"/>
          <w:color w:val="auto"/>
        </w:rPr>
        <w:t>credit. As a policy election, we excluded the accrued interest receivable balance from the amortized cost basis of financing receivables and HTM securities, as well as AFS securities, and disclose total accrued interest receivable separately on the consolidated balance sheet.</w:t>
      </w:r>
    </w:p>
    <w:p>
      <w:pPr>
        <w:spacing w:after="0" w:line="136" w:lineRule="exact"/>
        <w:rPr>
          <w:sz w:val="20"/>
          <w:szCs w:val="20"/>
          <w:color w:val="auto"/>
        </w:rPr>
      </w:pPr>
    </w:p>
    <w:p>
      <w:pPr>
        <w:ind w:right="100" w:firstLine="637"/>
        <w:spacing w:after="0" w:line="256" w:lineRule="auto"/>
        <w:rPr>
          <w:sz w:val="20"/>
          <w:szCs w:val="20"/>
          <w:color w:val="auto"/>
        </w:rPr>
      </w:pPr>
      <w:r>
        <w:rPr>
          <w:rFonts w:ascii="Times New Roman" w:cs="Times New Roman" w:eastAsia="Times New Roman" w:hAnsi="Times New Roman"/>
          <w:sz w:val="18"/>
          <w:szCs w:val="18"/>
          <w:color w:val="auto"/>
        </w:rPr>
        <w:t>The Company adopted this ASU using the modified retrospective method for all financial assets measured at amortized cost and off-balance sheet credit exposures. Results for reporting periods beginning after January 1, 2020 are presented under ASC 326 while prior period amounts continue to be reported in accordance with previously applicable GAAP. The Company recorded a net decrease to beginning retained earnings of $1.3 million, net of tax as of January 1, 2020 for the cumulative adjustment upon adoption of ASC 326. The transition adjustment of $1.8 million was added to the beginning balance of the ACL for loans and $41,000 was added to the beginning balance of reserve for unfunded loan commitments. Upon adoption of CECL there was no impact on the accounting for AFS or HTM investment securities.</w:t>
      </w:r>
    </w:p>
    <w:p>
      <w:pPr>
        <w:spacing w:after="0" w:line="141" w:lineRule="exact"/>
        <w:rPr>
          <w:sz w:val="20"/>
          <w:szCs w:val="20"/>
          <w:color w:val="auto"/>
        </w:rPr>
      </w:pPr>
    </w:p>
    <w:p>
      <w:pPr>
        <w:ind w:right="100" w:firstLine="6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Segments </w:t>
      </w:r>
      <w:r>
        <w:rPr>
          <w:rFonts w:ascii="Times New Roman" w:cs="Times New Roman" w:eastAsia="Times New Roman" w:hAnsi="Times New Roman"/>
          <w:sz w:val="18"/>
          <w:szCs w:val="18"/>
          <w:color w:val="auto"/>
        </w:rPr>
        <w:t>— We regularly assess our strategic plans, operations and reporting structures to identify our reportable segments. Changes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reportable segments are expected to be infrequent.</w:t>
      </w:r>
    </w:p>
    <w:p>
      <w:pPr>
        <w:spacing w:after="0" w:line="117" w:lineRule="exact"/>
        <w:rPr>
          <w:sz w:val="20"/>
          <w:szCs w:val="20"/>
          <w:color w:val="auto"/>
        </w:rPr>
      </w:pPr>
    </w:p>
    <w:p>
      <w:pPr>
        <w:ind w:right="140" w:firstLine="637"/>
        <w:spacing w:after="0" w:line="255" w:lineRule="auto"/>
        <w:rPr>
          <w:sz w:val="20"/>
          <w:szCs w:val="20"/>
          <w:color w:val="auto"/>
        </w:rPr>
      </w:pPr>
      <w:r>
        <w:rPr>
          <w:rFonts w:ascii="Times New Roman" w:cs="Times New Roman" w:eastAsia="Times New Roman" w:hAnsi="Times New Roman"/>
          <w:sz w:val="18"/>
          <w:szCs w:val="18"/>
          <w:color w:val="auto"/>
        </w:rPr>
        <w:t>As of December 31, 2022, we operated as one reportable segment. The factors considered in making this determination included the nature of products and offered services, geographic regions in which we operate, the applicable regulatory environment, and the materiality of discrete financial information reviewed by our key decision makers. Through our network of banking centers, we provide relationship-based banking products, services 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government-guaranteed small business loans. We also provide business deposit products and treasury cash management services, as well as deposit products to the owners and employees of the businesses we serve.</w:t>
      </w:r>
    </w:p>
    <w:p>
      <w:pPr>
        <w:spacing w:after="0" w:line="156" w:lineRule="exact"/>
        <w:rPr>
          <w:sz w:val="20"/>
          <w:szCs w:val="20"/>
          <w:color w:val="auto"/>
        </w:rPr>
      </w:pPr>
    </w:p>
    <w:p>
      <w:pPr>
        <w:ind w:right="420" w:firstLine="63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Cash on hand, cash items in the process of collection, and amounts due from correspondent banks, the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Reserve Bank and interest-bearing balances due from depository institutions with initial terms of ninety days or less, are included in Cash and cash equivalents.</w:t>
      </w:r>
    </w:p>
    <w:p>
      <w:pPr>
        <w:spacing w:after="0" w:line="129"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Securities </w:t>
      </w:r>
      <w:r>
        <w:rPr>
          <w:rFonts w:ascii="Times New Roman" w:cs="Times New Roman" w:eastAsia="Times New Roman" w:hAnsi="Times New Roman"/>
          <w:sz w:val="18"/>
          <w:szCs w:val="18"/>
          <w:color w:val="auto"/>
        </w:rPr>
        <w:t>— The Company classifies as HTM those debt securities that the Company has the positive intent and ability to hold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Securities classified as trading are those securities that are bought and held principally for the purpose of selling them in the near term. All other debt and equity securities are classified as AFS. Securities held-to-maturity are accounted for at cost and adjusted for amortization of premiums and accretion of discounts. Trading securities are accounted for at fair value with the unrealized gains and losses being included in current earnings. Available-for-sale securities are accounted for at fair value, with the net unrealized gains and losses, net of income tax effects, presented as a separate component of stockholders’ equity. Realized gains and losses on sales of securities are recognized in earnings at the time of sale and are determined on a specific-identification basis. Purchase premiums and discounts are recognized in interest income using the effective-yield method over the estimated terms of the securities. For mortgage-backed securities (“MBS”), the amortization or accretion is based on estimated average lives of the securities. The lives of these securities can fluctuate based on the amount of prepayments received on the underlying collateral of the securities. The Company’s investment in the Federal Home Loan Bank of San Francisco (“FHLB”) stock is carried at cost.</w:t>
      </w:r>
    </w:p>
    <w:p>
      <w:pPr>
        <w:spacing w:after="0" w:line="146"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color w:val="auto"/>
        </w:rPr>
        <w:t>Effective January 1, 2020, upon the adoption of ASU No. 2016-13, “Financial Instruments — Credit Losses (Topic 326): Measurement of Credit Losses on Financial Instruments”, AFS debt securities are measured at fair value and are subject to impairment testing. A security is impaired if the fair value of the security is less than its amortized cost basis. When an available-for-sale debt security is considered impaired, the Company must determine if the decline in fair value has resulted from a credit-related loss or other factors and then, (1) recognize allowance for credit losses by a charge to earnings for the credit-related component (if any) of the decline in fair value, and (2) recognize in other comprehensive income (loss) non-credit related components of the fair value decline (if any). If the amount of the amortized cost basis expected to be recovered increases in a future period, the valuation allowance would be reduced, but not more than the amount of the current existing allowance for that security.</w:t>
      </w:r>
    </w:p>
    <w:p>
      <w:pPr>
        <w:spacing w:after="0" w:line="156" w:lineRule="exact"/>
        <w:rPr>
          <w:sz w:val="20"/>
          <w:szCs w:val="20"/>
          <w:color w:val="auto"/>
        </w:rPr>
      </w:pPr>
    </w:p>
    <w:p>
      <w:pPr>
        <w:ind w:firstLine="63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and Lease Finance Receivables </w:t>
      </w:r>
      <w:r>
        <w:rPr>
          <w:rFonts w:ascii="Times New Roman" w:cs="Times New Roman" w:eastAsia="Times New Roman" w:hAnsi="Times New Roman"/>
          <w:sz w:val="18"/>
          <w:szCs w:val="18"/>
          <w:color w:val="auto"/>
        </w:rPr>
        <w:t>— Loans and lease finance receivables that management has the intent and ability to hold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foreseeable future or until maturity or payoff are reported at the principal balance outstanding, net of nonaccrual interest paid (“NAIP”), deferred loan origination fees and costs, and purchase price discounts and premiums (amortized cost basis). Refer to Note 6 — </w:t>
      </w:r>
      <w:r>
        <w:rPr>
          <w:rFonts w:ascii="Times New Roman" w:cs="Times New Roman" w:eastAsia="Times New Roman" w:hAnsi="Times New Roman"/>
          <w:sz w:val="18"/>
          <w:szCs w:val="18"/>
          <w:i w:val="1"/>
          <w:iCs w:val="1"/>
          <w:color w:val="auto"/>
        </w:rPr>
        <w:t>Loans and Lease Finance Receivables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for total loans, by type.</w:t>
      </w:r>
    </w:p>
    <w:p>
      <w:pPr>
        <w:spacing w:after="0" w:line="138" w:lineRule="exact"/>
        <w:rPr>
          <w:sz w:val="20"/>
          <w:szCs w:val="20"/>
          <w:color w:val="auto"/>
        </w:rPr>
      </w:pPr>
    </w:p>
    <w:p>
      <w:pPr>
        <w:ind w:right="220" w:firstLine="637"/>
        <w:spacing w:after="0" w:line="28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commitments to extend credit to its customers. To the extent that such commitments are unfunded, the related unfunded amounts are not reflected in the accompanying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91" w:name="page92"/>
    <w:bookmarkEnd w:id="91"/>
    <w:p>
      <w:pPr>
        <w:ind w:right="40" w:firstLine="637"/>
        <w:spacing w:after="0" w:line="260" w:lineRule="auto"/>
        <w:rPr>
          <w:sz w:val="20"/>
          <w:szCs w:val="20"/>
          <w:color w:val="auto"/>
        </w:rPr>
      </w:pPr>
      <w:r>
        <w:rPr>
          <w:rFonts w:ascii="Times New Roman" w:cs="Times New Roman" w:eastAsia="Times New Roman" w:hAnsi="Times New Roman"/>
          <w:sz w:val="18"/>
          <w:szCs w:val="18"/>
          <w:color w:val="auto"/>
        </w:rPr>
        <w:t>The Company receives collateral to support loans, lease finance receivables, and commitments to extend credit for which collateral is deemed necessary. The most significant categories for which collateral is deemed necessary are real estate, principally commercial and industrial income-producing properties, Small Business Administration (“SBA”) loans, real estate mortgages, assets utilized in dairy &amp; livestock and agribusiness, and various personal property assets utilized in commercial and industrial business governed by the Uniform Commercial Code.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Nonrefundable fees and direct costs associated with the origination or purchase of loans are deferred and netted against outstanding loan balances.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net loan fees and costs and purchase price discounts are recognized in interest income over the loan term using the effective-yield method.</w:t>
      </w:r>
    </w:p>
    <w:p>
      <w:pPr>
        <w:spacing w:after="0" w:line="162" w:lineRule="exact"/>
        <w:rPr>
          <w:sz w:val="20"/>
          <w:szCs w:val="20"/>
          <w:color w:val="auto"/>
        </w:rPr>
      </w:pPr>
    </w:p>
    <w:p>
      <w:pPr>
        <w:ind w:right="60" w:firstLine="63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Nonaccrual, Past Due, Charge-Offs and Recoveries </w:t>
      </w:r>
      <w:r>
        <w:rPr>
          <w:rFonts w:ascii="Times New Roman" w:cs="Times New Roman" w:eastAsia="Times New Roman" w:hAnsi="Times New Roman"/>
          <w:sz w:val="18"/>
          <w:szCs w:val="18"/>
          <w:color w:val="auto"/>
        </w:rPr>
        <w:t>— Interest on loans and lease finance receivables, is credited to income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amounts of such loans or receivables outstanding. Loans are considered delinquent when principal or interest payments are past due 30 days or more and generally remain on accrual status between 30 and 89 days past due. Loans on which the accrual of interest has been discontinued are designated as nonaccrual loans. In general, interest shall not accrue on any loan for which payment in full of principal and interest is not expected, or when the loan becomes 90 days past due, unless the loan is both well secured and in the process of collection. Factors considered in determining that the full collection of principal and interest is no longer probable include cash flow and liquidity of the borrower or property, the financial position of the guarantors and their willingness to support the loan as well as other factors, and this determination involves significant judgment. When an asset is placed on nonaccrual status, previously accrued but unpaid interest is reversed against income. Subsequent collections of cash are applied as reductions to the principal balance unless the loan is returned to accrual status. Interest is not recognized using a cash-basis method. Nonaccrual loans may be restored to accrual status when principal and interest become current and when the borrower is able to demonstrate payment performance for a sustained period, typically for six months. A nonaccrual loan may return to accrual status sooner based on other significant events or mitigating circumstances. Interest income is not recognized on loans and lease finance receivables when collection of interest is deemed by management to be doubtful. Charge-offs are recognized in the period an obligation becomes uncollectible. The charge-off of a credit does not necessarily mean that the loan has no potential recovery or salvage value, but rather that it is not practical or desirable to defer writing off the loan even though partial recovery may be affected in the future. When determining the amount of the charge-off, management considers all components of the loan’s amortized cost basis, excluding accrued interest receivable (as disclosed herein); however, the non-principal portion of charge-offs have been determined to be immaterial. This policy is consistently applied to all types of loans and lease finance receivables.</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Charge-offs of unsecured consumer loans are recorded when the loan reaches 120 days past due or sooner as circumstances indicate.</w:t>
      </w:r>
    </w:p>
    <w:p>
      <w:pPr>
        <w:spacing w:after="0" w:line="221" w:lineRule="exact"/>
        <w:rPr>
          <w:sz w:val="20"/>
          <w:szCs w:val="20"/>
          <w:color w:val="auto"/>
        </w:rPr>
      </w:pPr>
    </w:p>
    <w:p>
      <w:pPr>
        <w:ind w:right="80" w:firstLine="63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Purchased Loans </w:t>
      </w:r>
      <w:r>
        <w:rPr>
          <w:rFonts w:ascii="Times New Roman" w:cs="Times New Roman" w:eastAsia="Times New Roman" w:hAnsi="Times New Roman"/>
          <w:sz w:val="18"/>
          <w:szCs w:val="18"/>
          <w:color w:val="auto"/>
        </w:rPr>
        <w:t>— All purchased loans are initially measured and recorded at their fair value on the acquisition date. A component of the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measurement is an estimate of the credit losses over the life of the purchased loans. Purchased loans are also evaluated to determine if there is a more than insignificant deterioration of credit since origination. With the adoption of ASU 2016-13 on January 1, 2020, PCD assets are recorded at their purchase price plus an ACL estimated at the time of acquisition as described below.</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Purchased Loans with Credit Deterioration</w:t>
      </w:r>
    </w:p>
    <w:p>
      <w:pPr>
        <w:spacing w:after="0" w:line="186" w:lineRule="exact"/>
        <w:rPr>
          <w:sz w:val="20"/>
          <w:szCs w:val="20"/>
          <w:color w:val="auto"/>
        </w:rPr>
      </w:pPr>
    </w:p>
    <w:p>
      <w:pPr>
        <w:ind w:right="160" w:firstLine="637"/>
        <w:spacing w:after="0" w:line="256" w:lineRule="auto"/>
        <w:rPr>
          <w:sz w:val="20"/>
          <w:szCs w:val="20"/>
          <w:color w:val="auto"/>
        </w:rPr>
      </w:pPr>
      <w:r>
        <w:rPr>
          <w:rFonts w:ascii="Times New Roman" w:cs="Times New Roman" w:eastAsia="Times New Roman" w:hAnsi="Times New Roman"/>
          <w:sz w:val="18"/>
          <w:szCs w:val="18"/>
          <w:color w:val="auto"/>
        </w:rPr>
        <w:t>Effective January 1, 2020, ASU 2016-13 eliminated the existing guidance for PCI loans, but requires an allowance for purchased financial assets with more than an insignificant deterioration of credit since origination. The acquisition-date allowance for credit losses (“ACL”) for PCD loans will be allocated to the individual PCD loans (assuming it was originally determined on a collective basis). The sum of the purchase price of the loan (the acquisition date fair value for a loan acquired in a business combination) and the ACL becomes the loan’s new amortized cost basis. The difference between the new amortized cost basis and the unpaid principal balance of the loan represents the non-credit purchase premium or discount that will be amortized or accreted into interest income over the remaining life of the loan.</w:t>
      </w:r>
    </w:p>
    <w:p>
      <w:pPr>
        <w:spacing w:after="0" w:line="145" w:lineRule="exact"/>
        <w:rPr>
          <w:sz w:val="20"/>
          <w:szCs w:val="20"/>
          <w:color w:val="auto"/>
        </w:rPr>
      </w:pPr>
    </w:p>
    <w:p>
      <w:pPr>
        <w:ind w:right="180" w:firstLine="637"/>
        <w:spacing w:after="0" w:line="265" w:lineRule="auto"/>
        <w:rPr>
          <w:sz w:val="20"/>
          <w:szCs w:val="20"/>
          <w:color w:val="auto"/>
        </w:rPr>
      </w:pPr>
      <w:r>
        <w:rPr>
          <w:rFonts w:ascii="Times New Roman" w:cs="Times New Roman" w:eastAsia="Times New Roman" w:hAnsi="Times New Roman"/>
          <w:sz w:val="18"/>
          <w:szCs w:val="18"/>
          <w:color w:val="auto"/>
        </w:rPr>
        <w:t>Subsequent to acquisition, the ACL for PCD loans will generally follow the same estimation, provision and charge-off process as non-PCD acquired and originated loans. Additionally, TDR identification for acquired loans (PCD and non-PCD) will be consistent with the TDR identification for originated loans.</w:t>
      </w:r>
    </w:p>
    <w:p>
      <w:pPr>
        <w:spacing w:after="0" w:line="146" w:lineRule="exact"/>
        <w:rPr>
          <w:sz w:val="20"/>
          <w:szCs w:val="20"/>
          <w:color w:val="auto"/>
        </w:rPr>
      </w:pPr>
    </w:p>
    <w:p>
      <w:pPr>
        <w:ind w:right="20" w:firstLine="637"/>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Troubled Debt Restructurings </w:t>
      </w:r>
      <w:r>
        <w:rPr>
          <w:rFonts w:ascii="Times New Roman" w:cs="Times New Roman" w:eastAsia="Times New Roman" w:hAnsi="Times New Roman"/>
          <w:sz w:val="17"/>
          <w:szCs w:val="17"/>
          <w:color w:val="auto"/>
        </w:rPr>
        <w:t>— Loans are reported as a Troubled Debt Restructuring (“TDR”) if the borrower is deemed to be financially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troubled, and the Company grants a concession to the debtor that it would not otherwise consider. Types of modifications that may be considered concessions, which in turn result in a TDR include, but are not limited to, (i) a reduction of the stated interest rate for the remaining original life of the debt,</w:t>
      </w:r>
    </w:p>
    <w:p>
      <w:pPr>
        <w:ind w:firstLine="8"/>
        <w:spacing w:after="0" w:line="260"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the maturity date or dates at a stated interest rate lower than the current market rate for new debt with similar risk, (iii) a reduction of the face amount or maturity amount of the debt as stated in the instrument or other agreement, or (iv) a reduction of interest.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92" w:name="page93"/>
    <w:bookmarkEnd w:id="92"/>
    <w:p>
      <w:pPr>
        <w:ind w:right="160" w:firstLine="637"/>
        <w:spacing w:after="0" w:line="265" w:lineRule="auto"/>
        <w:rPr>
          <w:sz w:val="20"/>
          <w:szCs w:val="20"/>
          <w:color w:val="auto"/>
        </w:rPr>
      </w:pPr>
      <w:r>
        <w:rPr>
          <w:rFonts w:ascii="Times New Roman" w:cs="Times New Roman" w:eastAsia="Times New Roman" w:hAnsi="Times New Roman"/>
          <w:sz w:val="18"/>
          <w:szCs w:val="18"/>
          <w:color w:val="auto"/>
        </w:rPr>
        <w:t>In situations where the Company has determined that the borrower is experiencing financial difficulties and is evaluating whether a concession is insignificant, and therefore does not result in a TDR, such analysis is based on an evaluation of both the amount and the timing of the restructured payments, including the following factors:</w:t>
      </w:r>
    </w:p>
    <w:p>
      <w:pPr>
        <w:spacing w:after="0" w:line="69" w:lineRule="exact"/>
        <w:rPr>
          <w:sz w:val="20"/>
          <w:szCs w:val="20"/>
          <w:color w:val="auto"/>
        </w:rPr>
      </w:pPr>
    </w:p>
    <w:p>
      <w:pPr>
        <w:ind w:left="1520" w:right="120" w:hanging="374"/>
        <w:spacing w:after="0" w:line="281" w:lineRule="auto"/>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the restructured payments subject to delay is insignificant relative to the unpaid principal balance or collateral value of the debt and will result in an insignificant shortfall in the contractual amount due; and</w:t>
      </w:r>
    </w:p>
    <w:p>
      <w:pPr>
        <w:spacing w:after="0" w:line="54" w:lineRule="exact"/>
        <w:rPr>
          <w:rFonts w:ascii="Times New Roman" w:cs="Times New Roman" w:eastAsia="Times New Roman" w:hAnsi="Times New Roman"/>
          <w:sz w:val="18"/>
          <w:szCs w:val="18"/>
          <w:color w:val="auto"/>
        </w:rPr>
      </w:pPr>
    </w:p>
    <w:p>
      <w:pPr>
        <w:ind w:left="1520" w:hanging="374"/>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is insignificant relative to any of the following:</w:t>
      </w:r>
    </w:p>
    <w:p>
      <w:pPr>
        <w:spacing w:after="0" w:line="116" w:lineRule="exact"/>
        <w:rPr>
          <w:rFonts w:ascii="Times New Roman" w:cs="Times New Roman" w:eastAsia="Times New Roman" w:hAnsi="Times New Roman"/>
          <w:sz w:val="18"/>
          <w:szCs w:val="18"/>
          <w:color w:val="auto"/>
        </w:rPr>
      </w:pPr>
    </w:p>
    <w:p>
      <w:pPr>
        <w:ind w:left="2020" w:hanging="365"/>
        <w:spacing w:after="0"/>
        <w:tabs>
          <w:tab w:leader="none" w:pos="2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of payments due;</w:t>
      </w:r>
    </w:p>
    <w:p>
      <w:pPr>
        <w:spacing w:after="0" w:line="27" w:lineRule="exact"/>
        <w:rPr>
          <w:rFonts w:ascii="Times New Roman" w:cs="Times New Roman" w:eastAsia="Times New Roman" w:hAnsi="Times New Roman"/>
          <w:sz w:val="18"/>
          <w:szCs w:val="18"/>
          <w:color w:val="auto"/>
        </w:rPr>
      </w:pPr>
    </w:p>
    <w:p>
      <w:pPr>
        <w:ind w:left="2020" w:hanging="365"/>
        <w:spacing w:after="0"/>
        <w:tabs>
          <w:tab w:leader="none" w:pos="2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debt’s original contractual maturity; or</w:t>
      </w:r>
    </w:p>
    <w:p>
      <w:pPr>
        <w:spacing w:after="0" w:line="8" w:lineRule="exact"/>
        <w:rPr>
          <w:rFonts w:ascii="Times New Roman" w:cs="Times New Roman" w:eastAsia="Times New Roman" w:hAnsi="Times New Roman"/>
          <w:sz w:val="18"/>
          <w:szCs w:val="18"/>
          <w:color w:val="auto"/>
        </w:rPr>
      </w:pPr>
    </w:p>
    <w:p>
      <w:pPr>
        <w:ind w:left="2020" w:hanging="365"/>
        <w:spacing w:after="0"/>
        <w:tabs>
          <w:tab w:leader="none" w:pos="2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debt’s original expected duration.</w:t>
      </w:r>
    </w:p>
    <w:p>
      <w:pPr>
        <w:spacing w:after="0" w:line="179" w:lineRule="exact"/>
        <w:rPr>
          <w:sz w:val="20"/>
          <w:szCs w:val="20"/>
          <w:color w:val="auto"/>
        </w:rPr>
      </w:pPr>
    </w:p>
    <w:p>
      <w:pPr>
        <w:ind w:right="180" w:firstLine="637"/>
        <w:spacing w:after="0" w:line="258" w:lineRule="auto"/>
        <w:rPr>
          <w:sz w:val="20"/>
          <w:szCs w:val="20"/>
          <w:color w:val="auto"/>
        </w:rPr>
      </w:pPr>
      <w:r>
        <w:rPr>
          <w:rFonts w:ascii="Times New Roman" w:cs="Times New Roman" w:eastAsia="Times New Roman" w:hAnsi="Times New Roman"/>
          <w:sz w:val="18"/>
          <w:szCs w:val="18"/>
          <w:color w:val="auto"/>
        </w:rPr>
        <w:t>Nonaccrual restructured loans are included and treated with all other nonaccrual loans. In addition, all accruing restructured loans are reported as TDRs, which are considered and accounted for as impaired loans. A loan that has been placed on nonaccrual status that is subsequently restructured will remain on nonaccrual status until the borrower is able to demonstrate repayment performance in compliance with the restructured terms for a sustained period of time, generally for a minimum of six months. A restructured loan may return to accrual status sooner based on other significant events or circumstances.</w:t>
      </w:r>
    </w:p>
    <w:p>
      <w:pPr>
        <w:spacing w:after="0" w:line="141" w:lineRule="exact"/>
        <w:rPr>
          <w:sz w:val="20"/>
          <w:szCs w:val="20"/>
          <w:color w:val="auto"/>
        </w:rPr>
      </w:pPr>
    </w:p>
    <w:p>
      <w:pPr>
        <w:ind w:firstLine="637"/>
        <w:spacing w:after="0" w:line="258" w:lineRule="auto"/>
        <w:rPr>
          <w:sz w:val="20"/>
          <w:szCs w:val="20"/>
          <w:color w:val="auto"/>
        </w:rPr>
      </w:pPr>
      <w:r>
        <w:rPr>
          <w:rFonts w:ascii="Times New Roman" w:cs="Times New Roman" w:eastAsia="Times New Roman" w:hAnsi="Times New Roman"/>
          <w:sz w:val="18"/>
          <w:szCs w:val="18"/>
          <w:color w:val="auto"/>
        </w:rPr>
        <w:t>Charge-offs of unsecured consumer loans are recorded when the loan reaches 120 days past due or sooner as circumstances indicate. Except for the charge-offs of unsecured consumer loans, the charge-off policy is applied consistently across all portfolio segments. Impaired single-family mortgage loans that have been modified in accordance with the various government modification programs are also measured based on the present value of the expected cash flows discounted at the loan’s pre-modification interest rate. The Company recognizes the change in present value attributable to the passage of time as interest income on such performing SFR mortgage loans and the amount of interest income recognized to date has been insignificant.</w:t>
      </w:r>
    </w:p>
    <w:p>
      <w:pPr>
        <w:spacing w:after="0" w:line="137" w:lineRule="exact"/>
        <w:rPr>
          <w:sz w:val="20"/>
          <w:szCs w:val="20"/>
          <w:color w:val="auto"/>
        </w:rPr>
      </w:pPr>
    </w:p>
    <w:p>
      <w:pPr>
        <w:ind w:right="40" w:firstLine="63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and Allowance for Credit Losses </w:t>
      </w:r>
      <w:r>
        <w:rPr>
          <w:rFonts w:ascii="Times New Roman" w:cs="Times New Roman" w:eastAsia="Times New Roman" w:hAnsi="Times New Roman"/>
          <w:sz w:val="18"/>
          <w:szCs w:val="18"/>
          <w:color w:val="auto"/>
        </w:rPr>
        <w:t>— On January 1, 2020, the Company adopted ASU No. 2016-13, “Financial Instruments —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Losses (Topic 326): Measurement of Credit Losses on Financial Instruments”. This ASU significantly changes how entities will measure credit losses for most financial assets and certain other instruments that are not measured at fair value through net income. This ASU replaces the current “incurred loss” approach with an “expected loss” model. The new model, referred to as the CECL model, applies to: (1) financial assets subject to credit losses and measured at amortized cost, and (2) certain off balance sheet credit exposures. This includes, but is not limited to, loans, HTM securities, loan commitments, and financial guarantees. AFS debt securities are measured at fair value and are subject to impairment testing. This ASU modifies the OTTI model for AFS debt securities to require an allowance for credit impairment instead of a direct write-down, which allows for reversal of credit impairments in future periods based on improvements in credit. When an AFS debt security is considered impaired, and the Company determines that the decline in fair value has resulted from a credit-related loss (as described previously under </w:t>
      </w:r>
      <w:r>
        <w:rPr>
          <w:rFonts w:ascii="Times New Roman" w:cs="Times New Roman" w:eastAsia="Times New Roman" w:hAnsi="Times New Roman"/>
          <w:sz w:val="18"/>
          <w:szCs w:val="18"/>
          <w:b w:val="1"/>
          <w:bCs w:val="1"/>
          <w:i w:val="1"/>
          <w:iCs w:val="1"/>
          <w:color w:val="auto"/>
        </w:rPr>
        <w:t>Investment Securities)</w:t>
      </w:r>
      <w:r>
        <w:rPr>
          <w:rFonts w:ascii="Times New Roman" w:cs="Times New Roman" w:eastAsia="Times New Roman" w:hAnsi="Times New Roman"/>
          <w:sz w:val="18"/>
          <w:szCs w:val="18"/>
          <w:color w:val="auto"/>
        </w:rPr>
        <w:t>, then an allowance for credit losses will be recognized by a charge to earnings for the credit-related component of the decline in fair value. As a result, we will recognize improvements to estimated credit losses immediately in earnings rather than as interest income over time, as required prior to the adoption of CECL. As a policy election, we exclude the accrued interest receivable balance from the amortized cost basis of financing receivables and HTM securities, as well as AFS securities, and disclose total accrued interest receivable separately on the consolidated balance sheet. If accrued interest is not received, it is reversed against interest income, which was zero for 2022 and 2021.</w:t>
      </w:r>
    </w:p>
    <w:p>
      <w:pPr>
        <w:spacing w:after="0" w:line="171" w:lineRule="exact"/>
        <w:rPr>
          <w:sz w:val="20"/>
          <w:szCs w:val="20"/>
          <w:color w:val="auto"/>
        </w:rPr>
      </w:pPr>
    </w:p>
    <w:p>
      <w:pPr>
        <w:ind w:right="20" w:firstLine="637"/>
        <w:spacing w:after="0" w:line="253" w:lineRule="auto"/>
        <w:rPr>
          <w:sz w:val="20"/>
          <w:szCs w:val="20"/>
          <w:color w:val="auto"/>
        </w:rPr>
      </w:pPr>
      <w:r>
        <w:rPr>
          <w:rFonts w:ascii="Times New Roman" w:cs="Times New Roman" w:eastAsia="Times New Roman" w:hAnsi="Times New Roman"/>
          <w:sz w:val="18"/>
          <w:szCs w:val="18"/>
          <w:color w:val="auto"/>
        </w:rPr>
        <w:t>The Company developed allowance models that calculate reserves over the average life of the loan, which includes the remaining time to maturity, adjusted for estimated prepayments applied as an adjustment to our commercial real estate and commercial and industrial loans. The allowance is based upon lifetime loss rate models developed from an estimation framework that uses historical lifetime loss experiences to derive loss rates at a collective pool level,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Payment Protection Program loans). The collective ACL methodologies include an estimation framework that uses loss experiences of data sets of unique loans aggregated by each pool, respectively, to derive loss rates at the pool level during the average life of the underlying loans. Our ACL amounts are largely driven by portfolio characteristics, including loss history, Original Loan to Value Ratios (“OLTV”), internal risk grading,</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93" w:name="page94"/>
    <w:bookmarkEnd w:id="93"/>
    <w:p>
      <w:pPr>
        <w:ind w:right="40"/>
        <w:spacing w:after="0" w:line="255" w:lineRule="auto"/>
        <w:rPr>
          <w:sz w:val="20"/>
          <w:szCs w:val="20"/>
          <w:color w:val="auto"/>
        </w:rPr>
      </w:pPr>
      <w:r>
        <w:rPr>
          <w:rFonts w:ascii="Times New Roman" w:cs="Times New Roman" w:eastAsia="Times New Roman" w:hAnsi="Times New Roman"/>
          <w:sz w:val="18"/>
          <w:szCs w:val="18"/>
          <w:color w:val="auto"/>
        </w:rPr>
        <w:t>macroeconomic variables and the associated economic outlook, as well as other key methodology assumptions.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2-3, of the reasonable and supportable forecast period, with the reversion largely completed within the first five years of the forecast. The economic forecast is based on probability weighted scenarios to address macroeconomic uncertainty.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60" w:lineRule="exact"/>
        <w:rPr>
          <w:sz w:val="20"/>
          <w:szCs w:val="20"/>
          <w:color w:val="auto"/>
        </w:rPr>
      </w:pPr>
    </w:p>
    <w:p>
      <w:pPr>
        <w:ind w:right="180" w:firstLine="637"/>
        <w:spacing w:after="0" w:line="258" w:lineRule="auto"/>
        <w:rPr>
          <w:sz w:val="20"/>
          <w:szCs w:val="20"/>
          <w:color w:val="auto"/>
        </w:rPr>
      </w:pPr>
      <w:r>
        <w:rPr>
          <w:rFonts w:ascii="Times New Roman" w:cs="Times New Roman" w:eastAsia="Times New Roman" w:hAnsi="Times New Roman"/>
          <w:sz w:val="18"/>
          <w:szCs w:val="18"/>
          <w:color w:val="auto"/>
        </w:rPr>
        <w:t>We monitor credit quality by evaluating various risk attributes and utilize such information in our evaluation of the appropriateness of the allowance for credit losses. An important element of our approach to credit risk management is our loan risk rating system (Pass, Special Mention, Substandard, Doubtful and Loss). Loan risk ratings are updated as facts related to the loan or borrower become available. In addition, all term loans in excess of $1.0 million are subject to an annual internal credit review process where all factors underlying the loan, borrower and guarantors are subject to review which may result in changes to the loan’s risk rating.</w:t>
      </w:r>
    </w:p>
    <w:p>
      <w:pPr>
        <w:spacing w:after="0" w:line="141" w:lineRule="exact"/>
        <w:rPr>
          <w:sz w:val="20"/>
          <w:szCs w:val="20"/>
          <w:color w:val="auto"/>
        </w:rPr>
      </w:pPr>
    </w:p>
    <w:p>
      <w:pPr>
        <w:ind w:right="680" w:firstLine="637"/>
        <w:spacing w:after="0" w:line="281" w:lineRule="auto"/>
        <w:rPr>
          <w:sz w:val="20"/>
          <w:szCs w:val="20"/>
          <w:color w:val="auto"/>
        </w:rPr>
      </w:pPr>
      <w:r>
        <w:rPr>
          <w:rFonts w:ascii="Times New Roman" w:cs="Times New Roman" w:eastAsia="Times New Roman" w:hAnsi="Times New Roman"/>
          <w:sz w:val="18"/>
          <w:szCs w:val="18"/>
          <w:color w:val="auto"/>
        </w:rPr>
        <w:t xml:space="preserve">Our methodology for assessing the appropriateness of the allowance is conducted on a regular basis and considers the Bank’s overall loan portfolio. Refer to Note 6 — </w:t>
      </w:r>
      <w:r>
        <w:rPr>
          <w:rFonts w:ascii="Times New Roman" w:cs="Times New Roman" w:eastAsia="Times New Roman" w:hAnsi="Times New Roman"/>
          <w:sz w:val="18"/>
          <w:szCs w:val="18"/>
          <w:i w:val="1"/>
          <w:iCs w:val="1"/>
          <w:color w:val="auto"/>
        </w:rPr>
        <w:t>Loans and Lease Finance Receivables and Allowance for Credit Losses, Credit Quality Indicators</w:t>
      </w:r>
    </w:p>
    <w:p>
      <w:pPr>
        <w:spacing w:after="0" w:line="118" w:lineRule="exact"/>
        <w:rPr>
          <w:sz w:val="20"/>
          <w:szCs w:val="20"/>
          <w:color w:val="auto"/>
        </w:rPr>
      </w:pPr>
    </w:p>
    <w:p>
      <w:pPr>
        <w:ind w:right="40" w:firstLine="63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Reserve for Unfunded Loan Commitments </w:t>
      </w:r>
      <w:r>
        <w:rPr>
          <w:rFonts w:ascii="Times New Roman" w:cs="Times New Roman" w:eastAsia="Times New Roman" w:hAnsi="Times New Roman"/>
          <w:sz w:val="18"/>
          <w:szCs w:val="18"/>
          <w:color w:val="auto"/>
        </w:rPr>
        <w:t>— The reserve for off-balance sheet credit exposure relates to commitments to extend credit, letters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and undisbursed funds on lines of credit. The Company evaluates credit risk associated with the off-balance sheet loan commitments in the same manner as it evaluates credit risk associated with the loan and lease portfolio. Effective January 1, 2020, the reserve was calculated on the expected portion of the commitment to be funded over its life and the life of the commitment loss expectation, utilizing the same three collective pool methodologies described for the Allowance for Credit Losses. We include the reserve for unfunded loan commitments in other liabilities and the related provision in other noninterest expense.</w:t>
      </w:r>
    </w:p>
    <w:p>
      <w:pPr>
        <w:spacing w:after="0" w:line="153" w:lineRule="exact"/>
        <w:rPr>
          <w:sz w:val="20"/>
          <w:szCs w:val="20"/>
          <w:color w:val="auto"/>
        </w:rPr>
      </w:pPr>
    </w:p>
    <w:p>
      <w:pPr>
        <w:ind w:firstLine="63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Real Estate Owned </w:t>
      </w:r>
      <w:r>
        <w:rPr>
          <w:rFonts w:ascii="Times New Roman" w:cs="Times New Roman" w:eastAsia="Times New Roman" w:hAnsi="Times New Roman"/>
          <w:sz w:val="18"/>
          <w:szCs w:val="18"/>
          <w:color w:val="auto"/>
        </w:rPr>
        <w:t>— Other real estate owned (“OREO”) represents real estate acquired through foreclosure in lieu of repayment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and real estate loans and is stated at fair value, less estimated costs to sell (fair value at time of foreclosure). Loan balances in excess of fair value of the real estate acquired at the date of acquisition are charged against the allowance for credit losses. Any subsequent operating expenses or income, reduction in estimated values, and gains or losses on disposition of such properties are charged to current operations. Gain recognition upon disposition of a property is dependent on the sale having met certain criteria relating to the buyer’s initial investment in the property sold.</w:t>
      </w:r>
    </w:p>
    <w:p>
      <w:pPr>
        <w:spacing w:after="0" w:line="137" w:lineRule="exact"/>
        <w:rPr>
          <w:sz w:val="20"/>
          <w:szCs w:val="20"/>
          <w:color w:val="auto"/>
        </w:rPr>
      </w:pPr>
    </w:p>
    <w:p>
      <w:pPr>
        <w:ind w:right="20" w:firstLine="64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Premises and Equipment </w:t>
      </w:r>
      <w:r>
        <w:rPr>
          <w:rFonts w:ascii="Times New Roman" w:cs="Times New Roman" w:eastAsia="Times New Roman" w:hAnsi="Times New Roman"/>
          <w:sz w:val="18"/>
          <w:szCs w:val="18"/>
          <w:color w:val="auto"/>
        </w:rPr>
        <w:t>— Premises and equipment are stated at cost, less accumulated depreciation, which is provided for in amounts sufficient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relate the cost of depreciable assets to operations over the estimated service lives of the respective asset and are computed on a straight-line basis. The ranges of useful lives of the principal classes of assets are as follows:</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Bank premises</w:t>
            </w:r>
          </w:p>
        </w:tc>
        <w:tc>
          <w:tcPr>
            <w:tcW w:w="53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15 - 39 years</w:t>
            </w: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3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Shorter of estimated economic lives of 15 years or term of the lease.</w:t>
            </w: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211" w:lineRule="exact"/>
        <w:rPr>
          <w:sz w:val="20"/>
          <w:szCs w:val="20"/>
          <w:color w:val="auto"/>
        </w:rPr>
      </w:pPr>
    </w:p>
    <w:p>
      <w:pPr>
        <w:ind w:right="40" w:firstLine="644"/>
        <w:spacing w:after="0" w:line="265" w:lineRule="auto"/>
        <w:rPr>
          <w:sz w:val="20"/>
          <w:szCs w:val="20"/>
          <w:color w:val="auto"/>
        </w:rPr>
      </w:pPr>
      <w:r>
        <w:rPr>
          <w:rFonts w:ascii="Times New Roman" w:cs="Times New Roman" w:eastAsia="Times New Roman" w:hAnsi="Times New Roman"/>
          <w:sz w:val="18"/>
          <w:szCs w:val="18"/>
          <w:color w:val="auto"/>
        </w:rPr>
        <w:t>Long-lived assets are reviewed periodically for impairment when events or changes in circumstances indicate that the carrying amount may not be recoverable. The existence of impairment is based on undiscounted cash flows. To the extent impairment exists, the impairment is calculated as the difference in fair value of assets and their carrying value. The impairment loss, if any, would be recorded in noninterest expense.</w:t>
      </w:r>
    </w:p>
    <w:p>
      <w:pPr>
        <w:spacing w:after="0" w:line="137" w:lineRule="exact"/>
        <w:rPr>
          <w:sz w:val="20"/>
          <w:szCs w:val="20"/>
          <w:color w:val="auto"/>
        </w:rPr>
      </w:pPr>
    </w:p>
    <w:p>
      <w:pPr>
        <w:ind w:right="320" w:firstLine="644"/>
        <w:spacing w:after="0" w:line="281" w:lineRule="auto"/>
        <w:rPr>
          <w:sz w:val="20"/>
          <w:szCs w:val="20"/>
          <w:color w:val="auto"/>
        </w:rPr>
      </w:pPr>
      <w:r>
        <w:rPr>
          <w:rFonts w:ascii="Times New Roman" w:cs="Times New Roman" w:eastAsia="Times New Roman" w:hAnsi="Times New Roman"/>
          <w:sz w:val="18"/>
          <w:szCs w:val="18"/>
          <w:color w:val="auto"/>
        </w:rPr>
        <w:t>Long-lived assets classified as held-for-sale are measured at the lower of its carrying amount or fair value less cost to sell. Assets-held-for sale include long-lived assets transferred from our “held-and-used” portfolio in the period in which the following criteria are met:</w:t>
      </w:r>
    </w:p>
    <w:p>
      <w:pPr>
        <w:spacing w:after="0" w:line="136" w:lineRule="exact"/>
        <w:rPr>
          <w:sz w:val="20"/>
          <w:szCs w:val="20"/>
          <w:color w:val="auto"/>
        </w:rPr>
      </w:pPr>
    </w:p>
    <w:p>
      <w:pPr>
        <w:ind w:left="1660" w:hanging="379"/>
        <w:spacing w:after="0"/>
        <w:tabs>
          <w:tab w:leader="none" w:pos="1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having the authority to approve the action, commits to a plan to sell the asset;</w:t>
      </w:r>
    </w:p>
    <w:p>
      <w:pPr>
        <w:spacing w:after="0" w:line="27" w:lineRule="exact"/>
        <w:rPr>
          <w:rFonts w:ascii="Times New Roman" w:cs="Times New Roman" w:eastAsia="Times New Roman" w:hAnsi="Times New Roman"/>
          <w:sz w:val="18"/>
          <w:szCs w:val="18"/>
          <w:color w:val="auto"/>
        </w:rPr>
      </w:pPr>
    </w:p>
    <w:p>
      <w:pPr>
        <w:ind w:left="1660" w:right="120" w:hanging="379"/>
        <w:spacing w:after="0" w:line="250" w:lineRule="auto"/>
        <w:tabs>
          <w:tab w:leader="none" w:pos="1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is available for immediate sale, an active program to locate a buyer and other actions required to complete the plan to sell the asset have been initiated;</w:t>
      </w:r>
    </w:p>
    <w:p>
      <w:pPr>
        <w:ind w:left="1660" w:hanging="379"/>
        <w:spacing w:after="0"/>
        <w:tabs>
          <w:tab w:leader="none" w:pos="1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asset is probable, and transfer of the asset is expected to qualify for recognition as a completed sale, within one year;</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94" w:name="page95"/>
    <w:bookmarkEnd w:id="94"/>
    <w:p>
      <w:pPr>
        <w:ind w:left="1660" w:hanging="379"/>
        <w:spacing w:after="0"/>
        <w:tabs>
          <w:tab w:leader="none" w:pos="1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is being actively marketed for sale at a price that is reasonable in relation to its current fair value;</w:t>
      </w:r>
    </w:p>
    <w:p>
      <w:pPr>
        <w:spacing w:after="0" w:line="27" w:lineRule="exact"/>
        <w:rPr>
          <w:rFonts w:ascii="Times New Roman" w:cs="Times New Roman" w:eastAsia="Times New Roman" w:hAnsi="Times New Roman"/>
          <w:sz w:val="18"/>
          <w:szCs w:val="18"/>
          <w:color w:val="auto"/>
        </w:rPr>
      </w:pPr>
    </w:p>
    <w:p>
      <w:pPr>
        <w:ind w:left="1660" w:right="20" w:hanging="379"/>
        <w:spacing w:after="0" w:line="260" w:lineRule="auto"/>
        <w:tabs>
          <w:tab w:leader="none" w:pos="1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required to complete the plan indicate that it is unlikely that significant changes to the plan will be made or that the plan will be withdrawn.</w:t>
      </w:r>
    </w:p>
    <w:p>
      <w:pPr>
        <w:spacing w:after="0" w:line="244" w:lineRule="exact"/>
        <w:rPr>
          <w:sz w:val="20"/>
          <w:szCs w:val="20"/>
          <w:color w:val="auto"/>
        </w:rPr>
      </w:pPr>
    </w:p>
    <w:p>
      <w:pPr>
        <w:ind w:right="60" w:firstLine="63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 Goodwill resulting from business combinations prior to January 1, 2009, represents the excess of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over the fair value of the net assets of the businesses acquired. Goodwill resulting from business combinations after January 1, 2009, is generally determined as the excess of the fair value of the consideration transferred, plus the fair value of any non-controlling interest in the acquiree, over the fair value of the net assets acquired and liabilities assumed as of the acquisition date. Goodwill and intangible assets acquired in a purchase business combination and determined to have an indefinite useful life are not amortized, but are tested for impairment at least annually, or more frequently, if events and circumstances exist that indicate that a goodwill impairment test should be performed.</w:t>
      </w:r>
    </w:p>
    <w:p>
      <w:pPr>
        <w:spacing w:after="0" w:line="157" w:lineRule="exact"/>
        <w:rPr>
          <w:sz w:val="20"/>
          <w:szCs w:val="20"/>
          <w:color w:val="auto"/>
        </w:rPr>
      </w:pPr>
    </w:p>
    <w:p>
      <w:pPr>
        <w:ind w:right="220" w:firstLine="637"/>
        <w:spacing w:after="0" w:line="265" w:lineRule="auto"/>
        <w:rPr>
          <w:sz w:val="20"/>
          <w:szCs w:val="20"/>
          <w:color w:val="auto"/>
        </w:rPr>
      </w:pPr>
      <w:r>
        <w:rPr>
          <w:rFonts w:ascii="Times New Roman" w:cs="Times New Roman" w:eastAsia="Times New Roman" w:hAnsi="Times New Roman"/>
          <w:sz w:val="18"/>
          <w:szCs w:val="18"/>
          <w:color w:val="auto"/>
        </w:rPr>
        <w:t>Intangible assets with definite useful lives are amortized over their estimated useful lives to their estimated residual values. Goodwill is the only intangible asset with an indefinite life on our balance sheets. Based on the Company’s annual impairment test, there was no recorded impairment as of December 31, 2022.</w:t>
      </w:r>
    </w:p>
    <w:p>
      <w:pPr>
        <w:spacing w:after="0" w:line="137" w:lineRule="exact"/>
        <w:rPr>
          <w:sz w:val="20"/>
          <w:szCs w:val="20"/>
          <w:color w:val="auto"/>
        </w:rPr>
      </w:pPr>
    </w:p>
    <w:p>
      <w:pPr>
        <w:ind w:right="40" w:firstLine="637"/>
        <w:spacing w:after="0" w:line="281" w:lineRule="auto"/>
        <w:rPr>
          <w:sz w:val="20"/>
          <w:szCs w:val="20"/>
          <w:color w:val="auto"/>
        </w:rPr>
      </w:pPr>
      <w:r>
        <w:rPr>
          <w:rFonts w:ascii="Times New Roman" w:cs="Times New Roman" w:eastAsia="Times New Roman" w:hAnsi="Times New Roman"/>
          <w:sz w:val="18"/>
          <w:szCs w:val="18"/>
          <w:color w:val="auto"/>
        </w:rPr>
        <w:t>Other intangible assets consist of core deposit intangible assets arising from business combinations and are amortized using an accelerated method over their estimated useful lives.</w:t>
      </w:r>
    </w:p>
    <w:p>
      <w:pPr>
        <w:spacing w:after="0" w:line="118" w:lineRule="exact"/>
        <w:rPr>
          <w:sz w:val="20"/>
          <w:szCs w:val="20"/>
          <w:color w:val="auto"/>
        </w:rPr>
      </w:pPr>
    </w:p>
    <w:p>
      <w:pPr>
        <w:ind w:right="100" w:firstLine="63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Fair Value </w:t>
      </w:r>
      <w:r>
        <w:rPr>
          <w:rFonts w:ascii="Times New Roman" w:cs="Times New Roman" w:eastAsia="Times New Roman" w:hAnsi="Times New Roman"/>
          <w:sz w:val="18"/>
          <w:szCs w:val="18"/>
          <w:color w:val="auto"/>
        </w:rPr>
        <w:t>— We use fair value measurements to record fair value adjustments to certain financial instruments and to determine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disclosures. Investment securities available-for-sale and interest-rate swaps are financial instruments recorded at fair value on a recurring basis. Additionally, from time to time, we may be required to record at fair value other assets on a non-recurring basis, such as impaired loans and OREO. These non-recurring fair value adjustments typically involve application of lower-of-cost-or-market accounting or write-downs of individual assets. Further, we include in Note 19 — </w:t>
      </w:r>
      <w:r>
        <w:rPr>
          <w:rFonts w:ascii="Times New Roman" w:cs="Times New Roman" w:eastAsia="Times New Roman" w:hAnsi="Times New Roman"/>
          <w:sz w:val="18"/>
          <w:szCs w:val="18"/>
          <w:i w:val="1"/>
          <w:iCs w:val="1"/>
          <w:color w:val="auto"/>
        </w:rPr>
        <w:t>Fair Value Information</w:t>
      </w:r>
      <w:r>
        <w:rPr>
          <w:rFonts w:ascii="Times New Roman" w:cs="Times New Roman" w:eastAsia="Times New Roman" w:hAnsi="Times New Roman"/>
          <w:sz w:val="18"/>
          <w:szCs w:val="18"/>
          <w:color w:val="auto"/>
        </w:rPr>
        <w:t xml:space="preserve"> of the consolidated financial statements information about the extent to which fair value is used to measure assets and liabilities, the valuation methodologies used and its impact to earnings. Additionally, for financial instruments not recorded at fair value we disclose the estimate of their fair value.</w:t>
      </w:r>
    </w:p>
    <w:p>
      <w:pPr>
        <w:spacing w:after="0" w:line="154" w:lineRule="exact"/>
        <w:rPr>
          <w:sz w:val="20"/>
          <w:szCs w:val="20"/>
          <w:color w:val="auto"/>
        </w:rPr>
      </w:pPr>
    </w:p>
    <w:p>
      <w:pPr>
        <w:jc w:val="both"/>
        <w:ind w:right="80" w:firstLine="63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 Owned Life Insurance </w:t>
      </w:r>
      <w:r>
        <w:rPr>
          <w:rFonts w:ascii="Times New Roman" w:cs="Times New Roman" w:eastAsia="Times New Roman" w:hAnsi="Times New Roman"/>
          <w:sz w:val="18"/>
          <w:szCs w:val="18"/>
          <w:color w:val="auto"/>
        </w:rPr>
        <w:t>— The Company invests in Bank Owned Life Insurance (“BOLI”). BOLI involves the purchasing of life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Company on a select group of employees. The Company is the owner and primary beneficiary of these policies. BOLI is recorded as an asset at the cash surrender value. Increases in the cash value of these policies, as well as insurance proceeds received, are recorded in other noninterest income and are not subject to income tax for as long as they are held for the life of the covered employee.</w:t>
      </w:r>
    </w:p>
    <w:p>
      <w:pPr>
        <w:spacing w:after="0" w:line="134"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Income taxes are accounted for under the asset and liability method. Deferred tax assets and liabilities are recognized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Future realization of deferred tax assets ultimately depends on the existence of sufficient taxable income of the appropriate character (for example, ordinary income or capital gain) within the carryback or carryforward periods available under the tax law. Based on historical and future expected taxable earnings, the Company considers the future realization of these deferred tax assets more likely than not.</w:t>
      </w:r>
    </w:p>
    <w:p>
      <w:pPr>
        <w:spacing w:after="0" w:line="146" w:lineRule="exact"/>
        <w:rPr>
          <w:sz w:val="20"/>
          <w:szCs w:val="20"/>
          <w:color w:val="auto"/>
        </w:rPr>
      </w:pPr>
    </w:p>
    <w:p>
      <w:pPr>
        <w:ind w:firstLine="637"/>
        <w:spacing w:after="0" w:line="281" w:lineRule="auto"/>
        <w:rPr>
          <w:sz w:val="20"/>
          <w:szCs w:val="20"/>
          <w:color w:val="auto"/>
        </w:rPr>
      </w:pPr>
      <w:r>
        <w:rPr>
          <w:rFonts w:ascii="Times New Roman" w:cs="Times New Roman" w:eastAsia="Times New Roman" w:hAnsi="Times New Roman"/>
          <w:sz w:val="18"/>
          <w:szCs w:val="18"/>
          <w:color w:val="auto"/>
        </w:rPr>
        <w:t>The tax effects from an uncertain tax position are recognized in the financial statements only if, based on its merits, the position is more likely than not to be sustained on audit by the taxing authorities.</w:t>
      </w:r>
    </w:p>
    <w:p>
      <w:pPr>
        <w:spacing w:after="0" w:line="132" w:lineRule="exact"/>
        <w:rPr>
          <w:sz w:val="20"/>
          <w:szCs w:val="20"/>
          <w:color w:val="auto"/>
        </w:rPr>
      </w:pPr>
    </w:p>
    <w:p>
      <w:pPr>
        <w:ind w:firstLine="637"/>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 </w:t>
      </w:r>
      <w:r>
        <w:rPr>
          <w:rFonts w:ascii="Times New Roman" w:cs="Times New Roman" w:eastAsia="Times New Roman" w:hAnsi="Times New Roman"/>
          <w:sz w:val="18"/>
          <w:szCs w:val="18"/>
          <w:color w:val="auto"/>
        </w:rPr>
        <w:t>The Company’s leasing portfolio consists of real estate leases, which are used primarily for the banking operations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All leases in the current portfolio have been classified as operating leases, although this may change in the future. Operating leases with a term of more than one year are included in operating lease right-of-use (“ROU”) assets and operating lease liabilities on the Company’s consolidated balance sheets. The Company made a policy election to apply the short-term lease exemption to any operating leases with an original term of less than 12 months, therefore no ROU asset or lease liability is recorded for these operating leases. ROU assets represent the Company’s right to use an underlying asset for the lease term and lease liabilities represent the obligation to make lease payments arising from the lease. The Company determines if an arrangement is a lease at inception by assessing whether there is an identified asset and whether the contract conveys the right to control the use of the identified asset for a period of time in exchange for consideration.</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5" w:name="page96"/>
    <w:bookmarkEnd w:id="95"/>
    <w:p>
      <w:pPr>
        <w:ind w:firstLine="637"/>
        <w:spacing w:after="0" w:line="258" w:lineRule="auto"/>
        <w:rPr>
          <w:sz w:val="20"/>
          <w:szCs w:val="20"/>
          <w:color w:val="auto"/>
        </w:rPr>
      </w:pPr>
      <w:r>
        <w:rPr>
          <w:rFonts w:ascii="Times New Roman" w:cs="Times New Roman" w:eastAsia="Times New Roman" w:hAnsi="Times New Roman"/>
          <w:sz w:val="18"/>
          <w:szCs w:val="18"/>
          <w:color w:val="auto"/>
        </w:rPr>
        <w:t xml:space="preserve">Operating lease ROU assets and lease liabilities are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respectively, on the Company’s consolidated balance sheet. The Company uses its incremental borrowing rate, factoring in the lease term, to determine the lease liability, which is measured at the present value of future lease payments. The ROU asset, at adoption of this ASU, was recorded at the amount of the lease liability plus any prepaid rent and initial direct costs, less any lease incentives and accrued rent. The lease terms include periods covered by options to extend or terminate the lease depending on whether the Company is reasonably certain to exercise such options. Refer to Note 23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more information.</w:t>
      </w:r>
    </w:p>
    <w:p>
      <w:pPr>
        <w:spacing w:after="0" w:line="153" w:lineRule="exact"/>
        <w:rPr>
          <w:sz w:val="20"/>
          <w:szCs w:val="20"/>
          <w:color w:val="auto"/>
        </w:rPr>
      </w:pPr>
    </w:p>
    <w:p>
      <w:pPr>
        <w:ind w:firstLine="63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Common Share </w:t>
      </w:r>
      <w:r>
        <w:rPr>
          <w:rFonts w:ascii="Times New Roman" w:cs="Times New Roman" w:eastAsia="Times New Roman" w:hAnsi="Times New Roman"/>
          <w:sz w:val="18"/>
          <w:szCs w:val="18"/>
          <w:color w:val="auto"/>
        </w:rPr>
        <w:t>— The Company calculates earnings per common share (“EPS”) using the two-class method. The two-class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requires the Company to present EPS as if all of the earnings for the period are distributed to common shareholders and any participating securities. All outstanding unvested share-based payment awards that contain rights to non-forfeitable dividends are considered participating securities. The Company grants restricted shares under the 2008 Equity Incentive Plan that qualify as participating securities. Restricted shares issued under this plan are entitled to dividends at the same rate as common stock. A reconciliation of the numerator and the denominator used in the computation of basic and diluted earnings per common share is included in Note 16 — </w:t>
      </w:r>
      <w:r>
        <w:rPr>
          <w:rFonts w:ascii="Times New Roman" w:cs="Times New Roman" w:eastAsia="Times New Roman" w:hAnsi="Times New Roman"/>
          <w:sz w:val="18"/>
          <w:szCs w:val="18"/>
          <w:i w:val="1"/>
          <w:iCs w:val="1"/>
          <w:color w:val="auto"/>
        </w:rPr>
        <w:t>Earnings Per Share Reconciliation</w:t>
      </w:r>
      <w:r>
        <w:rPr>
          <w:rFonts w:ascii="Times New Roman" w:cs="Times New Roman" w:eastAsia="Times New Roman" w:hAnsi="Times New Roman"/>
          <w:sz w:val="18"/>
          <w:szCs w:val="18"/>
          <w:color w:val="auto"/>
        </w:rPr>
        <w:t xml:space="preserve"> of these consolidated financial statements.</w:t>
      </w:r>
    </w:p>
    <w:p>
      <w:pPr>
        <w:spacing w:after="0" w:line="140" w:lineRule="exact"/>
        <w:rPr>
          <w:sz w:val="20"/>
          <w:szCs w:val="20"/>
          <w:color w:val="auto"/>
        </w:rPr>
      </w:pPr>
    </w:p>
    <w:p>
      <w:pPr>
        <w:jc w:val="both"/>
        <w:ind w:right="380" w:firstLine="63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 Consistent with the provisions of ASC 718,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we recognize expense for the grant date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stock options and restricted shares issued to employees, officers and non-employee directors over the requisite service periods (generally the vesting period). The service periods may be subject to performance conditions.</w:t>
      </w:r>
    </w:p>
    <w:p>
      <w:pPr>
        <w:spacing w:after="0" w:line="133" w:lineRule="exact"/>
        <w:rPr>
          <w:sz w:val="20"/>
          <w:szCs w:val="20"/>
          <w:color w:val="auto"/>
        </w:rPr>
      </w:pPr>
    </w:p>
    <w:p>
      <w:pPr>
        <w:ind w:right="40" w:firstLine="637"/>
        <w:spacing w:after="0" w:line="265" w:lineRule="auto"/>
        <w:rPr>
          <w:sz w:val="20"/>
          <w:szCs w:val="20"/>
          <w:color w:val="auto"/>
        </w:rPr>
      </w:pPr>
      <w:r>
        <w:rPr>
          <w:rFonts w:ascii="Times New Roman" w:cs="Times New Roman" w:eastAsia="Times New Roman" w:hAnsi="Times New Roman"/>
          <w:sz w:val="18"/>
          <w:szCs w:val="18"/>
          <w:color w:val="auto"/>
        </w:rPr>
        <w:t>The fair value of each stock option grant is estimated as of the grant date using the Black-Scholes option-pricing model. Management assumptions used at the time of grant impact the fair value of the option calculated under the Black-Scholes option-pricing model, and ultimately, the expense that will be recognized over the life of the option.</w:t>
      </w:r>
    </w:p>
    <w:p>
      <w:pPr>
        <w:spacing w:after="0" w:line="150" w:lineRule="exact"/>
        <w:rPr>
          <w:sz w:val="20"/>
          <w:szCs w:val="20"/>
          <w:color w:val="auto"/>
        </w:rPr>
      </w:pPr>
    </w:p>
    <w:p>
      <w:pPr>
        <w:ind w:right="360" w:firstLine="637"/>
        <w:spacing w:after="0" w:line="281" w:lineRule="auto"/>
        <w:rPr>
          <w:sz w:val="20"/>
          <w:szCs w:val="20"/>
          <w:color w:val="auto"/>
        </w:rPr>
      </w:pPr>
      <w:r>
        <w:rPr>
          <w:rFonts w:ascii="Times New Roman" w:cs="Times New Roman" w:eastAsia="Times New Roman" w:hAnsi="Times New Roman"/>
          <w:sz w:val="18"/>
          <w:szCs w:val="18"/>
          <w:color w:val="auto"/>
        </w:rPr>
        <w:t>The grant date fair value of restricted stock awards is measured at the fair value of the Company’s common stock as if the restricted share was vested and issued on the date of grant.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Additional information is included in Note 17 — </w:t>
      </w:r>
      <w:r>
        <w:rPr>
          <w:rFonts w:ascii="Times New Roman" w:cs="Times New Roman" w:eastAsia="Times New Roman" w:hAnsi="Times New Roman"/>
          <w:sz w:val="18"/>
          <w:szCs w:val="18"/>
          <w:i w:val="1"/>
          <w:iCs w:val="1"/>
          <w:color w:val="auto"/>
        </w:rPr>
        <w:t>Stock-Based Compensation Plans</w:t>
      </w:r>
      <w:r>
        <w:rPr>
          <w:rFonts w:ascii="Times New Roman" w:cs="Times New Roman" w:eastAsia="Times New Roman" w:hAnsi="Times New Roman"/>
          <w:sz w:val="18"/>
          <w:szCs w:val="18"/>
          <w:color w:val="auto"/>
        </w:rPr>
        <w:t xml:space="preserve"> of the consolidated financial statements included herein.</w:t>
      </w:r>
    </w:p>
    <w:p>
      <w:pPr>
        <w:spacing w:after="0" w:line="182" w:lineRule="exact"/>
        <w:rPr>
          <w:sz w:val="20"/>
          <w:szCs w:val="20"/>
          <w:color w:val="auto"/>
        </w:rPr>
      </w:pPr>
    </w:p>
    <w:p>
      <w:pPr>
        <w:ind w:right="180" w:firstLine="64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Instruments </w:t>
      </w:r>
      <w:r>
        <w:rPr>
          <w:rFonts w:ascii="Times New Roman" w:cs="Times New Roman" w:eastAsia="Times New Roman" w:hAnsi="Times New Roman"/>
          <w:sz w:val="18"/>
          <w:szCs w:val="18"/>
          <w:color w:val="auto"/>
        </w:rPr>
        <w:t>— All derivative instruments, including certain derivative instruments embedded in other contracts,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on the consolidated balance sheets at fair value. For derivatives designated as fair value hedges, changes in the fair value of the derivative and the hedged item related to the hedged risk are recognized in earnings. Upon adoption of ASU 2017-12, all changes in fair value for cash flow hedges, are recorded in “Other Comprehensive Income,” net of deferred taxes, including any ineffectiveness as long as the hedge remains highly effective. The Company currently does not designate any derivative financial instruments as qualifying hedging relationships, and therefore, does not utilize hedge accounting.</w:t>
      </w:r>
    </w:p>
    <w:p>
      <w:pPr>
        <w:spacing w:after="0" w:line="153" w:lineRule="exact"/>
        <w:rPr>
          <w:sz w:val="20"/>
          <w:szCs w:val="20"/>
          <w:color w:val="auto"/>
        </w:rPr>
      </w:pPr>
    </w:p>
    <w:p>
      <w:pPr>
        <w:ind w:right="300" w:firstLine="63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Statement of Cash Flows </w:t>
      </w:r>
      <w:r>
        <w:rPr>
          <w:rFonts w:ascii="Times New Roman" w:cs="Times New Roman" w:eastAsia="Times New Roman" w:hAnsi="Times New Roman"/>
          <w:sz w:val="18"/>
          <w:szCs w:val="18"/>
          <w:color w:val="auto"/>
        </w:rPr>
        <w:t>— Cash and cash equivalents, as reported in the statements of cash flows, include cash and due from banks, interest-bearing balances due from depository institutions and federal funds sold with original maturities of three months or less. Cash flows from loans and deposits are reported net.</w:t>
      </w:r>
    </w:p>
    <w:p>
      <w:pPr>
        <w:spacing w:after="0" w:line="129" w:lineRule="exact"/>
        <w:rPr>
          <w:sz w:val="20"/>
          <w:szCs w:val="20"/>
          <w:color w:val="auto"/>
        </w:rPr>
      </w:pPr>
    </w:p>
    <w:p>
      <w:pPr>
        <w:ind w:right="40" w:firstLine="63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Contingencies </w:t>
      </w:r>
      <w:r>
        <w:rPr>
          <w:rFonts w:ascii="Times New Roman" w:cs="Times New Roman" w:eastAsia="Times New Roman" w:hAnsi="Times New Roman"/>
          <w:sz w:val="18"/>
          <w:szCs w:val="18"/>
          <w:color w:val="auto"/>
        </w:rPr>
        <w:t>— In the ordinary course of business, the Company becomes involved in litigation. Based upon the Company’s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records and discussions with legal counsel, the Company records accruals as appropriate, for estimates of the probable outcome of all cases brought against the Company. Except as discussed in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at December 31, 2022, the Company does not have any material litigation accruals and is not aware of any material pending legal action or complaints asserted against the Company.</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96" w:name="page97"/>
    <w:bookmarkEnd w:id="96"/>
    <w:p>
      <w:pPr>
        <w:ind w:left="420" w:hanging="412"/>
        <w:spacing w:after="0"/>
        <w:tabs>
          <w:tab w:leader="none" w:pos="4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As a result, Suncrest merged with and into the Bank, the principal subsidiary of CVB. The Company believes this transaction serves to further extend and strengthen its geographic presence in California’s Central Valley and the Sacramento metro area. At close, Suncrest had seven branch locations and two loan production offices, which re-opened as CBB locations on January 10, 2022. As a result of the consolidation of two branches during the second quarter of 2022, five branch locations remain from this acquisition.</w:t>
      </w:r>
    </w:p>
    <w:p>
      <w:pPr>
        <w:spacing w:after="0" w:line="186"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The assets acquired and liabilities assumed have been accounted for under the acquisition method of accounting. The total fair value of assets acquired approximated $1.38 billion in total assets, including $329.0 million of cash and cash equivalents, net of cash paid, $131.1 million of investment securities, $765.9 million in net loans, $6.1 million in premises and equipment, $9.0 million in BOLI, and $33.7 million in other assets. The purchased credit deteriorated (“PCD”) loans were recorded at a fair value of $224.7 million, which was net of a discount of $13.1 million including a credit discount of $8.6 million. The assets acquired also include a core deposit intangible of $3.9 million and non-tax deductible goodwill of $102.1 million. Goodwill from the acquisition represents the excess of the purchase price over the fair value of the net tangible and intangible assets acquired. The total fair value of liabilities assumed was $1.19 billion, which included $512.8 million of noninterest-bearing deposits and $669.8 million of interest-bearing deposits, and $6.2 million in other liabilities. The assets and liabilities, both tangible and intangible, were recorded at their estimated fair values as of January 7, 2022. Goodwill is not tax deductible for income tax purposes.</w:t>
      </w:r>
    </w:p>
    <w:p>
      <w:pPr>
        <w:spacing w:after="0" w:line="186" w:lineRule="exact"/>
        <w:rPr>
          <w:sz w:val="20"/>
          <w:szCs w:val="20"/>
          <w:color w:val="auto"/>
        </w:rPr>
      </w:pPr>
    </w:p>
    <w:p>
      <w:pPr>
        <w:ind w:right="60" w:firstLine="360"/>
        <w:spacing w:after="0" w:line="265" w:lineRule="auto"/>
        <w:rPr>
          <w:sz w:val="20"/>
          <w:szCs w:val="20"/>
          <w:color w:val="auto"/>
        </w:rPr>
      </w:pPr>
      <w:r>
        <w:rPr>
          <w:rFonts w:ascii="Times New Roman" w:cs="Times New Roman" w:eastAsia="Times New Roman" w:hAnsi="Times New Roman"/>
          <w:sz w:val="18"/>
          <w:szCs w:val="18"/>
          <w:color w:val="auto"/>
        </w:rPr>
        <w:t>We have included the financial results of the business combination in the consolidated statement of earnings and comprehensive income beginning on the acquisition date. Supplementary pro forma financial information related to the acquisition is not included because the impact to the Company's consolidated statements of income is not material.</w:t>
      </w:r>
    </w:p>
    <w:p>
      <w:pPr>
        <w:spacing w:after="0" w:line="177" w:lineRule="exact"/>
        <w:rPr>
          <w:sz w:val="20"/>
          <w:szCs w:val="20"/>
          <w:color w:val="auto"/>
        </w:rPr>
      </w:pPr>
    </w:p>
    <w:p>
      <w:pPr>
        <w:ind w:right="100" w:firstLine="315"/>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the Company incurred non-recurring merger related expenses associated with the Suncrest acquisition of $6.0 million.</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97" w:name="page98"/>
    <w:bookmarkEnd w:id="97"/>
    <w:p>
      <w:pPr>
        <w:ind w:left="360" w:hanging="352"/>
        <w:spacing w:after="0"/>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w:t>
      </w:r>
    </w:p>
    <w:p>
      <w:pPr>
        <w:spacing w:after="0" w:line="188" w:lineRule="exact"/>
        <w:rPr>
          <w:sz w:val="20"/>
          <w:szCs w:val="20"/>
          <w:color w:val="auto"/>
        </w:rPr>
      </w:pPr>
    </w:p>
    <w:p>
      <w:pPr>
        <w:ind w:right="240" w:firstLine="644"/>
        <w:spacing w:after="0" w:line="265" w:lineRule="auto"/>
        <w:rPr>
          <w:sz w:val="20"/>
          <w:szCs w:val="20"/>
          <w:color w:val="auto"/>
        </w:rPr>
      </w:pPr>
      <w:r>
        <w:rPr>
          <w:rFonts w:ascii="Times New Roman" w:cs="Times New Roman" w:eastAsia="Times New Roman" w:hAnsi="Times New Roman"/>
          <w:sz w:val="18"/>
          <w:szCs w:val="18"/>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0" w:type="dxa"/>
            <w:vAlign w:val="bottom"/>
            <w:gridSpan w:val="2"/>
          </w:tcPr>
          <w:p>
            <w:pPr>
              <w:spacing w:after="0"/>
              <w:rPr>
                <w:sz w:val="21"/>
                <w:szCs w:val="21"/>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Holding Gain</w:t>
            </w:r>
          </w:p>
        </w:tc>
        <w:tc>
          <w:tcPr>
            <w:tcW w:w="360" w:type="dxa"/>
            <w:vAlign w:val="bottom"/>
          </w:tcPr>
          <w:p>
            <w:pPr>
              <w:spacing w:after="0"/>
              <w:rPr>
                <w:sz w:val="21"/>
                <w:szCs w:val="21"/>
                <w:color w:val="auto"/>
              </w:rPr>
            </w:pPr>
          </w:p>
        </w:tc>
        <w:tc>
          <w:tcPr>
            <w:tcW w:w="118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6"/>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tcBorders>
              <w:left w:val="single" w:sz="8" w:color="CFF0FC"/>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3,192,151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(403,049 )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2,789,141</w:t>
            </w: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85.68 %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(95,966 )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439,303</w:t>
            </w: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8"/>
              </w:rPr>
              <w:t>(1,177 )</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14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0.79 %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3,755,297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(500,192 )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3,255,211</w:t>
            </w: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(114,343 )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434,428</w:t>
            </w: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21.48 %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(105,867 )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600,929</w:t>
            </w: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27.67 %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(131,730 )</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695,616</w:t>
            </w:r>
          </w:p>
        </w:tc>
        <w:tc>
          <w:tcPr>
            <w:tcW w:w="14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32.39 %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(47,687 )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424,614</w:t>
            </w:r>
          </w:p>
        </w:tc>
        <w:tc>
          <w:tcPr>
            <w:tcW w:w="140" w:type="dxa"/>
            <w:vAlign w:val="bottom"/>
          </w:tcPr>
          <w:p>
            <w:pPr>
              <w:spacing w:after="0"/>
              <w:rPr>
                <w:sz w:val="22"/>
                <w:szCs w:val="22"/>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18.46 %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2,554,301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(399,627 )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2,155,587</w:t>
            </w: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Pr>
          <w:p>
            <w:pPr>
              <w:spacing w:after="0"/>
              <w:rPr>
                <w:sz w:val="21"/>
                <w:szCs w:val="2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Holding Gain</w:t>
            </w:r>
          </w:p>
        </w:tc>
        <w:tc>
          <w:tcPr>
            <w:tcW w:w="360" w:type="dxa"/>
            <w:vAlign w:val="bottom"/>
          </w:tcPr>
          <w:p>
            <w:pPr>
              <w:spacing w:after="0"/>
              <w:rPr>
                <w:sz w:val="21"/>
                <w:szCs w:val="21"/>
                <w:color w:val="auto"/>
              </w:rPr>
            </w:pPr>
          </w:p>
        </w:tc>
        <w:tc>
          <w:tcPr>
            <w:tcW w:w="118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2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Times New Roman" w:cs="Times New Roman" w:eastAsia="Times New Roman" w:hAnsi="Times New Roman"/>
                <w:sz w:val="16"/>
                <w:szCs w:val="16"/>
                <w:i w:val="1"/>
                <w:iCs w:val="1"/>
                <w:color w:val="auto"/>
                <w:w w:val="92"/>
              </w:rPr>
              <w:t>(Dollars in thousands)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tcBorders>
              <w:left w:val="single" w:sz="8" w:color="CFF0FC"/>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2,553,246</w:t>
            </w:r>
          </w:p>
        </w:tc>
        <w:tc>
          <w:tcPr>
            <w:tcW w:w="3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25,873</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(15,905 )</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2,563,214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80.50 %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602,555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(13,983 )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590,158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18.53 %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28,365</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29,468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7"/>
        </w:trPr>
        <w:tc>
          <w:tcPr>
            <w:tcW w:w="39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3,185,249</w:t>
            </w:r>
          </w:p>
        </w:tc>
        <w:tc>
          <w:tcPr>
            <w:tcW w:w="3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(29,888 )</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3,183,923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576,899</w:t>
            </w:r>
          </w:p>
        </w:tc>
        <w:tc>
          <w:tcPr>
            <w:tcW w:w="3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20"/>
                <w:szCs w:val="20"/>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4"/>
              </w:rPr>
              <w:t>(7,312 )</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575,494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29.95 %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647,390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4"/>
              </w:rPr>
              <w:t>(6,106 )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645,393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33.61 %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490,670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4"/>
              </w:rPr>
              <w:t>(5,030 )</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486,236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25.48 %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211,011</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4"/>
              </w:rPr>
              <w:t>(1,155 )</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214,570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10.96 %</w:t>
            </w:r>
          </w:p>
        </w:tc>
        <w:tc>
          <w:tcPr>
            <w:tcW w:w="0" w:type="dxa"/>
            <w:vAlign w:val="bottom"/>
          </w:tcPr>
          <w:p>
            <w:pPr>
              <w:spacing w:after="0"/>
              <w:rPr>
                <w:sz w:val="1"/>
                <w:szCs w:val="1"/>
                <w:color w:val="auto"/>
              </w:rPr>
            </w:pPr>
          </w:p>
        </w:tc>
      </w:tr>
      <w:tr>
        <w:trPr>
          <w:trHeight w:val="27"/>
        </w:trPr>
        <w:tc>
          <w:tcPr>
            <w:tcW w:w="39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1,925,970</w:t>
            </w:r>
          </w:p>
        </w:tc>
        <w:tc>
          <w:tcPr>
            <w:tcW w:w="3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(19,603 )</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1,921,693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w w:val="98"/>
              </w:rPr>
              <w:t>The following table provides information about</w:t>
            </w:r>
          </w:p>
        </w:tc>
        <w:tc>
          <w:tcPr>
            <w:tcW w:w="120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73"/>
              </w:rPr>
              <w:t>interest</w:t>
            </w: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on</w:t>
            </w: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60" w:type="dxa"/>
            <w:vAlign w:val="bottom"/>
            <w:gridSpan w:val="2"/>
            <w:vMerge w:val="continue"/>
          </w:tcPr>
          <w:p>
            <w:pPr>
              <w:spacing w:after="0"/>
              <w:rPr>
                <w:sz w:val="15"/>
                <w:szCs w:val="15"/>
                <w:color w:val="auto"/>
              </w:rPr>
            </w:pPr>
          </w:p>
        </w:tc>
        <w:tc>
          <w:tcPr>
            <w:tcW w:w="1200" w:type="dxa"/>
            <w:vAlign w:val="bottom"/>
            <w:gridSpan w:val="3"/>
          </w:tcPr>
          <w:p>
            <w:pPr>
              <w:ind w:left="60"/>
              <w:spacing w:after="0" w:line="182" w:lineRule="exact"/>
              <w:rPr>
                <w:sz w:val="20"/>
                <w:szCs w:val="20"/>
                <w:color w:val="auto"/>
              </w:rPr>
            </w:pPr>
            <w:r>
              <w:rPr>
                <w:rFonts w:ascii="Times New Roman" w:cs="Times New Roman" w:eastAsia="Times New Roman" w:hAnsi="Times New Roman"/>
                <w:sz w:val="18"/>
                <w:szCs w:val="18"/>
                <w:color w:val="auto"/>
              </w:rPr>
              <w:t>the amount of</w:t>
            </w:r>
          </w:p>
        </w:tc>
        <w:tc>
          <w:tcPr>
            <w:tcW w:w="300" w:type="dxa"/>
            <w:vAlign w:val="bottom"/>
            <w:vMerge w:val="continue"/>
          </w:tcPr>
          <w:p>
            <w:pPr>
              <w:spacing w:after="0"/>
              <w:rPr>
                <w:sz w:val="15"/>
                <w:szCs w:val="15"/>
                <w:color w:val="auto"/>
              </w:rPr>
            </w:pPr>
          </w:p>
        </w:tc>
        <w:tc>
          <w:tcPr>
            <w:tcW w:w="114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income earned</w:t>
            </w:r>
          </w:p>
        </w:tc>
        <w:tc>
          <w:tcPr>
            <w:tcW w:w="360" w:type="dxa"/>
            <w:vAlign w:val="bottom"/>
            <w:vMerge w:val="continue"/>
          </w:tcPr>
          <w:p>
            <w:pPr>
              <w:spacing w:after="0"/>
              <w:rPr>
                <w:sz w:val="15"/>
                <w:szCs w:val="15"/>
                <w:color w:val="auto"/>
              </w:rPr>
            </w:pPr>
          </w:p>
        </w:tc>
        <w:tc>
          <w:tcPr>
            <w:tcW w:w="424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auto"/>
              </w:rPr>
              <w:t>investment securities which is fully taxable and which is</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exempt from regular federal income tax.</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40" w:type="dxa"/>
            <w:vAlign w:val="bottom"/>
            <w:gridSpan w:val="7"/>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7"/>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tcBorders>
              <w:left w:val="single" w:sz="8" w:color="CFF0FC"/>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67,803</w:t>
            </w:r>
          </w:p>
        </w:tc>
        <w:tc>
          <w:tcPr>
            <w:tcW w:w="5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37,532</w:t>
            </w:r>
          </w:p>
        </w:tc>
        <w:tc>
          <w:tcPr>
            <w:tcW w:w="24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left w:val="single" w:sz="8" w:color="CFF0FC"/>
              <w:bottom w:val="single" w:sz="8" w:color="auto"/>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left w:val="single" w:sz="8" w:color="CFF0FC"/>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Total interest income from available-for-sale securities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68,508</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38,273</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6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left w:val="single" w:sz="8" w:color="CFF0FC"/>
              <w:bottom w:val="single" w:sz="8" w:color="auto"/>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left w:val="single" w:sz="8" w:color="CFF0FC"/>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Total interest income from held-to-maturity securities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49,048</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22,175</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FF0FC"/>
            </w:tcBorders>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Total interest income from investment securities</w:t>
            </w:r>
          </w:p>
        </w:tc>
        <w:tc>
          <w:tcPr>
            <w:tcW w:w="2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right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left w:val="single" w:sz="8" w:color="CFF0FC"/>
              <w:bottom w:val="single" w:sz="8" w:color="auto"/>
              <w:right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117,556</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left w:val="single" w:sz="8" w:color="CFF0FC"/>
              <w:bottom w:val="single" w:sz="8" w:color="auto"/>
            </w:tcBorders>
            <w:shd w:val="clear" w:color="auto" w:fill="CFF0FC"/>
          </w:tcPr>
          <w:p>
            <w:pPr>
              <w:spacing w:after="0"/>
              <w:rPr>
                <w:sz w:val="24"/>
                <w:szCs w:val="24"/>
                <w:color w:val="auto"/>
              </w:rPr>
            </w:pPr>
          </w:p>
        </w:tc>
        <w:tc>
          <w:tcPr>
            <w:tcW w:w="6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60,448</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-6480810</wp:posOffset>
            </wp:positionV>
            <wp:extent cx="7132320"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-6172835</wp:posOffset>
            </wp:positionV>
            <wp:extent cx="7132320" cy="3422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-5521960</wp:posOffset>
            </wp:positionV>
            <wp:extent cx="7132320" cy="154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-5213985</wp:posOffset>
            </wp:positionV>
            <wp:extent cx="7132320" cy="3422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-3681095</wp:posOffset>
            </wp:positionV>
            <wp:extent cx="7132320" cy="1543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-3373120</wp:posOffset>
            </wp:positionV>
            <wp:extent cx="7132320" cy="3422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-2722245</wp:posOffset>
            </wp:positionV>
            <wp:extent cx="7132320" cy="1543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-2414270</wp:posOffset>
            </wp:positionV>
            <wp:extent cx="7132320" cy="3422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-984250</wp:posOffset>
            </wp:positionV>
            <wp:extent cx="76835" cy="1714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-984250</wp:posOffset>
            </wp:positionV>
            <wp:extent cx="68580" cy="1714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1714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-350520</wp:posOffset>
            </wp:positionV>
            <wp:extent cx="76835" cy="1714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-350520</wp:posOffset>
            </wp:positionV>
            <wp:extent cx="68580" cy="1714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-24765</wp:posOffset>
            </wp:positionV>
            <wp:extent cx="768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-7620</wp:posOffset>
            </wp:positionV>
            <wp:extent cx="768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7" w:right="279" w:bottom="1440" w:gutter="0" w:footer="0" w:header="0"/>
        </w:sectPr>
      </w:pPr>
    </w:p>
    <w:bookmarkStart w:id="98" w:name="page99"/>
    <w:bookmarkEnd w:id="98"/>
    <w:p>
      <w:pPr>
        <w:ind w:right="100" w:firstLine="637"/>
        <w:spacing w:after="0" w:line="280" w:lineRule="auto"/>
        <w:rPr>
          <w:sz w:val="20"/>
          <w:szCs w:val="20"/>
          <w:color w:val="auto"/>
        </w:rPr>
      </w:pPr>
      <w:r>
        <w:rPr>
          <w:rFonts w:ascii="Times New Roman" w:cs="Times New Roman" w:eastAsia="Times New Roman" w:hAnsi="Times New Roman"/>
          <w:sz w:val="17"/>
          <w:szCs w:val="17"/>
          <w:color w:val="auto"/>
        </w:rPr>
        <w:t>The adoption of CECL did not have a material impact on the accounting for investment securities, as approximately 91% of the total investment securities portfolio at December 31, 2022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new CECL model was zero at December 31, 2022 and December 31, 2021.</w:t>
      </w:r>
    </w:p>
    <w:p>
      <w:pPr>
        <w:spacing w:after="0" w:line="126" w:lineRule="exact"/>
        <w:rPr>
          <w:sz w:val="20"/>
          <w:szCs w:val="20"/>
          <w:color w:val="auto"/>
        </w:rPr>
      </w:pPr>
    </w:p>
    <w:p>
      <w:pPr>
        <w:ind w:right="360" w:firstLine="64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investment securities, by investment category, in an unrealized loss position for which an allowance for credit losses has not been recorded as of December 31, 2022.</w:t>
      </w:r>
    </w:p>
    <w:p>
      <w:pPr>
        <w:spacing w:after="0" w:line="1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0"/>
          <w:szCs w:val="20"/>
          <w:color w:val="auto"/>
        </w:rPr>
      </w:pPr>
    </w:p>
    <w:tbl>
      <w:tblPr>
        <w:tblLayout w:type="fixed"/>
        <w:tblInd w:w="3540" w:type="dxa"/>
        <w:tblCellMar>
          <w:top w:w="0" w:type="dxa"/>
          <w:left w:w="0" w:type="dxa"/>
          <w:bottom w:w="0" w:type="dxa"/>
          <w:right w:w="0" w:type="dxa"/>
        </w:tblCellMar>
      </w:tblPr>
      <w:tr>
        <w:trPr>
          <w:trHeight w:val="247"/>
        </w:trPr>
        <w:tc>
          <w:tcPr>
            <w:tcW w:w="238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20" w:type="dxa"/>
            <w:vAlign w:val="bottom"/>
            <w:tcBorders>
              <w:top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12 Months or Longer</w:t>
            </w: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1160" w:type="dxa"/>
            <w:vAlign w:val="bottom"/>
          </w:tcPr>
          <w:p>
            <w:pPr>
              <w:spacing w:after="0"/>
              <w:rPr>
                <w:sz w:val="17"/>
                <w:szCs w:val="17"/>
                <w:color w:val="auto"/>
              </w:rPr>
            </w:pPr>
          </w:p>
        </w:tc>
        <w:tc>
          <w:tcPr>
            <w:tcW w:w="1220" w:type="dxa"/>
            <w:vAlign w:val="bottom"/>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jc w:val="center"/>
              <w:ind w:left="21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Gross</w:t>
            </w:r>
          </w:p>
        </w:tc>
      </w:tr>
      <w:tr>
        <w:trPr>
          <w:trHeight w:val="216"/>
        </w:trPr>
        <w:tc>
          <w:tcPr>
            <w:tcW w:w="1160" w:type="dxa"/>
            <w:vAlign w:val="bottom"/>
          </w:tcPr>
          <w:p>
            <w:pPr>
              <w:spacing w:after="0"/>
              <w:rPr>
                <w:sz w:val="18"/>
                <w:szCs w:val="18"/>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16"/>
        </w:trPr>
        <w:tc>
          <w:tcPr>
            <w:tcW w:w="1160" w:type="dxa"/>
            <w:vAlign w:val="bottom"/>
          </w:tcPr>
          <w:p>
            <w:pPr>
              <w:spacing w:after="0"/>
              <w:rPr>
                <w:sz w:val="18"/>
                <w:szCs w:val="18"/>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Holding</w:t>
            </w:r>
          </w:p>
        </w:tc>
      </w:tr>
      <w:tr>
        <w:trPr>
          <w:trHeight w:val="23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Pr>
          <w:p>
            <w:pPr>
              <w:spacing w:after="0"/>
              <w:rPr>
                <w:sz w:val="20"/>
                <w:szCs w:val="20"/>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0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3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5"/>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8255</wp:posOffset>
            </wp:positionV>
            <wp:extent cx="48209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1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1,658,331</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(187,842 )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1,129,257</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(215,207 )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2,787,588</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(403,049 )</w:t>
            </w:r>
          </w:p>
        </w:tc>
      </w:tr>
      <w:tr>
        <w:trPr>
          <w:trHeight w:val="247"/>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(4,796 )</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385,295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(91,170 )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(95,966 )</w:t>
            </w:r>
          </w:p>
        </w:tc>
      </w:tr>
      <w:tr>
        <w:trPr>
          <w:trHeight w:val="243"/>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(1,177 )</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(1,177 )</w:t>
            </w:r>
          </w:p>
        </w:tc>
      </w:tr>
      <w:tr>
        <w:trPr>
          <w:trHeight w:val="276"/>
        </w:trPr>
        <w:tc>
          <w:tcPr>
            <w:tcW w:w="3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1,736,843</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(193,815</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1,514,552</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(306,377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3,251,395</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(500,192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179,348</w:t>
            </w:r>
          </w:p>
        </w:tc>
        <w:tc>
          <w:tcPr>
            <w:tcW w:w="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(39,866 )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255,080</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(74,477 )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434,428</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(114,343 )</w:t>
            </w:r>
          </w:p>
        </w:tc>
      </w:tr>
      <w:tr>
        <w:trPr>
          <w:trHeight w:val="238"/>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188,480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(9,042 )</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412,449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(96,825 )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600,929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(105,867 )</w:t>
            </w:r>
          </w:p>
        </w:tc>
      </w:tr>
      <w:tr>
        <w:trPr>
          <w:trHeight w:val="247"/>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376,540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(60,598 )</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319,076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(71,132 )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695,616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(131,730 )</w:t>
            </w:r>
          </w:p>
        </w:tc>
      </w:tr>
      <w:tr>
        <w:trPr>
          <w:trHeight w:val="243"/>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312,702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(35,656 )</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(12,031 )</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366,052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(47,687 )</w:t>
            </w:r>
          </w:p>
        </w:tc>
      </w:tr>
      <w:tr>
        <w:trPr>
          <w:trHeight w:val="276"/>
        </w:trPr>
        <w:tc>
          <w:tcPr>
            <w:tcW w:w="3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1,057,070</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(145,162</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1,039,955</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(254,465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2,097,025</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-984250</wp:posOffset>
            </wp:positionV>
            <wp:extent cx="4246880" cy="1797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4246880" cy="17970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-24765</wp:posOffset>
            </wp:positionV>
            <wp:extent cx="768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-7620</wp:posOffset>
            </wp:positionV>
            <wp:extent cx="768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-24765</wp:posOffset>
            </wp:positionV>
            <wp:extent cx="768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-7620</wp:posOffset>
            </wp:positionV>
            <wp:extent cx="768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-24765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-7620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-24765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-7620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60" w:firstLine="637"/>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investment securities, by investment category, in an unrealized loss position for which an allowance for credit losses has not been recorded as of December 31, 2021.</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36" w:lineRule="exact"/>
        <w:rPr>
          <w:sz w:val="20"/>
          <w:szCs w:val="20"/>
          <w:color w:val="auto"/>
        </w:rPr>
      </w:pPr>
    </w:p>
    <w:p>
      <w:pPr>
        <w:ind w:left="200" w:right="700"/>
        <w:spacing w:after="0" w:line="289" w:lineRule="auto"/>
        <w:rPr>
          <w:sz w:val="20"/>
          <w:szCs w:val="20"/>
          <w:color w:val="auto"/>
        </w:rPr>
      </w:pPr>
      <w:r>
        <w:rPr>
          <w:rFonts w:ascii="Times New Roman" w:cs="Times New Roman" w:eastAsia="Times New Roman" w:hAnsi="Times New Roman"/>
          <w:sz w:val="18"/>
          <w:szCs w:val="18"/>
          <w:color w:val="auto"/>
        </w:rPr>
        <w:t>Mortgage-backed securities CMO/REMIC</w:t>
      </w:r>
    </w:p>
    <w:p>
      <w:pPr>
        <w:ind w:left="200"/>
        <w:spacing w:after="0"/>
        <w:rPr>
          <w:sz w:val="20"/>
          <w:szCs w:val="20"/>
          <w:color w:val="auto"/>
        </w:rPr>
      </w:pPr>
      <w:r>
        <w:rPr>
          <w:rFonts w:ascii="Times New Roman" w:cs="Times New Roman" w:eastAsia="Times New Roman" w:hAnsi="Times New Roman"/>
          <w:sz w:val="18"/>
          <w:szCs w:val="18"/>
          <w:color w:val="auto"/>
        </w:rPr>
        <w:t>Municipal bonds</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5"/>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12 Months or Longer</w:t>
            </w: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3"/>
        </w:trPr>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Gross</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16"/>
        </w:trPr>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Holding</w:t>
            </w:r>
          </w:p>
        </w:tc>
      </w:tr>
      <w:tr>
        <w:trPr>
          <w:trHeight w:val="245"/>
        </w:trPr>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60" w:type="dxa"/>
            <w:vAlign w:val="bottom"/>
          </w:tcPr>
          <w:p>
            <w:pPr>
              <w:spacing w:after="0"/>
              <w:rPr>
                <w:sz w:val="21"/>
                <w:szCs w:val="21"/>
                <w:color w:val="auto"/>
              </w:rPr>
            </w:pPr>
          </w:p>
        </w:tc>
      </w:tr>
      <w:tr>
        <w:trPr>
          <w:trHeight w:val="212"/>
        </w:trPr>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1340" w:type="dxa"/>
            <w:vAlign w:val="bottom"/>
            <w:gridSpan w:val="3"/>
          </w:tcPr>
          <w:p>
            <w:pPr>
              <w:jc w:val="center"/>
              <w:ind w:right="430"/>
              <w:spacing w:after="0"/>
              <w:rPr>
                <w:sz w:val="20"/>
                <w:szCs w:val="20"/>
                <w:color w:val="auto"/>
              </w:rPr>
            </w:pPr>
            <w:r>
              <w:rPr>
                <w:rFonts w:ascii="Times New Roman" w:cs="Times New Roman" w:eastAsia="Times New Roman" w:hAnsi="Times New Roman"/>
                <w:sz w:val="16"/>
                <w:szCs w:val="16"/>
                <w:i w:val="1"/>
                <w:iCs w:val="1"/>
                <w:color w:val="auto"/>
                <w:w w:val="99"/>
              </w:rPr>
              <w:t>thousands)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89"/>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1,465,647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(15,099 )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44,244</w:t>
            </w:r>
          </w:p>
        </w:tc>
        <w:tc>
          <w:tcPr>
            <w:tcW w:w="46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(806 )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(15,905 )</w:t>
            </w:r>
          </w:p>
        </w:tc>
      </w:tr>
      <w:tr>
        <w:trPr>
          <w:trHeight w:val="243"/>
        </w:trPr>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450,393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(11,515 )</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(2,468 )</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504,138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(13,983 )</w:t>
            </w:r>
          </w:p>
        </w:tc>
      </w:tr>
      <w:tr>
        <w:trPr>
          <w:trHeight w:val="250"/>
        </w:trPr>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1,916,040</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97,989</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2,014,029</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-804545</wp:posOffset>
            </wp:positionV>
            <wp:extent cx="7132320" cy="1543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-495935</wp:posOffset>
            </wp:positionV>
            <wp:extent cx="7132320" cy="1543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-179070</wp:posOffset>
            </wp:positionV>
            <wp:extent cx="7132320" cy="1797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2900" w:space="700"/>
            <w:col w:w="7640"/>
          </w:cols>
          <w:pgMar w:left="320" w:top="553"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8"/>
          <w:szCs w:val="18"/>
          <w:color w:val="auto"/>
        </w:rPr>
        <w:t>The following summarizes our analysis of these securities and the unrealized losses.</w:t>
      </w:r>
    </w:p>
    <w:p>
      <w:pPr>
        <w:spacing w:after="0" w:line="198"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Government Agency &amp; Government-Sponsored Enterprise (“GSE”) — The government agency bonds are backed by the full faith and credit of agencies of the U.S. Government. While the Government-Sponsored Enterprise bonds are not expressly guaranteed by the U.S. Government, they are currently being supported by the U.S. Government under a conservatorship arrangement. These securities are bullet securities, that is, they have a defined maturity date on which the principal is paid. The contractual term of these investments provides that the Company will receive the face value of the bond at maturity which will equal the amortized cost of the bond. Interest is received throughout the life of the security. Accordingly, it is expected that the securities would not be settled at a price less than the amortized cost of the bonds.</w:t>
      </w:r>
    </w:p>
    <w:p>
      <w:pPr>
        <w:spacing w:after="0" w:line="118" w:lineRule="exact"/>
        <w:rPr>
          <w:sz w:val="20"/>
          <w:szCs w:val="20"/>
          <w:color w:val="auto"/>
        </w:rPr>
      </w:pPr>
    </w:p>
    <w:p>
      <w:pPr>
        <w:ind w:right="120" w:firstLine="637"/>
        <w:spacing w:after="0" w:line="281" w:lineRule="auto"/>
        <w:rPr>
          <w:sz w:val="20"/>
          <w:szCs w:val="20"/>
          <w:color w:val="auto"/>
        </w:rPr>
      </w:pPr>
      <w:r>
        <w:rPr>
          <w:rFonts w:ascii="Times New Roman" w:cs="Times New Roman" w:eastAsia="Times New Roman" w:hAnsi="Times New Roman"/>
          <w:sz w:val="18"/>
          <w:szCs w:val="18"/>
          <w:color w:val="auto"/>
        </w:rPr>
        <w:t>Mortgage-Backed Securities (“MBS”) and CMO/REMIC — Most of the Company’s mortgage-backed and CMO/REMIC securities are issued by Government Agencies or Government-Sponsored Enterprises such as Ginnie Mae,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99" w:name="page100"/>
    <w:bookmarkEnd w:id="99"/>
    <w:p>
      <w:pPr>
        <w:ind w:right="220"/>
        <w:spacing w:after="0" w:line="260" w:lineRule="auto"/>
        <w:rPr>
          <w:sz w:val="20"/>
          <w:szCs w:val="20"/>
          <w:color w:val="auto"/>
        </w:rPr>
      </w:pPr>
      <w:r>
        <w:rPr>
          <w:rFonts w:ascii="Times New Roman" w:cs="Times New Roman" w:eastAsia="Times New Roman" w:hAnsi="Times New Roman"/>
          <w:sz w:val="18"/>
          <w:szCs w:val="18"/>
          <w:color w:val="auto"/>
        </w:rPr>
        <w:t>Fannie Mae and Freddie Mac. These securities are collateralized or backed by the underlying residential or commercial mortgages. All mortgage-backed securities are considered to be rated investment grade with a weighted average life of approximately 6.8 years. Of the total MBS/CMO, 100% have the implied guarantee of U.S. Government-Sponsored Agencies and Enterprises. Accordingly, it is expected that the securities would not be settled at a price less than the amortized cost of the bonds. There were no credit-related impairments for the year ended December 31, 2022 and 2021.</w:t>
      </w:r>
    </w:p>
    <w:p>
      <w:pPr>
        <w:spacing w:after="0" w:line="141" w:lineRule="exact"/>
        <w:rPr>
          <w:sz w:val="20"/>
          <w:szCs w:val="20"/>
          <w:color w:val="auto"/>
        </w:rPr>
      </w:pPr>
    </w:p>
    <w:p>
      <w:pPr>
        <w:ind w:right="60" w:firstLine="637"/>
        <w:spacing w:after="0" w:line="256" w:lineRule="auto"/>
        <w:rPr>
          <w:sz w:val="20"/>
          <w:szCs w:val="20"/>
          <w:color w:val="auto"/>
        </w:rPr>
      </w:pPr>
      <w:r>
        <w:rPr>
          <w:rFonts w:ascii="Times New Roman" w:cs="Times New Roman" w:eastAsia="Times New Roman" w:hAnsi="Times New Roman"/>
          <w:sz w:val="18"/>
          <w:szCs w:val="18"/>
          <w:color w:val="auto"/>
        </w:rPr>
        <w:t>Municipal Bonds — The majority of the Company’s municipal bonds, with maturities of approximately 13.7 years, represented approximately 8.6% of the total investment portfolio and are predominately AA or higher rated securities. The Company diversifies its holdings by owning selections of securities from different issuers and by holding securities from geographically diversified municipal issuers, thus reducing the Company’s exposure to any single adverse event. The decline in fair value is primarily due to the changes in interest rates. Since the Company does not intend to sell the investments and it is not more likely than not that the Company will be required to sell the investments before recovery of their amortized costs, these investments were not considered impaired for the years ended December 31, 2022 and December 31, 2021.</w:t>
      </w:r>
    </w:p>
    <w:p>
      <w:pPr>
        <w:spacing w:after="0" w:line="159" w:lineRule="exact"/>
        <w:rPr>
          <w:sz w:val="20"/>
          <w:szCs w:val="20"/>
          <w:color w:val="auto"/>
        </w:rPr>
      </w:pPr>
    </w:p>
    <w:p>
      <w:pPr>
        <w:ind w:right="20" w:firstLine="637"/>
        <w:spacing w:after="0" w:line="281" w:lineRule="auto"/>
        <w:rPr>
          <w:sz w:val="20"/>
          <w:szCs w:val="20"/>
          <w:color w:val="auto"/>
        </w:rPr>
      </w:pPr>
      <w:r>
        <w:rPr>
          <w:rFonts w:ascii="Times New Roman" w:cs="Times New Roman" w:eastAsia="Times New Roman" w:hAnsi="Times New Roman"/>
          <w:sz w:val="18"/>
          <w:szCs w:val="18"/>
          <w:color w:val="auto"/>
        </w:rPr>
        <w:t>At December 31, 2022 and 2021, investment securities having a carrying value of approximately $2.90 billion and $2.18 billion, respectively, were pledged to secure public deposits, short and long-term borrowings, and for other purposes as required or permitted by law.</w:t>
      </w:r>
    </w:p>
    <w:p>
      <w:pPr>
        <w:spacing w:after="0" w:line="122" w:lineRule="exact"/>
        <w:rPr>
          <w:sz w:val="20"/>
          <w:szCs w:val="20"/>
          <w:color w:val="auto"/>
        </w:rPr>
      </w:pPr>
    </w:p>
    <w:p>
      <w:pPr>
        <w:ind w:right="60" w:firstLine="637"/>
        <w:spacing w:after="0" w:line="260" w:lineRule="auto"/>
        <w:rPr>
          <w:sz w:val="20"/>
          <w:szCs w:val="20"/>
          <w:color w:val="auto"/>
        </w:rPr>
      </w:pPr>
      <w:r>
        <w:rPr>
          <w:rFonts w:ascii="Times New Roman" w:cs="Times New Roman" w:eastAsia="Times New Roman" w:hAnsi="Times New Roman"/>
          <w:sz w:val="18"/>
          <w:szCs w:val="18"/>
          <w:color w:val="auto"/>
        </w:rPr>
        <w:t>The amortized cost and fair value of debt securities at December 31, 2022,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00" w:type="dxa"/>
            <w:vAlign w:val="bottom"/>
          </w:tcPr>
          <w:p>
            <w:pPr>
              <w:spacing w:after="0"/>
              <w:rPr>
                <w:sz w:val="20"/>
                <w:szCs w:val="20"/>
                <w:color w:val="auto"/>
              </w:rPr>
            </w:pPr>
          </w:p>
        </w:tc>
      </w:tr>
      <w:tr>
        <w:trPr>
          <w:trHeight w:val="203"/>
        </w:trPr>
        <w:tc>
          <w:tcPr>
            <w:tcW w:w="5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5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1"/>
                <w:szCs w:val="21"/>
                <w:color w:val="auto"/>
              </w:rPr>
            </w:pPr>
          </w:p>
        </w:tc>
      </w:tr>
      <w:tr>
        <w:trPr>
          <w:trHeight w:val="233"/>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4"/>
          </w:tcPr>
          <w:p>
            <w:pPr>
              <w:ind w:left="4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FF0FC"/>
          </w:tcPr>
          <w:p>
            <w:pPr>
              <w:spacing w:after="0"/>
              <w:rPr>
                <w:sz w:val="21"/>
                <w:szCs w:val="21"/>
                <w:color w:val="auto"/>
              </w:rPr>
            </w:pPr>
          </w:p>
        </w:tc>
      </w:tr>
      <w:tr>
        <w:trPr>
          <w:trHeight w:val="23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345,663</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330,565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100" w:type="dxa"/>
            <w:vAlign w:val="bottom"/>
          </w:tcPr>
          <w:p>
            <w:pPr>
              <w:spacing w:after="0"/>
              <w:rPr>
                <w:sz w:val="20"/>
                <w:szCs w:val="20"/>
                <w:color w:val="auto"/>
              </w:rPr>
            </w:pP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1,643,898</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1,420,508</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263,552</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234,866</w:t>
            </w:r>
          </w:p>
        </w:tc>
        <w:tc>
          <w:tcPr>
            <w:tcW w:w="100" w:type="dxa"/>
            <w:vAlign w:val="bottom"/>
            <w:shd w:val="clear" w:color="auto" w:fill="CFF0FC"/>
          </w:tcPr>
          <w:p>
            <w:pPr>
              <w:spacing w:after="0"/>
              <w:rPr>
                <w:sz w:val="21"/>
                <w:szCs w:val="2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1,764,158</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1,502,555</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2,246,854</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1,878,481</w:t>
            </w:r>
          </w:p>
        </w:tc>
        <w:tc>
          <w:tcPr>
            <w:tcW w:w="100" w:type="dxa"/>
            <w:vAlign w:val="bottom"/>
          </w:tcPr>
          <w:p>
            <w:pPr>
              <w:spacing w:after="0"/>
              <w:rPr>
                <w:sz w:val="21"/>
                <w:szCs w:val="21"/>
                <w:color w:val="auto"/>
              </w:rPr>
            </w:pPr>
          </w:p>
        </w:tc>
      </w:tr>
      <w:tr>
        <w:trPr>
          <w:trHeight w:val="276"/>
        </w:trPr>
        <w:tc>
          <w:tcPr>
            <w:tcW w:w="5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3,755,297</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3,255,211</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2,554,301</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2,155,587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-24765</wp:posOffset>
            </wp:positionV>
            <wp:extent cx="768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-7620</wp:posOffset>
            </wp:positionV>
            <wp:extent cx="768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40" w:firstLine="637"/>
        <w:spacing w:after="0" w:line="281" w:lineRule="auto"/>
        <w:rPr>
          <w:sz w:val="20"/>
          <w:szCs w:val="20"/>
          <w:color w:val="auto"/>
        </w:rPr>
      </w:pPr>
      <w:r>
        <w:rPr>
          <w:rFonts w:ascii="Times New Roman" w:cs="Times New Roman" w:eastAsia="Times New Roman" w:hAnsi="Times New Roman"/>
          <w:sz w:val="18"/>
          <w:szCs w:val="18"/>
          <w:color w:val="auto"/>
        </w:rPr>
        <w:t>The investment in FHLB stock is periodically evaluated for impairment based on, among other things, the capital adequacy of the FHLB and its overall financial condition. No impairment losses have been recorded through December 31, 2022.</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ind w:left="640" w:right="3460" w:hanging="632"/>
        <w:spacing w:after="0" w:line="513" w:lineRule="auto"/>
        <w:tabs>
          <w:tab w:leader="none" w:pos="363"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LOANS AND LEASE FINANCE RECEIVABLES AND ALLOWANCE FOR CREDIT LOSSES </w:t>
      </w:r>
      <w:r>
        <w:rPr>
          <w:rFonts w:ascii="Times New Roman" w:cs="Times New Roman" w:eastAsia="Times New Roman" w:hAnsi="Times New Roman"/>
          <w:sz w:val="17"/>
          <w:szCs w:val="17"/>
          <w:color w:val="auto"/>
        </w:rPr>
        <w:t>The following table provides a summary of total loans and lease finance receivables by type.</w:t>
      </w:r>
    </w:p>
    <w:tbl>
      <w:tblPr>
        <w:tblLayout w:type="fixed"/>
        <w:tblInd w:w="0" w:type="dxa"/>
        <w:tblCellMar>
          <w:top w:w="0" w:type="dxa"/>
          <w:left w:w="0" w:type="dxa"/>
          <w:bottom w:w="0" w:type="dxa"/>
          <w:right w:w="0" w:type="dxa"/>
        </w:tblCellMar>
      </w:tblPr>
      <w:tr>
        <w:trPr>
          <w:trHeight w:val="245"/>
        </w:trPr>
        <w:tc>
          <w:tcPr>
            <w:tcW w:w="688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88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9"/>
        </w:trPr>
        <w:tc>
          <w:tcPr>
            <w:tcW w:w="6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2"/>
        </w:trPr>
        <w:tc>
          <w:tcPr>
            <w:tcW w:w="68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18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6,884,948</w:t>
            </w:r>
          </w:p>
        </w:tc>
        <w:tc>
          <w:tcPr>
            <w:tcW w:w="40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5,789,730</w:t>
            </w:r>
          </w:p>
        </w:tc>
        <w:tc>
          <w:tcPr>
            <w:tcW w:w="100" w:type="dxa"/>
            <w:vAlign w:val="bottom"/>
            <w:shd w:val="clear" w:color="auto" w:fill="CFF0FC"/>
          </w:tcPr>
          <w:p>
            <w:pPr>
              <w:spacing w:after="0"/>
              <w:rPr>
                <w:sz w:val="21"/>
                <w:szCs w:val="21"/>
                <w:color w:val="auto"/>
              </w:rPr>
            </w:pP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88,271</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62,264</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290,908</w:t>
            </w:r>
          </w:p>
        </w:tc>
        <w:tc>
          <w:tcPr>
            <w:tcW w:w="4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288,600</w:t>
            </w:r>
          </w:p>
        </w:tc>
        <w:tc>
          <w:tcPr>
            <w:tcW w:w="100" w:type="dxa"/>
            <w:vAlign w:val="bottom"/>
            <w:shd w:val="clear" w:color="auto" w:fill="CFF0FC"/>
          </w:tcPr>
          <w:p>
            <w:pPr>
              <w:spacing w:after="0"/>
              <w:rPr>
                <w:sz w:val="21"/>
                <w:szCs w:val="21"/>
                <w:color w:val="auto"/>
              </w:rPr>
            </w:pP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1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186,585</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948,683</w:t>
            </w:r>
          </w:p>
        </w:tc>
        <w:tc>
          <w:tcPr>
            <w:tcW w:w="4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813,063</w:t>
            </w:r>
          </w:p>
        </w:tc>
        <w:tc>
          <w:tcPr>
            <w:tcW w:w="100" w:type="dxa"/>
            <w:vAlign w:val="bottom"/>
            <w:shd w:val="clear" w:color="auto" w:fill="CFF0FC"/>
          </w:tcPr>
          <w:p>
            <w:pPr>
              <w:spacing w:after="0"/>
              <w:rPr>
                <w:sz w:val="21"/>
                <w:szCs w:val="21"/>
                <w:color w:val="auto"/>
              </w:rPr>
            </w:pP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433,564</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386,219</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81,126</w:t>
            </w:r>
          </w:p>
        </w:tc>
        <w:tc>
          <w:tcPr>
            <w:tcW w:w="4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00" w:type="dxa"/>
            <w:vAlign w:val="bottom"/>
            <w:shd w:val="clear" w:color="auto" w:fill="CFF0FC"/>
          </w:tcPr>
          <w:p>
            <w:pPr>
              <w:spacing w:after="0"/>
              <w:rPr>
                <w:sz w:val="21"/>
                <w:szCs w:val="21"/>
                <w:color w:val="auto"/>
              </w:rPr>
            </w:pP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1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266,024</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240,654</w:t>
            </w:r>
          </w:p>
        </w:tc>
        <w:tc>
          <w:tcPr>
            <w:tcW w:w="100" w:type="dxa"/>
            <w:vAlign w:val="bottom"/>
          </w:tcPr>
          <w:p>
            <w:pPr>
              <w:spacing w:after="0"/>
              <w:rPr>
                <w:sz w:val="20"/>
                <w:szCs w:val="20"/>
                <w:color w:val="auto"/>
              </w:rPr>
            </w:pPr>
          </w:p>
        </w:tc>
      </w:tr>
      <w:tr>
        <w:trPr>
          <w:trHeight w:val="243"/>
        </w:trPr>
        <w:tc>
          <w:tcPr>
            <w:tcW w:w="6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76,781</w:t>
            </w:r>
          </w:p>
        </w:tc>
        <w:tc>
          <w:tcPr>
            <w:tcW w:w="4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1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9,079,392</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7,887,713</w:t>
            </w:r>
          </w:p>
        </w:tc>
        <w:tc>
          <w:tcPr>
            <w:tcW w:w="100" w:type="dxa"/>
            <w:vAlign w:val="bottom"/>
          </w:tcPr>
          <w:p>
            <w:pPr>
              <w:spacing w:after="0"/>
              <w:rPr>
                <w:sz w:val="20"/>
                <w:szCs w:val="20"/>
                <w:color w:val="auto"/>
              </w:rPr>
            </w:pPr>
          </w:p>
        </w:tc>
      </w:tr>
      <w:tr>
        <w:trPr>
          <w:trHeight w:val="243"/>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(85,117 )</w:t>
            </w:r>
          </w:p>
        </w:tc>
        <w:tc>
          <w:tcPr>
            <w:tcW w:w="6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(65,019 )</w:t>
            </w:r>
          </w:p>
        </w:tc>
      </w:tr>
      <w:tr>
        <w:trPr>
          <w:trHeight w:val="240"/>
        </w:trPr>
        <w:tc>
          <w:tcPr>
            <w:tcW w:w="68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8,994,275</w:t>
            </w:r>
          </w:p>
        </w:tc>
        <w:tc>
          <w:tcPr>
            <w:tcW w:w="40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100" w:type="dxa"/>
            <w:vAlign w:val="bottom"/>
            <w:tcBorders>
              <w:top w:val="single" w:sz="8" w:color="CFF0FC"/>
            </w:tcBorders>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-504825</wp:posOffset>
            </wp:positionV>
            <wp:extent cx="76835" cy="1625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-187960</wp:posOffset>
            </wp:positionV>
            <wp:extent cx="76835" cy="1885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66"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As of December 31, 2022, 79.73% of the Company’s total gross loan portfolio consisted of real estate loans, with commercial real estate loans representing 75.83% of total loans. Substantially all of the Company’s real estate loans and construction loans are secured by real properties located in California. As of December 31, 2022, $517.8 million, or 7.52% of the total commercial real estate loans included loans secured by farmland, compared to $364.4 million, or 6.29%, at December 31, 2021. The loans secured by farmland included $140.5 million for loans secured by dairy &amp; livestock land and $377.3 million for loans secured by agricultural land at December 31, 2022, compared to $134.9 million for loans secured by dairy &amp; livestock land and $229.5 million for loans secured by agricultural land at December 31, 2021. As of December 31, 2022, dairy &amp; livestock and agribusiness loans of $433.6 million were comprised of $388.5 million for dairy &amp; livestock loans and $45.1 million for agribusiness loans. This compares to $351.7 million for dairy &amp; livestock loans and $34.5 million for agribusiness loans at December 31, 2021.</w:t>
      </w:r>
    </w:p>
    <w:p>
      <w:pPr>
        <w:spacing w:after="0" w:line="149" w:lineRule="exact"/>
        <w:rPr>
          <w:sz w:val="20"/>
          <w:szCs w:val="20"/>
          <w:color w:val="auto"/>
        </w:rPr>
      </w:pPr>
    </w:p>
    <w:p>
      <w:pPr>
        <w:ind w:right="140" w:firstLine="637"/>
        <w:spacing w:after="0" w:line="281" w:lineRule="auto"/>
        <w:rPr>
          <w:sz w:val="20"/>
          <w:szCs w:val="20"/>
          <w:color w:val="auto"/>
        </w:rPr>
      </w:pPr>
      <w:r>
        <w:rPr>
          <w:rFonts w:ascii="Times New Roman" w:cs="Times New Roman" w:eastAsia="Times New Roman" w:hAnsi="Times New Roman"/>
          <w:sz w:val="18"/>
          <w:szCs w:val="18"/>
          <w:color w:val="auto"/>
        </w:rPr>
        <w:t>At December 31, 2022 and 2021, loans totaling $4.30 billion and $3.96 billion, respectively, were pledged to secure the borrowings and available lines of credit from the FHLB and the Federal Reserve Bank.</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outstanding loans held-for-sale as of December 31, 2022 and 2021.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02" w:lineRule="exact"/>
        <w:rPr>
          <w:sz w:val="20"/>
          <w:szCs w:val="20"/>
          <w:color w:val="auto"/>
        </w:rPr>
      </w:pPr>
    </w:p>
    <w:p>
      <w:pPr>
        <w:ind w:right="360" w:firstLine="637"/>
        <w:spacing w:after="0" w:line="312" w:lineRule="auto"/>
        <w:rPr>
          <w:sz w:val="20"/>
          <w:szCs w:val="20"/>
          <w:color w:val="auto"/>
        </w:rPr>
      </w:pPr>
      <w:r>
        <w:rPr>
          <w:rFonts w:ascii="Times New Roman" w:cs="Times New Roman" w:eastAsia="Times New Roman" w:hAnsi="Times New Roman"/>
          <w:sz w:val="17"/>
          <w:szCs w:val="17"/>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99" w:lineRule="exact"/>
        <w:rPr>
          <w:sz w:val="20"/>
          <w:szCs w:val="20"/>
          <w:color w:val="auto"/>
        </w:rPr>
      </w:pPr>
    </w:p>
    <w:p>
      <w:pPr>
        <w:ind w:right="100" w:firstLine="637"/>
        <w:spacing w:after="0" w:line="258" w:lineRule="auto"/>
        <w:rPr>
          <w:sz w:val="20"/>
          <w:szCs w:val="20"/>
          <w:color w:val="auto"/>
        </w:rPr>
      </w:pPr>
      <w:r>
        <w:rPr>
          <w:rFonts w:ascii="Times New Roman" w:cs="Times New Roman" w:eastAsia="Times New Roman" w:hAnsi="Times New Roman"/>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41" w:lineRule="exact"/>
        <w:rPr>
          <w:sz w:val="20"/>
          <w:szCs w:val="20"/>
          <w:color w:val="auto"/>
        </w:rPr>
      </w:pPr>
    </w:p>
    <w:p>
      <w:pPr>
        <w:ind w:right="40" w:firstLine="637"/>
        <w:spacing w:after="0" w:line="281" w:lineRule="auto"/>
        <w:rPr>
          <w:sz w:val="20"/>
          <w:szCs w:val="20"/>
          <w:color w:val="auto"/>
        </w:rPr>
      </w:pPr>
      <w:r>
        <w:rPr>
          <w:rFonts w:ascii="Times New Roman" w:cs="Times New Roman" w:eastAsia="Times New Roman" w:hAnsi="Times New Roman"/>
          <w:sz w:val="18"/>
          <w:szCs w:val="18"/>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36" w:lineRule="exact"/>
        <w:rPr>
          <w:sz w:val="20"/>
          <w:szCs w:val="20"/>
          <w:color w:val="auto"/>
        </w:rPr>
      </w:pPr>
    </w:p>
    <w:p>
      <w:pPr>
        <w:ind w:right="100" w:firstLine="637"/>
        <w:spacing w:after="0" w:line="260" w:lineRule="auto"/>
        <w:rPr>
          <w:sz w:val="20"/>
          <w:szCs w:val="20"/>
          <w:color w:val="auto"/>
        </w:rPr>
      </w:pPr>
      <w:r>
        <w:rPr>
          <w:rFonts w:ascii="Times New Roman" w:cs="Times New Roman" w:eastAsia="Times New Roman" w:hAnsi="Times New Roman"/>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1" w:name="page102"/>
    <w:bookmarkEnd w:id="101"/>
    <w:p>
      <w:pPr>
        <w:ind w:firstLine="637"/>
        <w:spacing w:after="0" w:line="265" w:lineRule="auto"/>
        <w:rPr>
          <w:sz w:val="20"/>
          <w:szCs w:val="20"/>
          <w:color w:val="auto"/>
        </w:rPr>
      </w:pPr>
      <w:r>
        <w:rPr>
          <w:rFonts w:ascii="Times New Roman" w:cs="Times New Roman" w:eastAsia="Times New Roman" w:hAnsi="Times New Roman"/>
          <w:sz w:val="18"/>
          <w:szCs w:val="18"/>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50" w:lineRule="exact"/>
        <w:rPr>
          <w:sz w:val="20"/>
          <w:szCs w:val="20"/>
          <w:color w:val="auto"/>
        </w:rPr>
      </w:pPr>
    </w:p>
    <w:p>
      <w:pPr>
        <w:ind w:right="80" w:firstLine="637"/>
        <w:spacing w:after="0" w:line="265" w:lineRule="auto"/>
        <w:rPr>
          <w:sz w:val="20"/>
          <w:szCs w:val="20"/>
          <w:color w:val="auto"/>
        </w:rPr>
      </w:pPr>
      <w:r>
        <w:rPr>
          <w:rFonts w:ascii="Times New Roman" w:cs="Times New Roman" w:eastAsia="Times New Roman" w:hAnsi="Times New Roman"/>
          <w:sz w:val="18"/>
          <w:szCs w:val="18"/>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37" w:lineRule="exact"/>
        <w:rPr>
          <w:sz w:val="20"/>
          <w:szCs w:val="20"/>
          <w:color w:val="auto"/>
        </w:rPr>
      </w:pPr>
    </w:p>
    <w:p>
      <w:pPr>
        <w:ind w:right="240" w:firstLine="637"/>
        <w:spacing w:after="0" w:line="312" w:lineRule="auto"/>
        <w:rPr>
          <w:sz w:val="20"/>
          <w:szCs w:val="20"/>
          <w:color w:val="auto"/>
        </w:rPr>
      </w:pPr>
      <w:r>
        <w:rPr>
          <w:rFonts w:ascii="Times New Roman" w:cs="Times New Roman" w:eastAsia="Times New Roman" w:hAnsi="Times New Roman"/>
          <w:sz w:val="17"/>
          <w:szCs w:val="17"/>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99" w:lineRule="exact"/>
        <w:rPr>
          <w:sz w:val="20"/>
          <w:szCs w:val="20"/>
          <w:color w:val="auto"/>
        </w:rPr>
      </w:pPr>
    </w:p>
    <w:p>
      <w:pPr>
        <w:ind w:right="60" w:firstLine="637"/>
        <w:spacing w:after="0" w:line="265" w:lineRule="auto"/>
        <w:rPr>
          <w:sz w:val="20"/>
          <w:szCs w:val="20"/>
          <w:color w:val="auto"/>
        </w:rPr>
      </w:pPr>
      <w:r>
        <w:rPr>
          <w:rFonts w:ascii="Times New Roman" w:cs="Times New Roman" w:eastAsia="Times New Roman" w:hAnsi="Times New Roman"/>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color w:val="auto"/>
        </w:rPr>
        <w:t>The following table summarizes loans by type and origination year, according to our internal risk ratings as of the dates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Revolving loans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cost basis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6"/>
          </w:tcPr>
          <w:p>
            <w:pPr>
              <w:jc w:val="right"/>
              <w:spacing w:after="0"/>
              <w:rPr>
                <w:sz w:val="20"/>
                <w:szCs w:val="20"/>
                <w:color w:val="auto"/>
              </w:rPr>
            </w:pPr>
            <w:r>
              <w:rPr>
                <w:rFonts w:ascii="Times New Roman" w:cs="Times New Roman" w:eastAsia="Times New Roman" w:hAnsi="Times New Roman"/>
                <w:sz w:val="13"/>
                <w:szCs w:val="13"/>
                <w:i w:val="1"/>
                <w:iCs w:val="1"/>
                <w:color w:val="auto"/>
                <w:w w:val="91"/>
              </w:rPr>
              <w:t>(Dollars in thousands)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1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1,363,733</w:t>
            </w:r>
          </w:p>
        </w:tc>
        <w:tc>
          <w:tcPr>
            <w:tcW w:w="40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1,197,290</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957,965</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542,827</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506,613</w:t>
            </w:r>
          </w:p>
        </w:tc>
        <w:tc>
          <w:tcPr>
            <w:tcW w:w="40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1,889,478</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175,373</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39,616</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6,672,895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15,624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16,297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21,535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real</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1,367,018</w:t>
            </w:r>
          </w:p>
        </w:tc>
        <w:tc>
          <w:tcPr>
            <w:tcW w:w="40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1,209,404</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984,873</w:t>
            </w:r>
          </w:p>
        </w:tc>
        <w:tc>
          <w:tcPr>
            <w:tcW w:w="42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592,100</w:t>
            </w:r>
          </w:p>
        </w:tc>
        <w:tc>
          <w:tcPr>
            <w:tcW w:w="3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528,353</w:t>
            </w:r>
          </w:p>
        </w:tc>
        <w:tc>
          <w:tcPr>
            <w:tcW w:w="400" w:type="dxa"/>
            <w:vAlign w:val="bottom"/>
            <w:gridSpan w:val="3"/>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1,987,303</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176,281</w:t>
            </w:r>
          </w:p>
        </w:tc>
        <w:tc>
          <w:tcPr>
            <w:tcW w:w="30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39,616</w:t>
            </w:r>
          </w:p>
        </w:tc>
        <w:tc>
          <w:tcPr>
            <w:tcW w:w="40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6,884,948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34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2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17,203</w:t>
            </w:r>
          </w:p>
        </w:tc>
        <w:tc>
          <w:tcPr>
            <w:tcW w:w="40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26,689</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16,578</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22,850</w:t>
            </w:r>
          </w:p>
        </w:tc>
        <w:tc>
          <w:tcPr>
            <w:tcW w:w="3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Construction</w:t>
            </w:r>
          </w:p>
        </w:tc>
        <w:tc>
          <w:tcPr>
            <w:tcW w:w="18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17,203</w:t>
            </w:r>
          </w:p>
        </w:tc>
        <w:tc>
          <w:tcPr>
            <w:tcW w:w="40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26,689</w:t>
            </w:r>
          </w:p>
        </w:tc>
        <w:tc>
          <w:tcPr>
            <w:tcW w:w="40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16,578</w:t>
            </w:r>
          </w:p>
        </w:tc>
        <w:tc>
          <w:tcPr>
            <w:tcW w:w="42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4,951</w:t>
            </w:r>
          </w:p>
        </w:tc>
        <w:tc>
          <w:tcPr>
            <w:tcW w:w="400" w:type="dxa"/>
            <w:vAlign w:val="bottom"/>
            <w:gridSpan w:val="3"/>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22,850</w:t>
            </w:r>
          </w:p>
        </w:tc>
        <w:tc>
          <w:tcPr>
            <w:tcW w:w="3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88,271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60,623</w:t>
            </w:r>
          </w:p>
        </w:tc>
        <w:tc>
          <w:tcPr>
            <w:tcW w:w="40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54,781</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35,243</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7,460</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28,886</w:t>
            </w:r>
          </w:p>
        </w:tc>
        <w:tc>
          <w:tcPr>
            <w:tcW w:w="40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96,473</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284,492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60,623</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54,781</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35,243</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8,781</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30,735</w:t>
            </w:r>
          </w:p>
        </w:tc>
        <w:tc>
          <w:tcPr>
            <w:tcW w:w="180" w:type="dxa"/>
            <w:vAlign w:val="bottom"/>
            <w:tcBorders>
              <w:bottom w:val="single" w:sz="8" w:color="CFF0FC"/>
            </w:tcBorders>
            <w:gridSpan w:val="2"/>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99,719</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290,908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5,515</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3,572</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5,515</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3,572</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1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154,765</w:t>
            </w:r>
          </w:p>
        </w:tc>
        <w:tc>
          <w:tcPr>
            <w:tcW w:w="40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135,162</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80,763</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101,192</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42,731</w:t>
            </w:r>
          </w:p>
        </w:tc>
        <w:tc>
          <w:tcPr>
            <w:tcW w:w="40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85,406</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305,589</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7,775</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913,383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159,214</w:t>
            </w:r>
          </w:p>
        </w:tc>
        <w:tc>
          <w:tcPr>
            <w:tcW w:w="220" w:type="dxa"/>
            <w:vAlign w:val="bottom"/>
            <w:gridSpan w:val="2"/>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135,923</w:t>
            </w:r>
          </w:p>
        </w:tc>
        <w:tc>
          <w:tcPr>
            <w:tcW w:w="220" w:type="dxa"/>
            <w:vAlign w:val="bottom"/>
            <w:gridSpan w:val="2"/>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81,950</w:t>
            </w:r>
          </w:p>
        </w:tc>
        <w:tc>
          <w:tcPr>
            <w:tcW w:w="220" w:type="dxa"/>
            <w:vAlign w:val="bottom"/>
            <w:gridSpan w:val="2"/>
            <w:vMerge w:val="restart"/>
            <w:shd w:val="clear" w:color="auto" w:fill="CFF0FC"/>
          </w:tcPr>
          <w:p>
            <w:pPr>
              <w:spacing w:after="0"/>
              <w:rPr>
                <w:sz w:val="10"/>
                <w:szCs w:val="10"/>
                <w:color w:val="auto"/>
              </w:rPr>
            </w:pP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103,844</w:t>
            </w:r>
          </w:p>
        </w:tc>
        <w:tc>
          <w:tcPr>
            <w:tcW w:w="200" w:type="dxa"/>
            <w:vAlign w:val="bottom"/>
            <w:gridSpan w:val="2"/>
            <w:vMerge w:val="restart"/>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48,817</w:t>
            </w:r>
          </w:p>
        </w:tc>
        <w:tc>
          <w:tcPr>
            <w:tcW w:w="180" w:type="dxa"/>
            <w:vAlign w:val="bottom"/>
            <w:gridSpan w:val="2"/>
            <w:vMerge w:val="restart"/>
            <w:shd w:val="clear" w:color="auto" w:fill="CFF0FC"/>
          </w:tcPr>
          <w:p>
            <w:pPr>
              <w:spacing w:after="0"/>
              <w:rPr>
                <w:sz w:val="10"/>
                <w:szCs w:val="10"/>
                <w:color w:val="auto"/>
              </w:rPr>
            </w:pPr>
          </w:p>
        </w:tc>
        <w:tc>
          <w:tcPr>
            <w:tcW w:w="2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85,910</w:t>
            </w:r>
          </w:p>
        </w:tc>
        <w:tc>
          <w:tcPr>
            <w:tcW w:w="200" w:type="dxa"/>
            <w:vAlign w:val="bottom"/>
            <w:gridSpan w:val="2"/>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323,945</w:t>
            </w:r>
          </w:p>
        </w:tc>
        <w:tc>
          <w:tcPr>
            <w:tcW w:w="200" w:type="dxa"/>
            <w:vAlign w:val="bottom"/>
            <w:gridSpan w:val="2"/>
            <w:vMerge w:val="restart"/>
            <w:shd w:val="clear" w:color="auto" w:fill="CFF0FC"/>
          </w:tcPr>
          <w:p>
            <w:pPr>
              <w:spacing w:after="0"/>
              <w:rPr>
                <w:sz w:val="10"/>
                <w:szCs w:val="10"/>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9,080</w:t>
            </w:r>
          </w:p>
        </w:tc>
        <w:tc>
          <w:tcPr>
            <w:tcW w:w="200" w:type="dxa"/>
            <w:vAlign w:val="bottom"/>
            <w:gridSpan w:val="2"/>
            <w:vMerge w:val="restart"/>
            <w:shd w:val="clear" w:color="auto" w:fill="CFF0FC"/>
          </w:tcPr>
          <w:p>
            <w:pPr>
              <w:spacing w:after="0"/>
              <w:rPr>
                <w:sz w:val="10"/>
                <w:szCs w:val="10"/>
                <w:color w:val="auto"/>
              </w:rPr>
            </w:pP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948,683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gridSpan w:val="2"/>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gridSpan w:val="2"/>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gridSpan w:val="2"/>
            <w:vMerge w:val="continue"/>
            <w:shd w:val="clear" w:color="auto" w:fill="CFF0FC"/>
          </w:tcPr>
          <w:p>
            <w:pPr>
              <w:spacing w:after="0"/>
              <w:rPr>
                <w:sz w:val="13"/>
                <w:szCs w:val="13"/>
                <w:color w:val="auto"/>
              </w:rPr>
            </w:pP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gridSpan w:val="2"/>
            <w:vMerge w:val="continue"/>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gridSpan w:val="2"/>
            <w:vMerge w:val="continue"/>
            <w:shd w:val="clear" w:color="auto" w:fill="CFF0FC"/>
          </w:tcPr>
          <w:p>
            <w:pPr>
              <w:spacing w:after="0"/>
              <w:rPr>
                <w:sz w:val="13"/>
                <w:szCs w:val="13"/>
                <w:color w:val="auto"/>
              </w:rPr>
            </w:pPr>
          </w:p>
        </w:tc>
        <w:tc>
          <w:tcPr>
            <w:tcW w:w="22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gridSpan w:val="2"/>
            <w:vMerge w:val="continue"/>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gridSpan w:val="2"/>
            <w:vMerge w:val="continue"/>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gridSpan w:val="2"/>
            <w:vMerge w:val="continue"/>
            <w:shd w:val="clear" w:color="auto" w:fill="CFF0FC"/>
          </w:tcPr>
          <w:p>
            <w:pPr>
              <w:spacing w:after="0"/>
              <w:rPr>
                <w:sz w:val="13"/>
                <w:szCs w:val="13"/>
                <w:color w:val="auto"/>
              </w:rPr>
            </w:pP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-3604260</wp:posOffset>
            </wp:positionV>
            <wp:extent cx="76835" cy="2139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0">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-3604260</wp:posOffset>
            </wp:positionV>
            <wp:extent cx="76835" cy="2139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1">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-3604260</wp:posOffset>
            </wp:positionV>
            <wp:extent cx="76835" cy="21399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2">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-3604260</wp:posOffset>
            </wp:positionV>
            <wp:extent cx="76835" cy="2139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3">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-3604260</wp:posOffset>
            </wp:positionV>
            <wp:extent cx="68580" cy="2139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4">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-3604260</wp:posOffset>
            </wp:positionV>
            <wp:extent cx="68580" cy="2139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5">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-3604260</wp:posOffset>
            </wp:positionV>
            <wp:extent cx="68580" cy="21399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6">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-3604260</wp:posOffset>
            </wp:positionV>
            <wp:extent cx="68580" cy="21399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-3604260</wp:posOffset>
            </wp:positionV>
            <wp:extent cx="68580" cy="21399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-2876550</wp:posOffset>
            </wp:positionV>
            <wp:extent cx="76835" cy="2997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9">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-2876550</wp:posOffset>
            </wp:positionV>
            <wp:extent cx="76835" cy="2997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0">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-2876550</wp:posOffset>
            </wp:positionV>
            <wp:extent cx="76835" cy="2997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1">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-2876550</wp:posOffset>
            </wp:positionV>
            <wp:extent cx="76835" cy="2997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2">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-2876550</wp:posOffset>
            </wp:positionV>
            <wp:extent cx="68580" cy="2997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3">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-2876550</wp:posOffset>
            </wp:positionV>
            <wp:extent cx="68580" cy="2997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4">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-2876550</wp:posOffset>
            </wp:positionV>
            <wp:extent cx="68580" cy="2997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5">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-2876550</wp:posOffset>
            </wp:positionV>
            <wp:extent cx="68580" cy="2997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6">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2997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7">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-1849120</wp:posOffset>
            </wp:positionV>
            <wp:extent cx="76835" cy="2139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-1849120</wp:posOffset>
            </wp:positionV>
            <wp:extent cx="76835" cy="21399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-1849120</wp:posOffset>
            </wp:positionV>
            <wp:extent cx="76835" cy="21399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-1849120</wp:posOffset>
            </wp:positionV>
            <wp:extent cx="76835" cy="21399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-1849120</wp:posOffset>
            </wp:positionV>
            <wp:extent cx="68580" cy="2139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2">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-1849120</wp:posOffset>
            </wp:positionV>
            <wp:extent cx="68580" cy="21399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3">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-1849120</wp:posOffset>
            </wp:positionV>
            <wp:extent cx="68580" cy="2139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4">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-1849120</wp:posOffset>
            </wp:positionV>
            <wp:extent cx="68580" cy="21399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5">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21399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6">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-1120775</wp:posOffset>
            </wp:positionV>
            <wp:extent cx="76835" cy="2228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7">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-1120775</wp:posOffset>
            </wp:positionV>
            <wp:extent cx="76835" cy="2228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8">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-1120775</wp:posOffset>
            </wp:positionV>
            <wp:extent cx="76835" cy="2228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9">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-1120775</wp:posOffset>
            </wp:positionV>
            <wp:extent cx="76835" cy="2228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0">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-1120775</wp:posOffset>
            </wp:positionV>
            <wp:extent cx="68580" cy="2228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-1120775</wp:posOffset>
            </wp:positionV>
            <wp:extent cx="68580" cy="2228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-1120775</wp:posOffset>
            </wp:positionV>
            <wp:extent cx="68580" cy="2228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-1120775</wp:posOffset>
            </wp:positionV>
            <wp:extent cx="68580" cy="2228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-1120775</wp:posOffset>
            </wp:positionV>
            <wp:extent cx="68580" cy="2228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5">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-7620</wp:posOffset>
            </wp:positionV>
            <wp:extent cx="768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-7620</wp:posOffset>
            </wp:positionV>
            <wp:extent cx="768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768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-7620</wp:posOffset>
            </wp:positionV>
            <wp:extent cx="768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-7620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3"/>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Revolving 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10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42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400,229</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405,603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6,204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Dairy &amp; livestock</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1,555</w:t>
            </w:r>
          </w:p>
        </w:tc>
        <w:tc>
          <w:tcPr>
            <w:tcW w:w="42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3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420" w:type="dxa"/>
            <w:vAlign w:val="bottom"/>
            <w:gridSpan w:val="3"/>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419,199</w:t>
            </w:r>
          </w:p>
        </w:tc>
        <w:tc>
          <w:tcPr>
            <w:tcW w:w="30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7,507</w:t>
            </w:r>
          </w:p>
        </w:tc>
        <w:tc>
          <w:tcPr>
            <w:tcW w:w="40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433,564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6,442</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26,858</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6,814</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4,327</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4,948</w:t>
            </w:r>
          </w:p>
        </w:tc>
        <w:tc>
          <w:tcPr>
            <w:tcW w:w="42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31,292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Municipal lease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6,442</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26,858</w:t>
            </w:r>
          </w:p>
        </w:tc>
        <w:tc>
          <w:tcPr>
            <w:tcW w:w="40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6,814</w:t>
            </w:r>
          </w:p>
        </w:tc>
        <w:tc>
          <w:tcPr>
            <w:tcW w:w="42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4,327</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4,948</w:t>
            </w:r>
          </w:p>
        </w:tc>
        <w:tc>
          <w:tcPr>
            <w:tcW w:w="420" w:type="dxa"/>
            <w:vAlign w:val="bottom"/>
            <w:gridSpan w:val="3"/>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31,737</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81,126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63,761</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46,748</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45,819</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33,585</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15,836</w:t>
            </w:r>
          </w:p>
        </w:tc>
        <w:tc>
          <w:tcPr>
            <w:tcW w:w="42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58,730</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264,479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SFR mortgage</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63,761</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46,748</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46,762</w:t>
            </w:r>
          </w:p>
        </w:tc>
        <w:tc>
          <w:tcPr>
            <w:tcW w:w="42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33,585</w:t>
            </w:r>
          </w:p>
        </w:tc>
        <w:tc>
          <w:tcPr>
            <w:tcW w:w="3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15,836</w:t>
            </w:r>
          </w:p>
        </w:tc>
        <w:tc>
          <w:tcPr>
            <w:tcW w:w="420" w:type="dxa"/>
            <w:vAlign w:val="bottom"/>
            <w:gridSpan w:val="3"/>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58,944</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40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266,024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and other</w:t>
            </w: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7,653</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3,722</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42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58,578</w:t>
            </w:r>
          </w:p>
        </w:tc>
        <w:tc>
          <w:tcPr>
            <w:tcW w:w="3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Consumer and</w:t>
            </w: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7,653</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4,283</w:t>
            </w:r>
          </w:p>
        </w:tc>
        <w:tc>
          <w:tcPr>
            <w:tcW w:w="40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42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420" w:type="dxa"/>
            <w:vAlign w:val="bottom"/>
            <w:gridSpan w:val="3"/>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59,173</w:t>
            </w:r>
          </w:p>
        </w:tc>
        <w:tc>
          <w:tcPr>
            <w:tcW w:w="3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2,079</w:t>
            </w:r>
          </w:p>
        </w:tc>
        <w:tc>
          <w:tcPr>
            <w:tcW w:w="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76,781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1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1,674,387</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1,499,083</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1,149,567</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690,504</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599,162</w:t>
            </w:r>
          </w:p>
        </w:tc>
        <w:tc>
          <w:tcPr>
            <w:tcW w:w="42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2,163,284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963,645</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48,948</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8,788,580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16,392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17,256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6,369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23,735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8,325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78,658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Loans:</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1,683,162</w:t>
            </w:r>
          </w:p>
        </w:tc>
        <w:tc>
          <w:tcPr>
            <w:tcW w:w="240" w:type="dxa"/>
            <w:vAlign w:val="bottom"/>
            <w:tcBorders>
              <w:bottom w:val="single" w:sz="8" w:color="CFF0FC"/>
            </w:tcBorders>
            <w:gridSpan w:val="2"/>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1,512,519</w:t>
            </w:r>
          </w:p>
        </w:tc>
        <w:tc>
          <w:tcPr>
            <w:tcW w:w="220" w:type="dxa"/>
            <w:vAlign w:val="bottom"/>
            <w:tcBorders>
              <w:bottom w:val="single" w:sz="8" w:color="CFF0FC"/>
            </w:tcBorders>
            <w:gridSpan w:val="2"/>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1,178,645</w:t>
            </w:r>
          </w:p>
        </w:tc>
        <w:tc>
          <w:tcPr>
            <w:tcW w:w="220" w:type="dxa"/>
            <w:vAlign w:val="bottom"/>
            <w:tcBorders>
              <w:bottom w:val="single" w:sz="8" w:color="CFF0FC"/>
            </w:tcBorders>
            <w:gridSpan w:val="2"/>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744,349</w:t>
            </w:r>
          </w:p>
        </w:tc>
        <w:tc>
          <w:tcPr>
            <w:tcW w:w="240" w:type="dxa"/>
            <w:vAlign w:val="bottom"/>
            <w:tcBorders>
              <w:bottom w:val="single" w:sz="8" w:color="CFF0FC"/>
            </w:tcBorders>
            <w:gridSpan w:val="2"/>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633,929</w:t>
            </w:r>
          </w:p>
        </w:tc>
        <w:tc>
          <w:tcPr>
            <w:tcW w:w="200" w:type="dxa"/>
            <w:vAlign w:val="bottom"/>
            <w:tcBorders>
              <w:bottom w:val="single" w:sz="8" w:color="CFF0FC"/>
            </w:tcBorders>
            <w:gridSpan w:val="2"/>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2,265,644</w:t>
            </w:r>
          </w:p>
        </w:tc>
        <w:tc>
          <w:tcPr>
            <w:tcW w:w="220" w:type="dxa"/>
            <w:vAlign w:val="bottom"/>
            <w:tcBorders>
              <w:bottom w:val="single" w:sz="8" w:color="CFF0FC"/>
            </w:tcBorders>
            <w:gridSpan w:val="2"/>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1,002,474</w:t>
            </w:r>
          </w:p>
        </w:tc>
        <w:tc>
          <w:tcPr>
            <w:tcW w:w="200" w:type="dxa"/>
            <w:vAlign w:val="bottom"/>
            <w:tcBorders>
              <w:bottom w:val="single" w:sz="8" w:color="CFF0FC"/>
            </w:tcBorders>
            <w:gridSpan w:val="2"/>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58,670</w:t>
            </w:r>
          </w:p>
        </w:tc>
        <w:tc>
          <w:tcPr>
            <w:tcW w:w="200" w:type="dxa"/>
            <w:vAlign w:val="bottom"/>
            <w:tcBorders>
              <w:bottom w:val="single" w:sz="8" w:color="CFF0FC"/>
            </w:tcBorders>
            <w:gridSpan w:val="2"/>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9,079,392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-3869690</wp:posOffset>
            </wp:positionV>
            <wp:extent cx="76835" cy="2997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6">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-3869690</wp:posOffset>
            </wp:positionV>
            <wp:extent cx="76835" cy="2997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7">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-3869690</wp:posOffset>
            </wp:positionV>
            <wp:extent cx="76835" cy="2997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8">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-3869690</wp:posOffset>
            </wp:positionV>
            <wp:extent cx="76835" cy="2997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9">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-3869690</wp:posOffset>
            </wp:positionV>
            <wp:extent cx="68580" cy="2997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0">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-3869690</wp:posOffset>
            </wp:positionV>
            <wp:extent cx="68580" cy="2997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1">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-3869690</wp:posOffset>
            </wp:positionV>
            <wp:extent cx="68580" cy="2997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2">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-3869690</wp:posOffset>
            </wp:positionV>
            <wp:extent cx="68580" cy="2997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3">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2997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4">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-3056255</wp:posOffset>
            </wp:positionV>
            <wp:extent cx="76835" cy="3854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5">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-3056255</wp:posOffset>
            </wp:positionV>
            <wp:extent cx="76835" cy="3854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6">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-3056255</wp:posOffset>
            </wp:positionV>
            <wp:extent cx="76835" cy="3854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7">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-3056255</wp:posOffset>
            </wp:positionV>
            <wp:extent cx="76835" cy="3854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8">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-3056255</wp:posOffset>
            </wp:positionV>
            <wp:extent cx="68580" cy="3854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9">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-3056255</wp:posOffset>
            </wp:positionV>
            <wp:extent cx="68580" cy="3854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0">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-3056255</wp:posOffset>
            </wp:positionV>
            <wp:extent cx="68580" cy="3854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1">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-3056255</wp:posOffset>
            </wp:positionV>
            <wp:extent cx="68580" cy="3854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2">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-3056255</wp:posOffset>
            </wp:positionV>
            <wp:extent cx="68580" cy="3854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3">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-1866265</wp:posOffset>
            </wp:positionV>
            <wp:extent cx="76835" cy="2997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4">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-1866265</wp:posOffset>
            </wp:positionV>
            <wp:extent cx="76835" cy="2997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5">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-1866265</wp:posOffset>
            </wp:positionV>
            <wp:extent cx="76835" cy="2997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6">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-1866265</wp:posOffset>
            </wp:positionV>
            <wp:extent cx="76835" cy="2997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7">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-1866265</wp:posOffset>
            </wp:positionV>
            <wp:extent cx="68580" cy="2997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-1866265</wp:posOffset>
            </wp:positionV>
            <wp:extent cx="68580" cy="2997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9">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-1866265</wp:posOffset>
            </wp:positionV>
            <wp:extent cx="68580" cy="2997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0">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-1866265</wp:posOffset>
            </wp:positionV>
            <wp:extent cx="68580" cy="2997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1">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-1866265</wp:posOffset>
            </wp:positionV>
            <wp:extent cx="68580" cy="2997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2">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-1052830</wp:posOffset>
            </wp:positionV>
            <wp:extent cx="76835" cy="2997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3">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-1052830</wp:posOffset>
            </wp:positionV>
            <wp:extent cx="76835" cy="2997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4">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-1052830</wp:posOffset>
            </wp:positionV>
            <wp:extent cx="76835" cy="2997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5">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-1052830</wp:posOffset>
            </wp:positionV>
            <wp:extent cx="76835" cy="2997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6">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-1052830</wp:posOffset>
            </wp:positionV>
            <wp:extent cx="68580" cy="2997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7">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-1052830</wp:posOffset>
            </wp:positionV>
            <wp:extent cx="68580" cy="2997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-1052830</wp:posOffset>
            </wp:positionV>
            <wp:extent cx="68580" cy="2997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9">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-1052830</wp:posOffset>
            </wp:positionV>
            <wp:extent cx="68580" cy="2997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0">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2997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1">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-24765</wp:posOffset>
            </wp:positionV>
            <wp:extent cx="768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-7620</wp:posOffset>
            </wp:positionV>
            <wp:extent cx="768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-24765</wp:posOffset>
            </wp:positionV>
            <wp:extent cx="768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-7620</wp:posOffset>
            </wp:positionV>
            <wp:extent cx="768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-24765</wp:posOffset>
            </wp:positionV>
            <wp:extent cx="768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-7620</wp:posOffset>
            </wp:positionV>
            <wp:extent cx="7683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-24765</wp:posOffset>
            </wp:positionV>
            <wp:extent cx="7683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-7620</wp:posOffset>
            </wp:positionV>
            <wp:extent cx="7683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-24765</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-24765</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-7620</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-24765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-7620</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3"/>
              </w:rPr>
              <w:t>Revolving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5"/>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i w:val="1"/>
                <w:iCs w:val="1"/>
                <w:color w:val="auto"/>
              </w:rPr>
              <w:t>(Dollars in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w w:val="70"/>
              </w:rPr>
              <w:t>thousands)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0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1,137,714</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963,697</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591,202</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534,468</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484,721</w:t>
            </w:r>
          </w:p>
        </w:tc>
        <w:tc>
          <w:tcPr>
            <w:tcW w:w="44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1,704,267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156,841</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33,564</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5,606,474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real</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1,140,847</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984,337</w:t>
            </w:r>
          </w:p>
        </w:tc>
        <w:tc>
          <w:tcPr>
            <w:tcW w:w="3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608,538</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557,498</w:t>
            </w:r>
          </w:p>
        </w:tc>
        <w:tc>
          <w:tcPr>
            <w:tcW w:w="3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532,629</w:t>
            </w:r>
          </w:p>
        </w:tc>
        <w:tc>
          <w:tcPr>
            <w:tcW w:w="440" w:type="dxa"/>
            <w:vAlign w:val="bottom"/>
            <w:gridSpan w:val="3"/>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1,755,641</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169,762</w:t>
            </w:r>
          </w:p>
        </w:tc>
        <w:tc>
          <w:tcPr>
            <w:tcW w:w="32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40,478</w:t>
            </w:r>
          </w:p>
        </w:tc>
        <w:tc>
          <w:tcPr>
            <w:tcW w:w="40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5,789,730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4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2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10,511</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7,236</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25,262</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Construction</w:t>
            </w:r>
          </w:p>
        </w:tc>
        <w:tc>
          <w:tcPr>
            <w:tcW w:w="18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10,511</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7,236</w:t>
            </w:r>
          </w:p>
        </w:tc>
        <w:tc>
          <w:tcPr>
            <w:tcW w:w="38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25,262</w:t>
            </w:r>
          </w:p>
        </w:tc>
        <w:tc>
          <w:tcPr>
            <w:tcW w:w="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62,264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4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70,929</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36,468</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11,129</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36,068</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38,504</w:t>
            </w:r>
          </w:p>
        </w:tc>
        <w:tc>
          <w:tcPr>
            <w:tcW w:w="44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78,527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271,625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70,929</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36,468</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11,129</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36,853</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46,652</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86,569</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288,600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183,614</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183,614</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2,971</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0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145,494</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81,944</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126,647</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54,690</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32,455</w:t>
            </w:r>
          </w:p>
        </w:tc>
        <w:tc>
          <w:tcPr>
            <w:tcW w:w="44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73,600</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267,659</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789,481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147,294</w:t>
            </w:r>
          </w:p>
        </w:tc>
        <w:tc>
          <w:tcPr>
            <w:tcW w:w="240" w:type="dxa"/>
            <w:vAlign w:val="bottom"/>
            <w:gridSpan w:val="2"/>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83,879</w:t>
            </w:r>
          </w:p>
        </w:tc>
        <w:tc>
          <w:tcPr>
            <w:tcW w:w="240" w:type="dxa"/>
            <w:vAlign w:val="bottom"/>
            <w:gridSpan w:val="2"/>
            <w:vMerge w:val="restart"/>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127,376</w:t>
            </w:r>
          </w:p>
        </w:tc>
        <w:tc>
          <w:tcPr>
            <w:tcW w:w="220" w:type="dxa"/>
            <w:vAlign w:val="bottom"/>
            <w:gridSpan w:val="2"/>
            <w:vMerge w:val="restart"/>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57,798</w:t>
            </w:r>
          </w:p>
        </w:tc>
        <w:tc>
          <w:tcPr>
            <w:tcW w:w="200" w:type="dxa"/>
            <w:vAlign w:val="bottom"/>
            <w:gridSpan w:val="2"/>
            <w:vMerge w:val="restart"/>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33,354</w:t>
            </w:r>
          </w:p>
        </w:tc>
        <w:tc>
          <w:tcPr>
            <w:tcW w:w="200" w:type="dxa"/>
            <w:vAlign w:val="bottom"/>
            <w:gridSpan w:val="2"/>
            <w:vMerge w:val="restart"/>
            <w:shd w:val="clear" w:color="auto" w:fill="CFF0FC"/>
          </w:tcPr>
          <w:p>
            <w:pPr>
              <w:spacing w:after="0"/>
              <w:rPr>
                <w:sz w:val="10"/>
                <w:szCs w:val="10"/>
                <w:color w:val="auto"/>
              </w:rPr>
            </w:pPr>
          </w:p>
        </w:tc>
        <w:tc>
          <w:tcPr>
            <w:tcW w:w="240" w:type="dxa"/>
            <w:vAlign w:val="bottom"/>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74,101</w:t>
            </w:r>
          </w:p>
        </w:tc>
        <w:tc>
          <w:tcPr>
            <w:tcW w:w="200" w:type="dxa"/>
            <w:vAlign w:val="bottom"/>
            <w:gridSpan w:val="2"/>
            <w:vMerge w:val="restart"/>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279,019</w:t>
            </w:r>
          </w:p>
        </w:tc>
        <w:tc>
          <w:tcPr>
            <w:tcW w:w="220" w:type="dxa"/>
            <w:vAlign w:val="bottom"/>
            <w:gridSpan w:val="2"/>
            <w:vMerge w:val="restart"/>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10,242</w:t>
            </w:r>
          </w:p>
        </w:tc>
        <w:tc>
          <w:tcPr>
            <w:tcW w:w="200" w:type="dxa"/>
            <w:vAlign w:val="bottom"/>
            <w:gridSpan w:val="2"/>
            <w:vMerge w:val="restart"/>
            <w:shd w:val="clear" w:color="auto" w:fill="CFF0FC"/>
          </w:tcPr>
          <w:p>
            <w:pPr>
              <w:spacing w:after="0"/>
              <w:rPr>
                <w:sz w:val="10"/>
                <w:szCs w:val="10"/>
                <w:color w:val="auto"/>
              </w:rPr>
            </w:pP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813,063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gridSpan w:val="2"/>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gridSpan w:val="2"/>
            <w:vMerge w:val="continue"/>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gridSpan w:val="2"/>
            <w:vMerge w:val="continue"/>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gridSpan w:val="2"/>
            <w:vMerge w:val="continue"/>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gridSpan w:val="2"/>
            <w:vMerge w:val="continue"/>
            <w:shd w:val="clear" w:color="auto" w:fill="CFF0FC"/>
          </w:tcPr>
          <w:p>
            <w:pPr>
              <w:spacing w:after="0"/>
              <w:rPr>
                <w:sz w:val="13"/>
                <w:szCs w:val="13"/>
                <w:color w:val="auto"/>
              </w:rPr>
            </w:pPr>
          </w:p>
        </w:tc>
        <w:tc>
          <w:tcPr>
            <w:tcW w:w="24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gridSpan w:val="2"/>
            <w:vMerge w:val="continue"/>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gridSpan w:val="2"/>
            <w:vMerge w:val="continue"/>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gridSpan w:val="2"/>
            <w:vMerge w:val="continue"/>
            <w:shd w:val="clear" w:color="auto" w:fill="CFF0FC"/>
          </w:tcPr>
          <w:p>
            <w:pPr>
              <w:spacing w:after="0"/>
              <w:rPr>
                <w:sz w:val="13"/>
                <w:szCs w:val="13"/>
                <w:color w:val="auto"/>
              </w:rPr>
            </w:pP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-3604260</wp:posOffset>
            </wp:positionV>
            <wp:extent cx="76835" cy="21399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1">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-3604260</wp:posOffset>
            </wp:positionV>
            <wp:extent cx="76835" cy="21399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2">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-3604260</wp:posOffset>
            </wp:positionV>
            <wp:extent cx="76835" cy="21399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3">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-3604260</wp:posOffset>
            </wp:positionV>
            <wp:extent cx="68580" cy="21399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4">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-3604260</wp:posOffset>
            </wp:positionV>
            <wp:extent cx="68580" cy="21399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5">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-3604260</wp:posOffset>
            </wp:positionV>
            <wp:extent cx="68580" cy="2139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6">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-3604260</wp:posOffset>
            </wp:positionV>
            <wp:extent cx="68580" cy="21399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7">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-3604260</wp:posOffset>
            </wp:positionV>
            <wp:extent cx="68580" cy="21399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8">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-3604260</wp:posOffset>
            </wp:positionV>
            <wp:extent cx="68580" cy="21399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9">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-2876550</wp:posOffset>
            </wp:positionV>
            <wp:extent cx="76835" cy="2997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0">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-2876550</wp:posOffset>
            </wp:positionV>
            <wp:extent cx="76835" cy="2997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1">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-2876550</wp:posOffset>
            </wp:positionV>
            <wp:extent cx="76835" cy="2997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2">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-2876550</wp:posOffset>
            </wp:positionV>
            <wp:extent cx="68580" cy="2997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3">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-2876550</wp:posOffset>
            </wp:positionV>
            <wp:extent cx="68580" cy="2997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4">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-2876550</wp:posOffset>
            </wp:positionV>
            <wp:extent cx="68580" cy="2997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5">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-2876550</wp:posOffset>
            </wp:positionV>
            <wp:extent cx="68580" cy="2997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6">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-2876550</wp:posOffset>
            </wp:positionV>
            <wp:extent cx="68580" cy="2997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7">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2997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-1849120</wp:posOffset>
            </wp:positionV>
            <wp:extent cx="76835" cy="21399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9">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-1849120</wp:posOffset>
            </wp:positionV>
            <wp:extent cx="76835" cy="21399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0">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-1849120</wp:posOffset>
            </wp:positionV>
            <wp:extent cx="76835" cy="21399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1">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-1849120</wp:posOffset>
            </wp:positionV>
            <wp:extent cx="68580" cy="21399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2">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-1849120</wp:posOffset>
            </wp:positionV>
            <wp:extent cx="68580" cy="21399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3">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-1849120</wp:posOffset>
            </wp:positionV>
            <wp:extent cx="68580" cy="21399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4">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-1849120</wp:posOffset>
            </wp:positionV>
            <wp:extent cx="68580" cy="21399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5">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-1849120</wp:posOffset>
            </wp:positionV>
            <wp:extent cx="68580" cy="21399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6">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2139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7">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-1120775</wp:posOffset>
            </wp:positionV>
            <wp:extent cx="76835" cy="2228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8">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-1120775</wp:posOffset>
            </wp:positionV>
            <wp:extent cx="76835" cy="2228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9">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-1120775</wp:posOffset>
            </wp:positionV>
            <wp:extent cx="76835" cy="2228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0">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-1120775</wp:posOffset>
            </wp:positionV>
            <wp:extent cx="68580" cy="2228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-1120775</wp:posOffset>
            </wp:positionV>
            <wp:extent cx="68580" cy="2228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-1120775</wp:posOffset>
            </wp:positionV>
            <wp:extent cx="68580" cy="2228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-1120775</wp:posOffset>
            </wp:positionV>
            <wp:extent cx="68580" cy="2228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-1120775</wp:posOffset>
            </wp:positionV>
            <wp:extent cx="68580" cy="2228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5">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-1120775</wp:posOffset>
            </wp:positionV>
            <wp:extent cx="68580" cy="2228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-7620</wp:posOffset>
            </wp:positionV>
            <wp:extent cx="7683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-7620</wp:posOffset>
            </wp:positionV>
            <wp:extent cx="7683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-7620</wp:posOffset>
            </wp:positionV>
            <wp:extent cx="7683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-7620</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-7620</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5"/>
            <w:vMerge w:val="restart"/>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8"/>
              </w:rPr>
              <w:t>converted to</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6"/>
          </w:tcPr>
          <w:p>
            <w:pPr>
              <w:jc w:val="right"/>
              <w:ind w:right="17"/>
              <w:spacing w:after="0"/>
              <w:rPr>
                <w:sz w:val="20"/>
                <w:szCs w:val="20"/>
                <w:color w:val="auto"/>
              </w:rPr>
            </w:pPr>
            <w:r>
              <w:rPr>
                <w:rFonts w:ascii="Times New Roman" w:cs="Times New Roman" w:eastAsia="Times New Roman" w:hAnsi="Times New Roman"/>
                <w:sz w:val="13"/>
                <w:szCs w:val="13"/>
                <w:i w:val="1"/>
                <w:iCs w:val="1"/>
                <w:color w:val="auto"/>
                <w:w w:val="93"/>
              </w:rPr>
              <w:t>(Dollars in thousands)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1,756</w:t>
            </w:r>
          </w:p>
        </w:tc>
        <w:tc>
          <w:tcPr>
            <w:tcW w:w="38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42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364,312</w:t>
            </w:r>
          </w:p>
        </w:tc>
        <w:tc>
          <w:tcPr>
            <w:tcW w:w="2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370,174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Dairy &amp; livestock</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38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3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420" w:type="dxa"/>
            <w:vAlign w:val="bottom"/>
            <w:gridSpan w:val="3"/>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371,291</w:t>
            </w:r>
          </w:p>
        </w:tc>
        <w:tc>
          <w:tcPr>
            <w:tcW w:w="280" w:type="dxa"/>
            <w:vAlign w:val="bottom"/>
            <w:gridSpan w:val="3"/>
            <w:vMerge w:val="restart"/>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8,431</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386,219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280" w:type="dxa"/>
            <w:vAlign w:val="bottom"/>
            <w:gridSpan w:val="3"/>
            <w:vMerge w:val="continue"/>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9,310</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7,666</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9,528</w:t>
            </w:r>
          </w:p>
        </w:tc>
        <w:tc>
          <w:tcPr>
            <w:tcW w:w="42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Municipal lease</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2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9,310</w:t>
            </w:r>
          </w:p>
        </w:tc>
        <w:tc>
          <w:tcPr>
            <w:tcW w:w="38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7,666</w:t>
            </w:r>
          </w:p>
        </w:tc>
        <w:tc>
          <w:tcPr>
            <w:tcW w:w="38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9,528</w:t>
            </w:r>
          </w:p>
        </w:tc>
        <w:tc>
          <w:tcPr>
            <w:tcW w:w="420" w:type="dxa"/>
            <w:vAlign w:val="bottom"/>
            <w:gridSpan w:val="3"/>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19,150</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45,933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48,813</w:t>
            </w:r>
          </w:p>
        </w:tc>
        <w:tc>
          <w:tcPr>
            <w:tcW w:w="38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49,261</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41,776</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19,877</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16,046</w:t>
            </w:r>
          </w:p>
        </w:tc>
        <w:tc>
          <w:tcPr>
            <w:tcW w:w="42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61,965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2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238,189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SFR mortgage</w:t>
            </w: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48,821</w:t>
            </w:r>
          </w:p>
        </w:tc>
        <w:tc>
          <w:tcPr>
            <w:tcW w:w="38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49,261</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41,776</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19,877</w:t>
            </w:r>
          </w:p>
        </w:tc>
        <w:tc>
          <w:tcPr>
            <w:tcW w:w="3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16,046</w:t>
            </w:r>
          </w:p>
        </w:tc>
        <w:tc>
          <w:tcPr>
            <w:tcW w:w="420" w:type="dxa"/>
            <w:vAlign w:val="bottom"/>
            <w:gridSpan w:val="3"/>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64,017</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280" w:type="dxa"/>
            <w:vAlign w:val="bottom"/>
            <w:gridSpan w:val="3"/>
            <w:vMerge w:val="restart"/>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240,654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280" w:type="dxa"/>
            <w:vAlign w:val="bottom"/>
            <w:gridSpan w:val="3"/>
            <w:vMerge w:val="continue"/>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and other</w:t>
            </w: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5,145</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42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58,060</w:t>
            </w:r>
          </w:p>
        </w:tc>
        <w:tc>
          <w:tcPr>
            <w:tcW w:w="2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3,378</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Consumer and</w:t>
            </w:r>
          </w:p>
        </w:tc>
        <w:tc>
          <w:tcPr>
            <w:tcW w:w="2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5,984</w:t>
            </w:r>
          </w:p>
        </w:tc>
        <w:tc>
          <w:tcPr>
            <w:tcW w:w="38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38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38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420" w:type="dxa"/>
            <w:vAlign w:val="bottom"/>
            <w:gridSpan w:val="3"/>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58,656</w:t>
            </w:r>
          </w:p>
        </w:tc>
        <w:tc>
          <w:tcPr>
            <w:tcW w:w="2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74,665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1,613,286</w:t>
            </w:r>
          </w:p>
        </w:tc>
        <w:tc>
          <w:tcPr>
            <w:tcW w:w="38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1,160,790</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780,690</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646,886</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581,735</w:t>
            </w:r>
          </w:p>
        </w:tc>
        <w:tc>
          <w:tcPr>
            <w:tcW w:w="42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1,939,076</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872,585</w:t>
            </w:r>
          </w:p>
        </w:tc>
        <w:tc>
          <w:tcPr>
            <w:tcW w:w="2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44,388</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7,639,436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9,243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15,213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7,947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10,519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Loans:</w:t>
            </w:r>
          </w:p>
        </w:tc>
        <w:tc>
          <w:tcPr>
            <w:tcW w:w="2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1,620,118</w:t>
            </w:r>
          </w:p>
        </w:tc>
        <w:tc>
          <w:tcPr>
            <w:tcW w:w="200" w:type="dxa"/>
            <w:vAlign w:val="bottom"/>
            <w:tcBorders>
              <w:bottom w:val="single" w:sz="8" w:color="CFF0FC"/>
            </w:tcBorders>
            <w:gridSpan w:val="2"/>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1,183,367</w:t>
            </w:r>
          </w:p>
        </w:tc>
        <w:tc>
          <w:tcPr>
            <w:tcW w:w="220" w:type="dxa"/>
            <w:vAlign w:val="bottom"/>
            <w:tcBorders>
              <w:bottom w:val="single" w:sz="8" w:color="CFF0FC"/>
            </w:tcBorders>
            <w:gridSpan w:val="2"/>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798,755</w:t>
            </w:r>
          </w:p>
        </w:tc>
        <w:tc>
          <w:tcPr>
            <w:tcW w:w="220" w:type="dxa"/>
            <w:vAlign w:val="bottom"/>
            <w:tcBorders>
              <w:bottom w:val="single" w:sz="8" w:color="CFF0FC"/>
            </w:tcBorders>
            <w:gridSpan w:val="2"/>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677,205</w:t>
            </w:r>
          </w:p>
        </w:tc>
        <w:tc>
          <w:tcPr>
            <w:tcW w:w="220" w:type="dxa"/>
            <w:vAlign w:val="bottom"/>
            <w:tcBorders>
              <w:bottom w:val="single" w:sz="8" w:color="CFF0FC"/>
            </w:tcBorders>
            <w:gridSpan w:val="2"/>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638,690</w:t>
            </w:r>
          </w:p>
        </w:tc>
        <w:tc>
          <w:tcPr>
            <w:tcW w:w="200" w:type="dxa"/>
            <w:vAlign w:val="bottom"/>
            <w:tcBorders>
              <w:bottom w:val="single" w:sz="8" w:color="CFF0FC"/>
            </w:tcBorders>
            <w:gridSpan w:val="2"/>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2,001,549</w:t>
            </w:r>
          </w:p>
        </w:tc>
        <w:tc>
          <w:tcPr>
            <w:tcW w:w="200" w:type="dxa"/>
            <w:vAlign w:val="bottom"/>
            <w:tcBorders>
              <w:bottom w:val="single" w:sz="8" w:color="CFF0FC"/>
            </w:tcBorders>
            <w:gridSpan w:val="2"/>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904,441</w:t>
            </w:r>
          </w:p>
        </w:tc>
        <w:tc>
          <w:tcPr>
            <w:tcW w:w="200" w:type="dxa"/>
            <w:vAlign w:val="bottom"/>
            <w:tcBorders>
              <w:bottom w:val="single" w:sz="8" w:color="CFF0FC"/>
            </w:tcBorders>
            <w:gridSpan w:val="2"/>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63,588</w:t>
            </w:r>
          </w:p>
        </w:tc>
        <w:tc>
          <w:tcPr>
            <w:tcW w:w="180" w:type="dxa"/>
            <w:vAlign w:val="bottom"/>
            <w:tcBorders>
              <w:bottom w:val="single" w:sz="8" w:color="CFF0FC"/>
            </w:tcBorders>
            <w:gridSpan w:val="2"/>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7,887,713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-3869690</wp:posOffset>
            </wp:positionV>
            <wp:extent cx="76835" cy="2997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7">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-3869690</wp:posOffset>
            </wp:positionV>
            <wp:extent cx="76835" cy="2997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8">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-3869690</wp:posOffset>
            </wp:positionV>
            <wp:extent cx="76835" cy="2997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9">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-3869690</wp:posOffset>
            </wp:positionV>
            <wp:extent cx="76835" cy="2997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0">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-3869690</wp:posOffset>
            </wp:positionV>
            <wp:extent cx="68580" cy="2997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1">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-3869690</wp:posOffset>
            </wp:positionV>
            <wp:extent cx="68580" cy="2997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2">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-3869690</wp:posOffset>
            </wp:positionV>
            <wp:extent cx="68580" cy="2997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3">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-3869690</wp:posOffset>
            </wp:positionV>
            <wp:extent cx="68580" cy="2997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4">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2997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5">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-3056255</wp:posOffset>
            </wp:positionV>
            <wp:extent cx="76835" cy="3854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6">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-3056255</wp:posOffset>
            </wp:positionV>
            <wp:extent cx="76835" cy="3854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7">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-3056255</wp:posOffset>
            </wp:positionV>
            <wp:extent cx="76835" cy="3854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8">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-3056255</wp:posOffset>
            </wp:positionV>
            <wp:extent cx="76835" cy="3854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9">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-3056255</wp:posOffset>
            </wp:positionV>
            <wp:extent cx="68580" cy="3854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0">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-3056255</wp:posOffset>
            </wp:positionV>
            <wp:extent cx="68580" cy="3854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1">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-3056255</wp:posOffset>
            </wp:positionV>
            <wp:extent cx="68580" cy="3854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2">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-3056255</wp:posOffset>
            </wp:positionV>
            <wp:extent cx="68580" cy="3854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3">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-3056255</wp:posOffset>
            </wp:positionV>
            <wp:extent cx="68580" cy="3854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4">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-1866265</wp:posOffset>
            </wp:positionV>
            <wp:extent cx="76835" cy="2997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5">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-1866265</wp:posOffset>
            </wp:positionV>
            <wp:extent cx="76835" cy="2997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6">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-1866265</wp:posOffset>
            </wp:positionV>
            <wp:extent cx="76835" cy="2997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7">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-1866265</wp:posOffset>
            </wp:positionV>
            <wp:extent cx="76835" cy="2997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8">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-1866265</wp:posOffset>
            </wp:positionV>
            <wp:extent cx="68580" cy="2997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9">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-1866265</wp:posOffset>
            </wp:positionV>
            <wp:extent cx="68580" cy="2997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0">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-1866265</wp:posOffset>
            </wp:positionV>
            <wp:extent cx="68580" cy="2997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1">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-1866265</wp:posOffset>
            </wp:positionV>
            <wp:extent cx="68580" cy="2997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2">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-1866265</wp:posOffset>
            </wp:positionV>
            <wp:extent cx="68580" cy="2997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3">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-1052830</wp:posOffset>
            </wp:positionV>
            <wp:extent cx="76835" cy="2997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4">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-1052830</wp:posOffset>
            </wp:positionV>
            <wp:extent cx="76835" cy="2997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5">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-1052830</wp:posOffset>
            </wp:positionV>
            <wp:extent cx="76835" cy="2997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6">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-1052830</wp:posOffset>
            </wp:positionV>
            <wp:extent cx="76835" cy="2997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7">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-1052830</wp:posOffset>
            </wp:positionV>
            <wp:extent cx="68580" cy="2997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-1052830</wp:posOffset>
            </wp:positionV>
            <wp:extent cx="68580" cy="2997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9">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-1052830</wp:posOffset>
            </wp:positionV>
            <wp:extent cx="68580" cy="2997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0">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-1052830</wp:posOffset>
            </wp:positionV>
            <wp:extent cx="68580" cy="2997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1">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2997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2">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-24765</wp:posOffset>
            </wp:positionV>
            <wp:extent cx="7683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-7620</wp:posOffset>
            </wp:positionV>
            <wp:extent cx="7683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-24765</wp:posOffset>
            </wp:positionV>
            <wp:extent cx="7683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-7620</wp:posOffset>
            </wp:positionV>
            <wp:extent cx="7683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-24765</wp:posOffset>
            </wp:positionV>
            <wp:extent cx="7683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-7620</wp:posOffset>
            </wp:positionV>
            <wp:extent cx="7683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-24765</wp:posOffset>
            </wp:positionV>
            <wp:extent cx="7683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-7620</wp:posOffset>
            </wp:positionV>
            <wp:extent cx="7683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-24765</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685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685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-24765</wp:posOffset>
            </wp:positionV>
            <wp:extent cx="685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-7620</wp:posOffset>
            </wp:positionV>
            <wp:extent cx="685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88" w:lineRule="exact"/>
        <w:rPr>
          <w:sz w:val="20"/>
          <w:szCs w:val="20"/>
          <w:color w:val="auto"/>
        </w:rPr>
      </w:pPr>
    </w:p>
    <w:p>
      <w:pPr>
        <w:ind w:firstLine="637"/>
        <w:spacing w:after="0" w:line="252" w:lineRule="auto"/>
        <w:rPr>
          <w:sz w:val="20"/>
          <w:szCs w:val="20"/>
          <w:color w:val="auto"/>
        </w:rPr>
      </w:pPr>
      <w:r>
        <w:rPr>
          <w:rFonts w:ascii="Times New Roman" w:cs="Times New Roman" w:eastAsia="Times New Roman" w:hAnsi="Times New Roman"/>
          <w:sz w:val="18"/>
          <w:szCs w:val="18"/>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Paycheck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Our methodology for assessing the appropriateness of the allowance is reviewed on a regular basis and considers overall risks in the Bank’s loan portfolio. Refer</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 xml:space="preserve">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contained herein for a more detailed discussion concerning the allowance for credit losses.</w:t>
      </w:r>
    </w:p>
    <w:p>
      <w:pPr>
        <w:spacing w:after="0" w:line="200" w:lineRule="exact"/>
        <w:rPr>
          <w:sz w:val="20"/>
          <w:szCs w:val="20"/>
          <w:color w:val="auto"/>
        </w:rPr>
      </w:pPr>
    </w:p>
    <w:p>
      <w:pPr>
        <w:ind w:right="20" w:firstLine="637"/>
        <w:spacing w:after="0" w:line="253" w:lineRule="auto"/>
        <w:rPr>
          <w:sz w:val="20"/>
          <w:szCs w:val="20"/>
          <w:color w:val="auto"/>
        </w:rPr>
      </w:pPr>
      <w:r>
        <w:rPr>
          <w:rFonts w:ascii="Times New Roman" w:cs="Times New Roman" w:eastAsia="Times New Roman" w:hAnsi="Times New Roman"/>
          <w:sz w:val="18"/>
          <w:szCs w:val="18"/>
          <w:color w:val="auto"/>
        </w:rPr>
        <w:t>The ACL totaled $85.1 million as of December 31, 2022, compared to $65.0 million as of December 31, 2021. As a result of the acquisition of Suncrest, we recorded a provision for credit loss of $4.9 million on January 7, 2022 to establish the ACL for the acquired loans that were not considered PCD. The ACL at January 7, 2022, also included $8.6 million for the acquired Suncrest PCD loans. The 20.1 million increase in the ACL from December 31, 2021 to December 31, 2022 is comprised of approximately $893,000 in net recoveries, the $8.6 million for the Suncrest PCD loans and a $10.5 million provision for credit losses, including the $4.9 million provision recorded to establish the ACL for the non-PCD loans acquired from Suncrest. At December 31, 2022, the ACL as a percentage of total loans and leases, at amortized cost, was 0.94%. This compares to 0.82% as of December 31, 2021. Our economic forecast continues to be a blend of multiple forecasts produced by Moody’s. These U.S. economic forecasts include a baseline forecast, as well as downside forecasts. We continue to have the largest individual scenario weighting on the baseline forecast, with downside risks weighted among multiple forecasts. As of December 31, 2022, the resulting weighted forecast assumes GDP will increase by 0.3% in 2023, including a decline in GDP for the first half of 2023, followed by modest growth of 1.3% for 2024 and then grow by 2.8% in 2025. The unemployment rate is forecasted to be 4.8% in 2023, 5.1% in 2024 and then decline to 4.5% in 2025.</w:t>
      </w:r>
    </w:p>
    <w:p>
      <w:pPr>
        <w:spacing w:after="0" w:line="148" w:lineRule="exact"/>
        <w:rPr>
          <w:sz w:val="20"/>
          <w:szCs w:val="20"/>
          <w:color w:val="auto"/>
        </w:rPr>
      </w:pPr>
    </w:p>
    <w:p>
      <w:pPr>
        <w:ind w:right="200" w:firstLine="637"/>
        <w:spacing w:after="0" w:line="265" w:lineRule="auto"/>
        <w:rPr>
          <w:sz w:val="20"/>
          <w:szCs w:val="20"/>
          <w:color w:val="auto"/>
        </w:rPr>
      </w:pPr>
      <w:r>
        <w:rPr>
          <w:rFonts w:ascii="Times New Roman" w:cs="Times New Roman" w:eastAsia="Times New Roman" w:hAnsi="Times New Roman"/>
          <w:sz w:val="18"/>
          <w:szCs w:val="18"/>
          <w:color w:val="auto"/>
        </w:rPr>
        <w:t>Management believes that the ACL was appropriate at December 31, 2022 and 2021. Due to inflationary pressures, rising interest rates and geopolitical events, no assurance can be given that economic conditions that adversely affect the Company’s service areas or other circumstances will not be reflected in increased provisions for credit losses in the future.</w:t>
      </w:r>
    </w:p>
    <w:p>
      <w:pPr>
        <w:spacing w:after="0" w:line="110"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The following tables present the balance and activity related to the allowance for credit losses for held-for-investment loans by type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 ACL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40" w:type="dxa"/>
            <w:vAlign w:val="bottom"/>
          </w:tcPr>
          <w:p>
            <w:pPr>
              <w:spacing w:after="0"/>
              <w:rPr>
                <w:sz w:val="18"/>
                <w:szCs w:val="18"/>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 PCD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20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(Recapture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Loans at</w:t>
            </w:r>
          </w:p>
        </w:tc>
        <w:tc>
          <w:tcPr>
            <w:tcW w:w="20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Recorded at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of) Credit</w:t>
            </w:r>
          </w:p>
        </w:tc>
        <w:tc>
          <w:tcPr>
            <w:tcW w:w="14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220" w:type="dxa"/>
            <w:vAlign w:val="bottom"/>
          </w:tcPr>
          <w:p>
            <w:pPr>
              <w:spacing w:after="0"/>
              <w:rPr>
                <w:sz w:val="21"/>
                <w:szCs w:val="21"/>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00" w:type="dxa"/>
            <w:vAlign w:val="bottom"/>
          </w:tcPr>
          <w:p>
            <w:pPr>
              <w:spacing w:after="0"/>
              <w:rPr>
                <w:sz w:val="21"/>
                <w:szCs w:val="21"/>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00" w:type="dxa"/>
            <w:vAlign w:val="bottom"/>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60" w:type="dxa"/>
            <w:vAlign w:val="bottom"/>
            <w:gridSpan w:val="5"/>
          </w:tcPr>
          <w:p>
            <w:pPr>
              <w:jc w:val="center"/>
              <w:ind w:right="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50,950</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(127 )</w:t>
            </w:r>
          </w:p>
        </w:tc>
        <w:tc>
          <w:tcPr>
            <w:tcW w:w="18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PPP</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(66 )</w:t>
            </w:r>
          </w:p>
        </w:tc>
        <w:tc>
          <w:tcPr>
            <w:tcW w:w="18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(2,115 )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allowance for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65,019</w:t>
            </w:r>
          </w:p>
        </w:tc>
        <w:tc>
          <w:tcPr>
            <w:tcW w:w="240" w:type="dxa"/>
            <w:vAlign w:val="bottom"/>
            <w:vMerge w:val="restart"/>
          </w:tcPr>
          <w:p>
            <w:pPr>
              <w:spacing w:after="0"/>
              <w:rPr>
                <w:sz w:val="18"/>
                <w:szCs w:val="18"/>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(197 )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2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credit losses</w:t>
            </w: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-718820</wp:posOffset>
            </wp:positionV>
            <wp:extent cx="76835" cy="2997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2">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-718820</wp:posOffset>
            </wp:positionV>
            <wp:extent cx="76835" cy="2997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3">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-718820</wp:posOffset>
            </wp:positionV>
            <wp:extent cx="68580" cy="2997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4">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-718820</wp:posOffset>
            </wp:positionV>
            <wp:extent cx="68580" cy="2997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5">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-718820</wp:posOffset>
            </wp:positionV>
            <wp:extent cx="68580" cy="2997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6">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-718820</wp:posOffset>
            </wp:positionV>
            <wp:extent cx="68580" cy="2997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7">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2997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45"/>
        </w:trPr>
        <w:tc>
          <w:tcPr>
            <w:tcW w:w="3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Ending Balance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0" w:type="dxa"/>
            <w:vAlign w:val="bottom"/>
          </w:tcPr>
          <w:p>
            <w:pPr>
              <w:spacing w:after="0"/>
              <w:rPr>
                <w:sz w:val="17"/>
                <w:szCs w:val="17"/>
                <w:color w:val="auto"/>
              </w:rPr>
            </w:pPr>
          </w:p>
        </w:tc>
      </w:tr>
      <w:tr>
        <w:trPr>
          <w:trHeight w:val="216"/>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(Recapture of)</w:t>
            </w: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45"/>
        </w:trPr>
        <w:tc>
          <w:tcPr>
            <w:tcW w:w="3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33"/>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4"/>
          </w:tcPr>
          <w:p>
            <w:pPr>
              <w:jc w:val="right"/>
              <w:ind w:right="9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75,439</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(24,489 )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50,950</w:t>
            </w:r>
          </w:p>
        </w:tc>
        <w:tc>
          <w:tcPr>
            <w:tcW w:w="100" w:type="dxa"/>
            <w:vAlign w:val="bottom"/>
            <w:shd w:val="clear" w:color="auto" w:fill="CFF0FC"/>
          </w:tcPr>
          <w:p>
            <w:pPr>
              <w:spacing w:after="0"/>
              <w:rPr>
                <w:sz w:val="21"/>
                <w:szCs w:val="21"/>
                <w:color w:val="auto"/>
              </w:rPr>
            </w:pPr>
          </w:p>
        </w:tc>
      </w:tr>
      <w:tr>
        <w:trPr>
          <w:trHeight w:val="23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(1,227 )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(223 )</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shd w:val="clear" w:color="auto" w:fill="CFF0FC"/>
          </w:tcPr>
          <w:p>
            <w:pPr>
              <w:spacing w:after="0"/>
              <w:rPr>
                <w:sz w:val="21"/>
                <w:szCs w:val="21"/>
                <w:color w:val="auto"/>
              </w:rPr>
            </w:pPr>
          </w:p>
        </w:tc>
      </w:tr>
      <w:tr>
        <w:trPr>
          <w:trHeight w:val="23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PPP</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(3,019 )</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shd w:val="clear" w:color="auto" w:fill="CFF0FC"/>
          </w:tcPr>
          <w:p>
            <w:pPr>
              <w:spacing w:after="0"/>
              <w:rPr>
                <w:sz w:val="21"/>
                <w:szCs w:val="21"/>
                <w:color w:val="auto"/>
              </w:rPr>
            </w:pPr>
          </w:p>
        </w:tc>
      </w:tr>
      <w:tr>
        <w:trPr>
          <w:trHeight w:val="23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(118 )</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(765 )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20"/>
                <w:szCs w:val="20"/>
                <w:color w:val="auto"/>
              </w:rPr>
            </w:pPr>
          </w:p>
        </w:tc>
      </w:tr>
      <w:tr>
        <w:trPr>
          <w:trHeight w:val="21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1"/>
                <w:szCs w:val="21"/>
                <w:color w:val="auto"/>
              </w:rPr>
            </w:pPr>
          </w:p>
        </w:tc>
      </w:tr>
      <w:tr>
        <w:trPr>
          <w:trHeight w:val="23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r>
      <w:tr>
        <w:trPr>
          <w:trHeight w:val="243"/>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(1,197 )</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21"/>
                <w:szCs w:val="2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93,692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(25,500 )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65,019</w:t>
            </w:r>
          </w:p>
        </w:tc>
        <w:tc>
          <w:tcPr>
            <w:tcW w:w="100" w:type="dxa"/>
            <w:vAlign w:val="bottom"/>
          </w:tcPr>
          <w:p>
            <w:pPr>
              <w:spacing w:after="0"/>
              <w:rPr>
                <w:sz w:val="20"/>
                <w:szCs w:val="20"/>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-187960</wp:posOffset>
            </wp:positionV>
            <wp:extent cx="76835" cy="18859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-187960</wp:posOffset>
            </wp:positionV>
            <wp:extent cx="76835" cy="18859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-187960</wp:posOffset>
            </wp:positionV>
            <wp:extent cx="68580" cy="18859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-187960</wp:posOffset>
            </wp:positionV>
            <wp:extent cx="68580" cy="18859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2020</w:t>
            </w: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ASU 2016-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Ending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Impact of</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2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Adoption of</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(Recapture of)</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ASU 2016-13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24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4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(362 )</w:t>
            </w:r>
          </w:p>
        </w:tc>
        <w:tc>
          <w:tcPr>
            <w:tcW w:w="4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PPP</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(2,442 )</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(195 )</w:t>
            </w:r>
          </w:p>
        </w:tc>
        <w:tc>
          <w:tcPr>
            <w:tcW w:w="4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(186 )</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(1,120 )</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(416 )</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(133 )</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(2,043 )</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(135 )</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(109 )</w:t>
            </w:r>
          </w:p>
        </w:tc>
        <w:tc>
          <w:tcPr>
            <w:tcW w:w="4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allowance for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68,660</w:t>
            </w:r>
          </w:p>
        </w:tc>
        <w:tc>
          <w:tcPr>
            <w:tcW w:w="260" w:type="dxa"/>
            <w:vAlign w:val="bottom"/>
            <w:vMerge w:val="restart"/>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(666 )</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4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260" w:type="dxa"/>
            <w:vAlign w:val="bottom"/>
          </w:tcPr>
          <w:p>
            <w:pPr>
              <w:spacing w:after="0"/>
              <w:rPr>
                <w:sz w:val="18"/>
                <w:szCs w:val="18"/>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credit losses</w:t>
            </w: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-299085</wp:posOffset>
            </wp:positionV>
            <wp:extent cx="76835" cy="2997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6">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-299085</wp:posOffset>
            </wp:positionV>
            <wp:extent cx="76835" cy="2997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7">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-299085</wp:posOffset>
            </wp:positionV>
            <wp:extent cx="68580" cy="2997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-299085</wp:posOffset>
            </wp:positionV>
            <wp:extent cx="68580" cy="2997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9">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-299085</wp:posOffset>
            </wp:positionV>
            <wp:extent cx="68580" cy="2997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0">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2997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1">
                      <a:extLst>
                        <a:ext uri="{28A0092B-C50C-407E-A947-70E740481C1C}"/>
                      </a:extLst>
                    </a:blip>
                    <a:srcRect/>
                    <a:stretch>
                      <a:fillRect/>
                    </a:stretch>
                  </pic:blipFill>
                  <pic:spPr bwMode="auto">
                    <a:xfrm>
                      <a:off x="0" y="0"/>
                      <a:ext cx="68580" cy="29972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Due and Nonperforming Loans</w:t>
      </w:r>
    </w:p>
    <w:p>
      <w:pPr>
        <w:spacing w:after="0" w:line="188" w:lineRule="exact"/>
        <w:rPr>
          <w:sz w:val="20"/>
          <w:szCs w:val="20"/>
          <w:color w:val="auto"/>
        </w:rPr>
      </w:pPr>
    </w:p>
    <w:p>
      <w:pPr>
        <w:ind w:right="100" w:firstLine="637"/>
        <w:spacing w:after="0" w:line="255" w:lineRule="auto"/>
        <w:rPr>
          <w:sz w:val="20"/>
          <w:szCs w:val="20"/>
          <w:color w:val="auto"/>
        </w:rPr>
      </w:pPr>
      <w:r>
        <w:rPr>
          <w:rFonts w:ascii="Times New Roman" w:cs="Times New Roman" w:eastAsia="Times New Roman" w:hAnsi="Times New Roman"/>
          <w:sz w:val="18"/>
          <w:szCs w:val="18"/>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in charge of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included herein, for additional discussion concerning the Bank’s policy for past due and nonperforming loans.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8" w:name="page109"/>
    <w:bookmarkEnd w:id="108"/>
    <w:p>
      <w:pPr>
        <w:ind w:right="220" w:firstLine="637"/>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(including nonaccrual loans), by type of loans as of the date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Greater than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0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30-59 Days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60-89 Days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89 Days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Total Past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Loans Not</w:t>
            </w:r>
          </w:p>
        </w:tc>
        <w:tc>
          <w:tcPr>
            <w:tcW w:w="2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and Financing</w:t>
            </w:r>
          </w:p>
        </w:tc>
        <w:tc>
          <w:tcPr>
            <w:tcW w:w="100" w:type="dxa"/>
            <w:vAlign w:val="bottom"/>
          </w:tcPr>
          <w:p>
            <w:pPr>
              <w:spacing w:after="0"/>
              <w:rPr>
                <w:sz w:val="18"/>
                <w:szCs w:val="18"/>
                <w:color w:val="auto"/>
              </w:rPr>
            </w:pPr>
          </w:p>
        </w:tc>
      </w:tr>
      <w:tr>
        <w:trPr>
          <w:trHeight w:val="245"/>
        </w:trPr>
        <w:tc>
          <w:tcPr>
            <w:tcW w:w="3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Due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00" w:type="dxa"/>
            <w:vAlign w:val="bottom"/>
          </w:tcPr>
          <w:p>
            <w:pPr>
              <w:spacing w:after="0"/>
              <w:rPr>
                <w:sz w:val="21"/>
                <w:szCs w:val="21"/>
                <w:color w:val="auto"/>
              </w:rPr>
            </w:pPr>
          </w:p>
        </w:tc>
      </w:tr>
      <w:tr>
        <w:trPr>
          <w:trHeight w:val="233"/>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2,482,471</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2,485,110</w:t>
            </w:r>
          </w:p>
        </w:tc>
        <w:tc>
          <w:tcPr>
            <w:tcW w:w="100" w:type="dxa"/>
            <w:vAlign w:val="bottom"/>
          </w:tcPr>
          <w:p>
            <w:pPr>
              <w:spacing w:after="0"/>
              <w:rPr>
                <w:sz w:val="20"/>
                <w:szCs w:val="20"/>
                <w:color w:val="auto"/>
              </w:rPr>
            </w:pPr>
          </w:p>
        </w:tc>
      </w:tr>
      <w:tr>
        <w:trPr>
          <w:trHeight w:val="247"/>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4,399,838</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4,399,838</w:t>
            </w:r>
          </w:p>
        </w:tc>
        <w:tc>
          <w:tcPr>
            <w:tcW w:w="100" w:type="dxa"/>
            <w:vAlign w:val="bottom"/>
            <w:shd w:val="clear" w:color="auto" w:fill="CFF0FC"/>
          </w:tcPr>
          <w:p>
            <w:pPr>
              <w:spacing w:after="0"/>
              <w:rPr>
                <w:sz w:val="21"/>
                <w:szCs w:val="21"/>
                <w:color w:val="auto"/>
              </w:rPr>
            </w:pPr>
          </w:p>
        </w:tc>
      </w:tr>
      <w:tr>
        <w:trPr>
          <w:trHeight w:val="23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(1)</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67,436</w:t>
            </w:r>
          </w:p>
        </w:tc>
        <w:tc>
          <w:tcPr>
            <w:tcW w:w="100" w:type="dxa"/>
            <w:vAlign w:val="bottom"/>
            <w:shd w:val="clear" w:color="auto" w:fill="CFF0FC"/>
          </w:tcPr>
          <w:p>
            <w:pPr>
              <w:spacing w:after="0"/>
              <w:rPr>
                <w:sz w:val="21"/>
                <w:szCs w:val="21"/>
                <w:color w:val="auto"/>
              </w:rPr>
            </w:pPr>
          </w:p>
        </w:tc>
      </w:tr>
      <w:tr>
        <w:trPr>
          <w:trHeight w:val="238"/>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100" w:type="dxa"/>
            <w:vAlign w:val="bottom"/>
          </w:tcPr>
          <w:p>
            <w:pPr>
              <w:spacing w:after="0"/>
              <w:rPr>
                <w:sz w:val="20"/>
                <w:szCs w:val="20"/>
                <w:color w:val="auto"/>
              </w:rPr>
            </w:pPr>
          </w:p>
        </w:tc>
      </w:tr>
      <w:tr>
        <w:trPr>
          <w:trHeight w:val="247"/>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289,909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290,908</w:t>
            </w:r>
          </w:p>
        </w:tc>
        <w:tc>
          <w:tcPr>
            <w:tcW w:w="100" w:type="dxa"/>
            <w:vAlign w:val="bottom"/>
            <w:shd w:val="clear" w:color="auto" w:fill="CFF0FC"/>
          </w:tcPr>
          <w:p>
            <w:pPr>
              <w:spacing w:after="0"/>
              <w:rPr>
                <w:sz w:val="21"/>
                <w:szCs w:val="21"/>
                <w:color w:val="auto"/>
              </w:rPr>
            </w:pPr>
          </w:p>
        </w:tc>
      </w:tr>
      <w:tr>
        <w:trPr>
          <w:trHeight w:val="238"/>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Pr>
          <w:p>
            <w:pPr>
              <w:spacing w:after="0"/>
              <w:rPr>
                <w:sz w:val="20"/>
                <w:szCs w:val="20"/>
                <w:color w:val="auto"/>
              </w:rPr>
            </w:pPr>
          </w:p>
        </w:tc>
      </w:tr>
      <w:tr>
        <w:trPr>
          <w:trHeight w:val="247"/>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947,365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948,683</w:t>
            </w:r>
          </w:p>
        </w:tc>
        <w:tc>
          <w:tcPr>
            <w:tcW w:w="100" w:type="dxa"/>
            <w:vAlign w:val="bottom"/>
            <w:shd w:val="clear" w:color="auto" w:fill="CFF0FC"/>
          </w:tcPr>
          <w:p>
            <w:pPr>
              <w:spacing w:after="0"/>
              <w:rPr>
                <w:sz w:val="21"/>
                <w:szCs w:val="21"/>
                <w:color w:val="auto"/>
              </w:rPr>
            </w:pPr>
          </w:p>
        </w:tc>
      </w:tr>
      <w:tr>
        <w:trPr>
          <w:trHeight w:val="238"/>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433,295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433,564</w:t>
            </w:r>
          </w:p>
        </w:tc>
        <w:tc>
          <w:tcPr>
            <w:tcW w:w="100" w:type="dxa"/>
            <w:vAlign w:val="bottom"/>
          </w:tcPr>
          <w:p>
            <w:pPr>
              <w:spacing w:after="0"/>
              <w:rPr>
                <w:sz w:val="20"/>
                <w:szCs w:val="20"/>
                <w:color w:val="auto"/>
              </w:rPr>
            </w:pPr>
          </w:p>
        </w:tc>
      </w:tr>
      <w:tr>
        <w:trPr>
          <w:trHeight w:val="247"/>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81,126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81,126</w:t>
            </w:r>
          </w:p>
        </w:tc>
        <w:tc>
          <w:tcPr>
            <w:tcW w:w="100" w:type="dxa"/>
            <w:vAlign w:val="bottom"/>
            <w:shd w:val="clear" w:color="auto" w:fill="CFF0FC"/>
          </w:tcPr>
          <w:p>
            <w:pPr>
              <w:spacing w:after="0"/>
              <w:rPr>
                <w:sz w:val="21"/>
                <w:szCs w:val="21"/>
                <w:color w:val="auto"/>
              </w:rPr>
            </w:pPr>
          </w:p>
        </w:tc>
      </w:tr>
      <w:tr>
        <w:trPr>
          <w:trHeight w:val="238"/>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265,636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266,024</w:t>
            </w:r>
          </w:p>
        </w:tc>
        <w:tc>
          <w:tcPr>
            <w:tcW w:w="100" w:type="dxa"/>
            <w:vAlign w:val="bottom"/>
          </w:tcPr>
          <w:p>
            <w:pPr>
              <w:spacing w:after="0"/>
              <w:rPr>
                <w:sz w:val="20"/>
                <w:szCs w:val="20"/>
                <w:color w:val="auto"/>
              </w:rPr>
            </w:pPr>
          </w:p>
        </w:tc>
      </w:tr>
      <w:tr>
        <w:trPr>
          <w:trHeight w:val="247"/>
        </w:trPr>
        <w:tc>
          <w:tcPr>
            <w:tcW w:w="31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76,573</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9,073,571</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9,079,392</w:t>
            </w:r>
          </w:p>
        </w:tc>
        <w:tc>
          <w:tcPr>
            <w:tcW w:w="100" w:type="dxa"/>
            <w:vAlign w:val="bottom"/>
          </w:tcPr>
          <w:p>
            <w:pPr>
              <w:spacing w:after="0"/>
              <w:rPr>
                <w:sz w:val="20"/>
                <w:szCs w:val="20"/>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-187960</wp:posOffset>
            </wp:positionV>
            <wp:extent cx="76835" cy="18859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-187960</wp:posOffset>
            </wp:positionV>
            <wp:extent cx="76835" cy="18859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-187960</wp:posOffset>
            </wp:positionV>
            <wp:extent cx="68580" cy="18859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-187960</wp:posOffset>
            </wp:positionV>
            <wp:extent cx="68580" cy="18859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68580" cy="18859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1520" w:hanging="374"/>
        <w:spacing w:after="0"/>
        <w:tabs>
          <w:tab w:leader="none" w:pos="15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Greater than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00" w:type="dxa"/>
            <w:vAlign w:val="bottom"/>
          </w:tcPr>
          <w:p>
            <w:pPr>
              <w:spacing w:after="0"/>
              <w:rPr>
                <w:sz w:val="17"/>
                <w:szCs w:val="17"/>
                <w:color w:val="auto"/>
              </w:rPr>
            </w:pPr>
          </w:p>
        </w:tc>
      </w:tr>
      <w:tr>
        <w:trPr>
          <w:trHeight w:val="216"/>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30-59 Days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60-89 Days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89 Days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Total Past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Loans Not</w:t>
            </w:r>
          </w:p>
        </w:tc>
        <w:tc>
          <w:tcPr>
            <w:tcW w:w="2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and Financing</w:t>
            </w:r>
          </w:p>
        </w:tc>
        <w:tc>
          <w:tcPr>
            <w:tcW w:w="100" w:type="dxa"/>
            <w:vAlign w:val="bottom"/>
          </w:tcPr>
          <w:p>
            <w:pPr>
              <w:spacing w:after="0"/>
              <w:rPr>
                <w:sz w:val="18"/>
                <w:szCs w:val="18"/>
                <w:color w:val="auto"/>
              </w:rPr>
            </w:pPr>
          </w:p>
        </w:tc>
      </w:tr>
      <w:tr>
        <w:trPr>
          <w:trHeight w:val="245"/>
        </w:trPr>
        <w:tc>
          <w:tcPr>
            <w:tcW w:w="3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Due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00" w:type="dxa"/>
            <w:vAlign w:val="bottom"/>
          </w:tcPr>
          <w:p>
            <w:pPr>
              <w:spacing w:after="0"/>
              <w:rPr>
                <w:sz w:val="21"/>
                <w:szCs w:val="21"/>
                <w:color w:val="auto"/>
              </w:rPr>
            </w:pPr>
          </w:p>
        </w:tc>
      </w:tr>
      <w:tr>
        <w:trPr>
          <w:trHeight w:val="233"/>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right"/>
              <w:ind w:right="5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2,127,979</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2,131,800</w:t>
            </w:r>
          </w:p>
        </w:tc>
        <w:tc>
          <w:tcPr>
            <w:tcW w:w="100" w:type="dxa"/>
            <w:vAlign w:val="bottom"/>
          </w:tcPr>
          <w:p>
            <w:pPr>
              <w:spacing w:after="0"/>
              <w:rPr>
                <w:sz w:val="20"/>
                <w:szCs w:val="20"/>
                <w:color w:val="auto"/>
              </w:rPr>
            </w:pPr>
          </w:p>
        </w:tc>
      </w:tr>
      <w:tr>
        <w:trPr>
          <w:trHeight w:val="247"/>
        </w:trPr>
        <w:tc>
          <w:tcPr>
            <w:tcW w:w="3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3,657,930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3,657,930</w:t>
            </w:r>
          </w:p>
        </w:tc>
        <w:tc>
          <w:tcPr>
            <w:tcW w:w="100" w:type="dxa"/>
            <w:vAlign w:val="bottom"/>
            <w:shd w:val="clear" w:color="auto" w:fill="CFF0FC"/>
          </w:tcPr>
          <w:p>
            <w:pPr>
              <w:spacing w:after="0"/>
              <w:rPr>
                <w:sz w:val="21"/>
                <w:szCs w:val="21"/>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(1)</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44,859</w:t>
            </w:r>
          </w:p>
        </w:tc>
        <w:tc>
          <w:tcPr>
            <w:tcW w:w="100" w:type="dxa"/>
            <w:vAlign w:val="bottom"/>
            <w:shd w:val="clear" w:color="auto" w:fill="CFF0FC"/>
          </w:tcPr>
          <w:p>
            <w:pPr>
              <w:spacing w:after="0"/>
              <w:rPr>
                <w:sz w:val="21"/>
                <w:szCs w:val="21"/>
                <w:color w:val="auto"/>
              </w:rPr>
            </w:pPr>
          </w:p>
        </w:tc>
      </w:tr>
      <w:tr>
        <w:trPr>
          <w:trHeight w:val="238"/>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tcPr>
          <w:p>
            <w:pPr>
              <w:spacing w:after="0"/>
              <w:rPr>
                <w:sz w:val="20"/>
                <w:szCs w:val="20"/>
                <w:color w:val="auto"/>
              </w:rPr>
            </w:pPr>
          </w:p>
        </w:tc>
      </w:tr>
      <w:tr>
        <w:trPr>
          <w:trHeight w:val="247"/>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286,699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288,600</w:t>
            </w:r>
          </w:p>
        </w:tc>
        <w:tc>
          <w:tcPr>
            <w:tcW w:w="100" w:type="dxa"/>
            <w:vAlign w:val="bottom"/>
            <w:shd w:val="clear" w:color="auto" w:fill="CFF0FC"/>
          </w:tcPr>
          <w:p>
            <w:pPr>
              <w:spacing w:after="0"/>
              <w:rPr>
                <w:sz w:val="21"/>
                <w:szCs w:val="21"/>
                <w:color w:val="auto"/>
              </w:rPr>
            </w:pPr>
          </w:p>
        </w:tc>
      </w:tr>
      <w:tr>
        <w:trPr>
          <w:trHeight w:val="238"/>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186,585</w:t>
            </w:r>
          </w:p>
        </w:tc>
        <w:tc>
          <w:tcPr>
            <w:tcW w:w="100" w:type="dxa"/>
            <w:vAlign w:val="bottom"/>
          </w:tcPr>
          <w:p>
            <w:pPr>
              <w:spacing w:after="0"/>
              <w:rPr>
                <w:sz w:val="20"/>
                <w:szCs w:val="20"/>
                <w:color w:val="auto"/>
              </w:rPr>
            </w:pPr>
          </w:p>
        </w:tc>
      </w:tr>
      <w:tr>
        <w:trPr>
          <w:trHeight w:val="247"/>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811,691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813,063</w:t>
            </w:r>
          </w:p>
        </w:tc>
        <w:tc>
          <w:tcPr>
            <w:tcW w:w="100" w:type="dxa"/>
            <w:vAlign w:val="bottom"/>
            <w:shd w:val="clear" w:color="auto" w:fill="CFF0FC"/>
          </w:tcPr>
          <w:p>
            <w:pPr>
              <w:spacing w:after="0"/>
              <w:rPr>
                <w:sz w:val="21"/>
                <w:szCs w:val="21"/>
                <w:color w:val="auto"/>
              </w:rPr>
            </w:pPr>
          </w:p>
        </w:tc>
      </w:tr>
      <w:tr>
        <w:trPr>
          <w:trHeight w:val="238"/>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386,219</w:t>
            </w:r>
          </w:p>
        </w:tc>
        <w:tc>
          <w:tcPr>
            <w:tcW w:w="100" w:type="dxa"/>
            <w:vAlign w:val="bottom"/>
          </w:tcPr>
          <w:p>
            <w:pPr>
              <w:spacing w:after="0"/>
              <w:rPr>
                <w:sz w:val="20"/>
                <w:szCs w:val="20"/>
                <w:color w:val="auto"/>
              </w:rPr>
            </w:pPr>
          </w:p>
        </w:tc>
      </w:tr>
      <w:tr>
        <w:trPr>
          <w:trHeight w:val="247"/>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00" w:type="dxa"/>
            <w:vAlign w:val="bottom"/>
            <w:shd w:val="clear" w:color="auto" w:fill="CFF0FC"/>
          </w:tcPr>
          <w:p>
            <w:pPr>
              <w:spacing w:after="0"/>
              <w:rPr>
                <w:sz w:val="21"/>
                <w:szCs w:val="21"/>
                <w:color w:val="auto"/>
              </w:rPr>
            </w:pPr>
          </w:p>
        </w:tc>
      </w:tr>
      <w:tr>
        <w:trPr>
          <w:trHeight w:val="238"/>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240,654</w:t>
            </w:r>
          </w:p>
        </w:tc>
        <w:tc>
          <w:tcPr>
            <w:tcW w:w="100" w:type="dxa"/>
            <w:vAlign w:val="bottom"/>
          </w:tcPr>
          <w:p>
            <w:pPr>
              <w:spacing w:after="0"/>
              <w:rPr>
                <w:sz w:val="20"/>
                <w:szCs w:val="20"/>
                <w:color w:val="auto"/>
              </w:rPr>
            </w:pPr>
          </w:p>
        </w:tc>
      </w:tr>
      <w:tr>
        <w:trPr>
          <w:trHeight w:val="247"/>
        </w:trPr>
        <w:tc>
          <w:tcPr>
            <w:tcW w:w="3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74,623</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7,879,537</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7,887,713</w:t>
            </w:r>
          </w:p>
        </w:tc>
        <w:tc>
          <w:tcPr>
            <w:tcW w:w="100" w:type="dxa"/>
            <w:vAlign w:val="bottom"/>
          </w:tcPr>
          <w:p>
            <w:pPr>
              <w:spacing w:after="0"/>
              <w:rPr>
                <w:sz w:val="20"/>
                <w:szCs w:val="20"/>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-187960</wp:posOffset>
            </wp:positionV>
            <wp:extent cx="76835" cy="18859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-187960</wp:posOffset>
            </wp:positionV>
            <wp:extent cx="76835" cy="18859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-187960</wp:posOffset>
            </wp:positionV>
            <wp:extent cx="76835" cy="18859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-187960</wp:posOffset>
            </wp:positionV>
            <wp:extent cx="68580" cy="18859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68580" cy="18859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1520" w:hanging="374"/>
        <w:spacing w:after="0"/>
        <w:tabs>
          <w:tab w:leader="none" w:pos="15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00" w:lineRule="exact"/>
        <w:rPr>
          <w:rFonts w:ascii="Times New Roman" w:cs="Times New Roman" w:eastAsia="Times New Roman" w:hAnsi="Times New Roman"/>
          <w:sz w:val="16"/>
          <w:szCs w:val="16"/>
          <w:color w:val="auto"/>
        </w:rPr>
      </w:pPr>
    </w:p>
    <w:p>
      <w:pPr>
        <w:spacing w:after="0" w:line="326" w:lineRule="exact"/>
        <w:rPr>
          <w:rFonts w:ascii="Times New Roman" w:cs="Times New Roman" w:eastAsia="Times New Roman" w:hAnsi="Times New Roman"/>
          <w:sz w:val="16"/>
          <w:szCs w:val="16"/>
          <w:color w:val="auto"/>
        </w:rPr>
      </w:pPr>
    </w:p>
    <w:p>
      <w:pPr>
        <w:ind w:left="5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5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Loans Past Due</w:t>
            </w:r>
          </w:p>
        </w:tc>
        <w:tc>
          <w:tcPr>
            <w:tcW w:w="100" w:type="dxa"/>
            <w:vAlign w:val="bottom"/>
          </w:tcPr>
          <w:p>
            <w:pPr>
              <w:spacing w:after="0"/>
              <w:rPr>
                <w:sz w:val="17"/>
                <w:szCs w:val="17"/>
                <w:color w:val="auto"/>
              </w:rPr>
            </w:pPr>
          </w:p>
        </w:tc>
      </w:tr>
      <w:tr>
        <w:trPr>
          <w:trHeight w:val="216"/>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Total Nonaccrual</w:t>
            </w:r>
          </w:p>
        </w:tc>
        <w:tc>
          <w:tcPr>
            <w:tcW w:w="2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Over 89 Days Still</w:t>
            </w:r>
          </w:p>
        </w:tc>
        <w:tc>
          <w:tcPr>
            <w:tcW w:w="100" w:type="dxa"/>
            <w:vAlign w:val="bottom"/>
          </w:tcPr>
          <w:p>
            <w:pPr>
              <w:spacing w:after="0"/>
              <w:rPr>
                <w:sz w:val="18"/>
                <w:szCs w:val="18"/>
                <w:color w:val="auto"/>
              </w:rPr>
            </w:pPr>
          </w:p>
        </w:tc>
      </w:tr>
      <w:tr>
        <w:trPr>
          <w:trHeight w:val="245"/>
        </w:trPr>
        <w:tc>
          <w:tcPr>
            <w:tcW w:w="5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 (3)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Accruing</w:t>
            </w:r>
          </w:p>
        </w:tc>
        <w:tc>
          <w:tcPr>
            <w:tcW w:w="100" w:type="dxa"/>
            <w:vAlign w:val="bottom"/>
          </w:tcPr>
          <w:p>
            <w:pPr>
              <w:spacing w:after="0"/>
              <w:rPr>
                <w:sz w:val="21"/>
                <w:szCs w:val="21"/>
                <w:color w:val="auto"/>
              </w:rPr>
            </w:pPr>
          </w:p>
        </w:tc>
      </w:tr>
      <w:tr>
        <w:trPr>
          <w:trHeight w:val="233"/>
        </w:trPr>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40" w:type="dxa"/>
            <w:vAlign w:val="bottom"/>
            <w:gridSpan w:val="3"/>
          </w:tcPr>
          <w:p>
            <w:pPr>
              <w:jc w:val="right"/>
              <w:ind w:right="27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5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6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-187960</wp:posOffset>
            </wp:positionV>
            <wp:extent cx="76835" cy="18859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-187960</wp:posOffset>
            </wp:positionV>
            <wp:extent cx="68580" cy="18859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8" w:lineRule="exact"/>
        <w:rPr>
          <w:sz w:val="20"/>
          <w:szCs w:val="20"/>
          <w:color w:val="auto"/>
        </w:rPr>
      </w:pPr>
    </w:p>
    <w:p>
      <w:pPr>
        <w:ind w:left="1520" w:hanging="374"/>
        <w:spacing w:after="0"/>
        <w:tabs>
          <w:tab w:leader="none" w:pos="15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$228,000 of nonaccruing loans were current and $4.7 million were 90+ days past due.</w:t>
      </w:r>
    </w:p>
    <w:p>
      <w:pPr>
        <w:spacing w:after="0" w:line="26" w:lineRule="exact"/>
        <w:rPr>
          <w:rFonts w:ascii="Times New Roman" w:cs="Times New Roman" w:eastAsia="Times New Roman" w:hAnsi="Times New Roman"/>
          <w:sz w:val="16"/>
          <w:szCs w:val="16"/>
          <w:color w:val="auto"/>
        </w:rPr>
      </w:pPr>
    </w:p>
    <w:p>
      <w:pPr>
        <w:ind w:left="1520" w:hanging="374"/>
        <w:spacing w:after="0"/>
        <w:tabs>
          <w:tab w:leader="none" w:pos="15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18" w:lineRule="exact"/>
        <w:rPr>
          <w:rFonts w:ascii="Times New Roman" w:cs="Times New Roman" w:eastAsia="Times New Roman" w:hAnsi="Times New Roman"/>
          <w:sz w:val="16"/>
          <w:szCs w:val="16"/>
          <w:color w:val="auto"/>
        </w:rPr>
      </w:pPr>
    </w:p>
    <w:p>
      <w:pPr>
        <w:ind w:left="1520" w:hanging="374"/>
        <w:spacing w:after="0"/>
        <w:tabs>
          <w:tab w:leader="none" w:pos="15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$221,000 of guaranteed portion of nonaccrual SBA loans that are in process of collection.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5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Loans Past Due</w:t>
            </w:r>
          </w:p>
        </w:tc>
        <w:tc>
          <w:tcPr>
            <w:tcW w:w="100" w:type="dxa"/>
            <w:vAlign w:val="bottom"/>
          </w:tcPr>
          <w:p>
            <w:pPr>
              <w:spacing w:after="0"/>
              <w:rPr>
                <w:sz w:val="17"/>
                <w:szCs w:val="17"/>
                <w:color w:val="auto"/>
              </w:rPr>
            </w:pPr>
          </w:p>
        </w:tc>
      </w:tr>
      <w:tr>
        <w:trPr>
          <w:trHeight w:val="216"/>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Total Nonaccrual</w:t>
            </w:r>
          </w:p>
        </w:tc>
        <w:tc>
          <w:tcPr>
            <w:tcW w:w="2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Over 89 Days Still</w:t>
            </w:r>
          </w:p>
        </w:tc>
        <w:tc>
          <w:tcPr>
            <w:tcW w:w="100" w:type="dxa"/>
            <w:vAlign w:val="bottom"/>
          </w:tcPr>
          <w:p>
            <w:pPr>
              <w:spacing w:after="0"/>
              <w:rPr>
                <w:sz w:val="18"/>
                <w:szCs w:val="18"/>
                <w:color w:val="auto"/>
              </w:rPr>
            </w:pPr>
          </w:p>
        </w:tc>
      </w:tr>
      <w:tr>
        <w:trPr>
          <w:trHeight w:val="245"/>
        </w:trPr>
        <w:tc>
          <w:tcPr>
            <w:tcW w:w="5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Accruing</w:t>
            </w:r>
          </w:p>
        </w:tc>
        <w:tc>
          <w:tcPr>
            <w:tcW w:w="100" w:type="dxa"/>
            <w:vAlign w:val="bottom"/>
          </w:tcPr>
          <w:p>
            <w:pPr>
              <w:spacing w:after="0"/>
              <w:rPr>
                <w:sz w:val="21"/>
                <w:szCs w:val="21"/>
                <w:color w:val="auto"/>
              </w:rPr>
            </w:pPr>
          </w:p>
        </w:tc>
      </w:tr>
      <w:tr>
        <w:trPr>
          <w:trHeight w:val="233"/>
        </w:trPr>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40" w:type="dxa"/>
            <w:vAlign w:val="bottom"/>
            <w:gridSpan w:val="3"/>
          </w:tcPr>
          <w:p>
            <w:pPr>
              <w:jc w:val="right"/>
              <w:ind w:right="27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5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6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-187960</wp:posOffset>
            </wp:positionV>
            <wp:extent cx="76835" cy="18859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-187960</wp:posOffset>
            </wp:positionV>
            <wp:extent cx="68580" cy="18859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1520" w:right="140" w:hanging="374"/>
        <w:spacing w:after="0" w:line="268" w:lineRule="auto"/>
        <w:tabs>
          <w:tab w:leader="none" w:pos="1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$1.2 million of nonaccruing loans were current, $332,000 were 30-59 days past due, $267,000 were 60-89 days past due, and $5.1 million were 90+ days past due.</w:t>
      </w:r>
    </w:p>
    <w:p>
      <w:pPr>
        <w:spacing w:after="0" w:line="1" w:lineRule="exact"/>
        <w:rPr>
          <w:rFonts w:ascii="Times New Roman" w:cs="Times New Roman" w:eastAsia="Times New Roman" w:hAnsi="Times New Roman"/>
          <w:sz w:val="16"/>
          <w:szCs w:val="16"/>
          <w:color w:val="auto"/>
        </w:rPr>
      </w:pPr>
    </w:p>
    <w:p>
      <w:pPr>
        <w:ind w:left="1520" w:hanging="374"/>
        <w:spacing w:after="0"/>
        <w:tabs>
          <w:tab w:leader="none" w:pos="1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Dependent Loans</w:t>
      </w:r>
    </w:p>
    <w:p>
      <w:pPr>
        <w:spacing w:after="0" w:line="94" w:lineRule="exact"/>
        <w:rPr>
          <w:sz w:val="20"/>
          <w:szCs w:val="20"/>
          <w:color w:val="auto"/>
        </w:rPr>
      </w:pPr>
    </w:p>
    <w:p>
      <w:pPr>
        <w:ind w:right="240" w:firstLine="644"/>
        <w:spacing w:after="0" w:line="265" w:lineRule="auto"/>
        <w:rPr>
          <w:sz w:val="20"/>
          <w:szCs w:val="20"/>
          <w:color w:val="auto"/>
        </w:rPr>
      </w:pPr>
      <w:r>
        <w:rPr>
          <w:rFonts w:ascii="Times New Roman" w:cs="Times New Roman" w:eastAsia="Times New Roman" w:hAnsi="Times New Roman"/>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Loans</w:t>
            </w:r>
          </w:p>
        </w:tc>
        <w:tc>
          <w:tcPr>
            <w:tcW w:w="100" w:type="dxa"/>
            <w:vAlign w:val="bottom"/>
          </w:tcPr>
          <w:p>
            <w:pPr>
              <w:spacing w:after="0"/>
              <w:rPr>
                <w:sz w:val="21"/>
                <w:szCs w:val="21"/>
                <w:color w:val="auto"/>
              </w:rPr>
            </w:pPr>
          </w:p>
        </w:tc>
      </w:tr>
      <w:tr>
        <w:trPr>
          <w:trHeight w:val="200"/>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Dependent on</w:t>
            </w:r>
          </w:p>
        </w:tc>
        <w:tc>
          <w:tcPr>
            <w:tcW w:w="100" w:type="dxa"/>
            <w:vAlign w:val="bottom"/>
          </w:tcPr>
          <w:p>
            <w:pPr>
              <w:spacing w:after="0"/>
              <w:rPr>
                <w:sz w:val="17"/>
                <w:szCs w:val="17"/>
                <w:color w:val="auto"/>
              </w:rPr>
            </w:pPr>
          </w:p>
        </w:tc>
      </w:tr>
      <w:tr>
        <w:trPr>
          <w:trHeight w:val="245"/>
        </w:trPr>
        <w:tc>
          <w:tcPr>
            <w:tcW w:w="4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Business Assets</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00" w:type="dxa"/>
            <w:vAlign w:val="bottom"/>
          </w:tcPr>
          <w:p>
            <w:pPr>
              <w:spacing w:after="0"/>
              <w:rPr>
                <w:sz w:val="21"/>
                <w:szCs w:val="21"/>
                <w:color w:val="auto"/>
              </w:rPr>
            </w:pPr>
          </w:p>
        </w:tc>
      </w:tr>
      <w:tr>
        <w:trPr>
          <w:trHeight w:val="233"/>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4"/>
          </w:tcPr>
          <w:p>
            <w:pPr>
              <w:jc w:val="right"/>
              <w:ind w:right="79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4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PPP</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collateral-dependent loans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-187960</wp:posOffset>
            </wp:positionV>
            <wp:extent cx="76835" cy="18859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-187960</wp:posOffset>
            </wp:positionV>
            <wp:extent cx="68580" cy="18859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Loans</w:t>
            </w:r>
          </w:p>
        </w:tc>
        <w:tc>
          <w:tcPr>
            <w:tcW w:w="100" w:type="dxa"/>
            <w:vAlign w:val="bottom"/>
          </w:tcPr>
          <w:p>
            <w:pPr>
              <w:spacing w:after="0"/>
              <w:rPr>
                <w:sz w:val="21"/>
                <w:szCs w:val="21"/>
                <w:color w:val="auto"/>
              </w:rPr>
            </w:pPr>
          </w:p>
        </w:tc>
      </w:tr>
      <w:tr>
        <w:trPr>
          <w:trHeight w:val="200"/>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Dependent on</w:t>
            </w:r>
          </w:p>
        </w:tc>
        <w:tc>
          <w:tcPr>
            <w:tcW w:w="100" w:type="dxa"/>
            <w:vAlign w:val="bottom"/>
          </w:tcPr>
          <w:p>
            <w:pPr>
              <w:spacing w:after="0"/>
              <w:rPr>
                <w:sz w:val="17"/>
                <w:szCs w:val="17"/>
                <w:color w:val="auto"/>
              </w:rPr>
            </w:pPr>
          </w:p>
        </w:tc>
      </w:tr>
      <w:tr>
        <w:trPr>
          <w:trHeight w:val="245"/>
        </w:trPr>
        <w:tc>
          <w:tcPr>
            <w:tcW w:w="4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Business Assets</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00" w:type="dxa"/>
            <w:vAlign w:val="bottom"/>
          </w:tcPr>
          <w:p>
            <w:pPr>
              <w:spacing w:after="0"/>
              <w:rPr>
                <w:sz w:val="21"/>
                <w:szCs w:val="21"/>
                <w:color w:val="auto"/>
              </w:rPr>
            </w:pPr>
          </w:p>
        </w:tc>
      </w:tr>
      <w:tr>
        <w:trPr>
          <w:trHeight w:val="233"/>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4"/>
          </w:tcPr>
          <w:p>
            <w:pPr>
              <w:jc w:val="right"/>
              <w:ind w:right="79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4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PPP</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3"/>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collateral-dependent loans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-187960</wp:posOffset>
            </wp:positionV>
            <wp:extent cx="76835" cy="18859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-187960</wp:posOffset>
            </wp:positionV>
            <wp:extent cx="68580" cy="18859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3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Reserve for Unfunded Loan Commitments</w:t>
      </w:r>
    </w:p>
    <w:p>
      <w:pPr>
        <w:spacing w:after="0" w:line="188" w:lineRule="exact"/>
        <w:rPr>
          <w:sz w:val="20"/>
          <w:szCs w:val="20"/>
          <w:color w:val="auto"/>
        </w:rPr>
      </w:pPr>
    </w:p>
    <w:p>
      <w:pPr>
        <w:ind w:right="40" w:firstLine="637"/>
        <w:spacing w:after="0" w:line="258" w:lineRule="auto"/>
        <w:rPr>
          <w:sz w:val="20"/>
          <w:szCs w:val="20"/>
          <w:color w:val="auto"/>
        </w:rPr>
      </w:pPr>
      <w:r>
        <w:rPr>
          <w:rFonts w:ascii="Times New Roman" w:cs="Times New Roman" w:eastAsia="Times New Roman" w:hAnsi="Times New Roman"/>
          <w:sz w:val="18"/>
          <w:szCs w:val="18"/>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$8.0 million for the off-balance sheet credit exposures as of December 31, 2022. There was no provision or recapture of provision for unfunded commitments for the year ended December 31, 2022 and December 31, 2021. As of December 31, 2022 and December 31, 2021 the balance in this reserve was $8.0 million and was included in other liabilities.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Troubled Debt Restructurings</w:t>
      </w:r>
    </w:p>
    <w:p>
      <w:pPr>
        <w:spacing w:after="0" w:line="188" w:lineRule="exact"/>
        <w:rPr>
          <w:sz w:val="20"/>
          <w:szCs w:val="20"/>
          <w:color w:val="auto"/>
        </w:rPr>
      </w:pPr>
    </w:p>
    <w:p>
      <w:pPr>
        <w:ind w:right="20" w:firstLine="637"/>
        <w:spacing w:after="0" w:line="260" w:lineRule="auto"/>
        <w:rPr>
          <w:sz w:val="20"/>
          <w:szCs w:val="20"/>
          <w:color w:val="auto"/>
        </w:rPr>
      </w:pPr>
      <w:r>
        <w:rPr>
          <w:rFonts w:ascii="Times New Roman" w:cs="Times New Roman" w:eastAsia="Times New Roman" w:hAnsi="Times New Roman"/>
          <w:sz w:val="18"/>
          <w:szCs w:val="18"/>
          <w:color w:val="auto"/>
        </w:rPr>
        <w:t xml:space="preserve">Loans that are reported as TDRs and are considered uncollectible, charge-off amounts are taken on an individual loan basis, as deemed appropriate. The majority of restructured loans are loans for which the terms of repayment have been renegotiated, resulting in a reduction in interest rate or deferral of principal. Refer to Note 3 — </w:t>
      </w:r>
      <w:r>
        <w:rPr>
          <w:rFonts w:ascii="Times New Roman" w:cs="Times New Roman" w:eastAsia="Times New Roman" w:hAnsi="Times New Roman"/>
          <w:sz w:val="18"/>
          <w:szCs w:val="18"/>
          <w:i w:val="1"/>
          <w:iCs w:val="1"/>
          <w:color w:val="auto"/>
        </w:rPr>
        <w:t>Summary of Significant Accounting Policies, Troubled Debt Restructurings</w:t>
      </w:r>
      <w:r>
        <w:rPr>
          <w:rFonts w:ascii="Times New Roman" w:cs="Times New Roman" w:eastAsia="Times New Roman" w:hAnsi="Times New Roman"/>
          <w:sz w:val="18"/>
          <w:szCs w:val="18"/>
          <w:color w:val="auto"/>
        </w:rPr>
        <w:t>, included herein, for a more detailed discussion regarding TDRs.</w:t>
      </w:r>
    </w:p>
    <w:p>
      <w:pPr>
        <w:spacing w:after="0" w:line="155" w:lineRule="exact"/>
        <w:rPr>
          <w:sz w:val="20"/>
          <w:szCs w:val="20"/>
          <w:color w:val="auto"/>
        </w:rPr>
      </w:pPr>
    </w:p>
    <w:p>
      <w:pPr>
        <w:ind w:right="20" w:firstLine="637"/>
        <w:spacing w:after="0" w:line="260" w:lineRule="auto"/>
        <w:rPr>
          <w:sz w:val="20"/>
          <w:szCs w:val="20"/>
          <w:color w:val="auto"/>
        </w:rPr>
      </w:pPr>
      <w:r>
        <w:rPr>
          <w:rFonts w:ascii="Times New Roman" w:cs="Times New Roman" w:eastAsia="Times New Roman" w:hAnsi="Times New Roman"/>
          <w:sz w:val="18"/>
          <w:szCs w:val="18"/>
          <w:color w:val="auto"/>
        </w:rPr>
        <w:t>As of December 31, 2022, there were $7.8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December 31, 2022, performing TDRs were comprised of four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commercial and industrial loans of $4.8 million, one dairy &amp; livestock and agribusiness loan of $2.0 million, and five SFR mortgage loans of $1.0 million.</w:t>
      </w:r>
    </w:p>
    <w:p>
      <w:pPr>
        <w:spacing w:after="0" w:line="198" w:lineRule="exact"/>
        <w:rPr>
          <w:sz w:val="20"/>
          <w:szCs w:val="20"/>
          <w:color w:val="auto"/>
        </w:rPr>
      </w:pPr>
    </w:p>
    <w:p>
      <w:pPr>
        <w:ind w:right="220" w:firstLine="637"/>
        <w:spacing w:after="0" w:line="281" w:lineRule="auto"/>
        <w:rPr>
          <w:sz w:val="20"/>
          <w:szCs w:val="20"/>
          <w:color w:val="auto"/>
        </w:rPr>
      </w:pPr>
      <w:r>
        <w:rPr>
          <w:rFonts w:ascii="Times New Roman" w:cs="Times New Roman" w:eastAsia="Times New Roman" w:hAnsi="Times New Roman"/>
          <w:sz w:val="18"/>
          <w:szCs w:val="18"/>
          <w:color w:val="auto"/>
        </w:rPr>
        <w:t>The majority of TDRs have no specific allowance allocated as any impairment amount is normally charged off at the time the loan is considered uncollectible. We have no allocated allowance to TDRs as of December 31, 2022 and December 31, 2021.</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the activity related to TDRs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8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w w:val="91"/>
              </w:rPr>
              <w:t>in</w:t>
            </w:r>
          </w:p>
        </w:tc>
        <w:tc>
          <w:tcPr>
            <w:tcW w:w="1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Performing TDRs:</w:t>
            </w:r>
          </w:p>
        </w:tc>
        <w:tc>
          <w:tcPr>
            <w:tcW w:w="3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160" w:type="dxa"/>
            <w:vAlign w:val="bottom"/>
          </w:tcPr>
          <w:p>
            <w:pPr>
              <w:jc w:val="center"/>
              <w:ind w:right="2330"/>
              <w:spacing w:after="0"/>
              <w:rPr>
                <w:sz w:val="20"/>
                <w:szCs w:val="20"/>
                <w:color w:val="auto"/>
              </w:rPr>
            </w:pPr>
            <w:r>
              <w:rPr>
                <w:rFonts w:ascii="Times New Roman" w:cs="Times New Roman" w:eastAsia="Times New Roman" w:hAnsi="Times New Roman"/>
                <w:sz w:val="18"/>
                <w:szCs w:val="18"/>
                <w:color w:val="auto"/>
                <w:w w:val="99"/>
              </w:rPr>
              <w:t>Beginning balance</w:t>
            </w:r>
          </w:p>
        </w:tc>
        <w:tc>
          <w:tcPr>
            <w:tcW w:w="454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8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New modifications</w:t>
            </w:r>
          </w:p>
        </w:tc>
        <w:tc>
          <w:tcPr>
            <w:tcW w:w="3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0" w:type="dxa"/>
            <w:vAlign w:val="bottom"/>
            <w:shd w:val="clear" w:color="auto" w:fill="CFF0FC"/>
          </w:tcPr>
          <w:p>
            <w:pPr>
              <w:spacing w:after="0"/>
              <w:rPr>
                <w:sz w:val="21"/>
                <w:szCs w:val="21"/>
                <w:color w:val="auto"/>
              </w:rPr>
            </w:pPr>
          </w:p>
        </w:tc>
      </w:tr>
      <w:tr>
        <w:trPr>
          <w:trHeight w:val="238"/>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Payoffs/payments, net and other</w:t>
            </w:r>
          </w:p>
        </w:tc>
        <w:tc>
          <w:tcPr>
            <w:tcW w:w="3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(2,680 )</w:t>
            </w:r>
          </w:p>
        </w:tc>
        <w:tc>
          <w:tcPr>
            <w:tcW w:w="102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(4,206 )</w:t>
            </w:r>
          </w:p>
        </w:tc>
      </w:tr>
      <w:tr>
        <w:trPr>
          <w:trHeight w:val="247"/>
        </w:trPr>
        <w:tc>
          <w:tcPr>
            <w:tcW w:w="4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TDRs returned to accrual status</w:t>
            </w:r>
          </w:p>
        </w:tc>
        <w:tc>
          <w:tcPr>
            <w:tcW w:w="3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TDRs placed on nonaccrual status</w:t>
            </w:r>
          </w:p>
        </w:tc>
        <w:tc>
          <w:tcPr>
            <w:tcW w:w="3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Ending balance</w:t>
            </w:r>
          </w:p>
        </w:tc>
        <w:tc>
          <w:tcPr>
            <w:tcW w:w="454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shd w:val="clear" w:color="auto" w:fill="CFF0FC"/>
          </w:tcPr>
          <w:p>
            <w:pPr>
              <w:spacing w:after="0"/>
              <w:rPr>
                <w:sz w:val="21"/>
                <w:szCs w:val="21"/>
                <w:color w:val="auto"/>
              </w:rPr>
            </w:pPr>
          </w:p>
        </w:tc>
      </w:tr>
      <w:tr>
        <w:trPr>
          <w:trHeight w:val="238"/>
        </w:trPr>
        <w:tc>
          <w:tcPr>
            <w:tcW w:w="4160" w:type="dxa"/>
            <w:vAlign w:val="bottom"/>
            <w:tcBorders>
              <w:top w:val="single" w:sz="8" w:color="CFF0FC"/>
            </w:tcBorders>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Nonperforming TDRs:</w:t>
            </w:r>
          </w:p>
        </w:tc>
        <w:tc>
          <w:tcPr>
            <w:tcW w:w="354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4160" w:type="dxa"/>
            <w:vAlign w:val="bottom"/>
            <w:shd w:val="clear" w:color="auto" w:fill="CFF0FC"/>
          </w:tcPr>
          <w:p>
            <w:pPr>
              <w:jc w:val="center"/>
              <w:ind w:right="2330"/>
              <w:spacing w:after="0"/>
              <w:rPr>
                <w:sz w:val="20"/>
                <w:szCs w:val="20"/>
                <w:color w:val="auto"/>
              </w:rPr>
            </w:pPr>
            <w:r>
              <w:rPr>
                <w:rFonts w:ascii="Times New Roman" w:cs="Times New Roman" w:eastAsia="Times New Roman" w:hAnsi="Times New Roman"/>
                <w:sz w:val="18"/>
                <w:szCs w:val="18"/>
                <w:color w:val="auto"/>
                <w:w w:val="99"/>
              </w:rPr>
              <w:t>Beginning balance</w:t>
            </w:r>
          </w:p>
        </w:tc>
        <w:tc>
          <w:tcPr>
            <w:tcW w:w="454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modifications</w:t>
            </w:r>
          </w:p>
        </w:tc>
        <w:tc>
          <w:tcPr>
            <w:tcW w:w="3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Charge-offs</w:t>
            </w:r>
          </w:p>
        </w:tc>
        <w:tc>
          <w:tcPr>
            <w:tcW w:w="3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Transfer to OREO</w:t>
            </w:r>
          </w:p>
        </w:tc>
        <w:tc>
          <w:tcPr>
            <w:tcW w:w="3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Payoffs/payments, net and other</w:t>
            </w:r>
          </w:p>
        </w:tc>
        <w:tc>
          <w:tcPr>
            <w:tcW w:w="3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TDRs returned to accrual status</w:t>
            </w:r>
          </w:p>
        </w:tc>
        <w:tc>
          <w:tcPr>
            <w:tcW w:w="3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TDRs placed on nonaccrual status</w:t>
            </w:r>
          </w:p>
        </w:tc>
        <w:tc>
          <w:tcPr>
            <w:tcW w:w="3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Ending balance</w:t>
            </w:r>
          </w:p>
        </w:tc>
        <w:tc>
          <w:tcPr>
            <w:tcW w:w="454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1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TDRs</w:t>
            </w:r>
          </w:p>
        </w:tc>
        <w:tc>
          <w:tcPr>
            <w:tcW w:w="35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4"/>
        </w:trPr>
        <w:tc>
          <w:tcPr>
            <w:tcW w:w="4160" w:type="dxa"/>
            <w:vAlign w:val="bottom"/>
          </w:tcPr>
          <w:p>
            <w:pPr>
              <w:spacing w:after="0"/>
              <w:rPr>
                <w:sz w:val="24"/>
                <w:szCs w:val="24"/>
                <w:color w:val="auto"/>
              </w:rPr>
            </w:pPr>
          </w:p>
        </w:tc>
        <w:tc>
          <w:tcPr>
            <w:tcW w:w="354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111</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16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-1994535</wp:posOffset>
            </wp:positionV>
            <wp:extent cx="68580" cy="16256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-1994535</wp:posOffset>
            </wp:positionV>
            <wp:extent cx="68580" cy="16256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-436245</wp:posOffset>
            </wp:positionV>
            <wp:extent cx="685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-419100</wp:posOffset>
            </wp:positionV>
            <wp:extent cx="685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The following tables summarize loans modified as TDRs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Modifications (1)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28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Pre-Modification</w:t>
            </w:r>
          </w:p>
        </w:tc>
        <w:tc>
          <w:tcPr>
            <w:tcW w:w="260" w:type="dxa"/>
            <w:vAlign w:val="bottom"/>
          </w:tcPr>
          <w:p>
            <w:pPr>
              <w:spacing w:after="0"/>
              <w:rPr>
                <w:sz w:val="18"/>
                <w:szCs w:val="18"/>
                <w:color w:val="auto"/>
              </w:rPr>
            </w:pPr>
          </w:p>
        </w:tc>
        <w:tc>
          <w:tcPr>
            <w:tcW w:w="18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Post-Modification</w:t>
            </w:r>
          </w:p>
        </w:tc>
        <w:tc>
          <w:tcPr>
            <w:tcW w:w="14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Investment at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Effect</w:t>
            </w: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4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Resulting From</w:t>
            </w:r>
          </w:p>
        </w:tc>
        <w:tc>
          <w:tcPr>
            <w:tcW w:w="100" w:type="dxa"/>
            <w:vAlign w:val="bottom"/>
          </w:tcPr>
          <w:p>
            <w:pPr>
              <w:spacing w:after="0"/>
              <w:rPr>
                <w:sz w:val="18"/>
                <w:szCs w:val="18"/>
                <w:color w:val="auto"/>
              </w:rPr>
            </w:pPr>
          </w:p>
        </w:tc>
      </w:tr>
      <w:tr>
        <w:trPr>
          <w:trHeight w:val="245"/>
        </w:trPr>
        <w:tc>
          <w:tcPr>
            <w:tcW w:w="28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40" w:type="dxa"/>
            <w:vAlign w:val="bottom"/>
          </w:tcPr>
          <w:p>
            <w:pPr>
              <w:spacing w:after="0"/>
              <w:rPr>
                <w:sz w:val="21"/>
                <w:szCs w:val="21"/>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Modifications (2)</w:t>
            </w:r>
          </w:p>
        </w:tc>
        <w:tc>
          <w:tcPr>
            <w:tcW w:w="100" w:type="dxa"/>
            <w:vAlign w:val="bottom"/>
          </w:tcPr>
          <w:p>
            <w:pPr>
              <w:spacing w:after="0"/>
              <w:rPr>
                <w:sz w:val="21"/>
                <w:szCs w:val="21"/>
                <w:color w:val="auto"/>
              </w:rPr>
            </w:pPr>
          </w:p>
        </w:tc>
      </w:tr>
      <w:tr>
        <w:trPr>
          <w:trHeight w:val="212"/>
        </w:trPr>
        <w:tc>
          <w:tcPr>
            <w:tcW w:w="28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reduction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1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amortization period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or maturity</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reduction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11"/>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amortization period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maturity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Dairy &amp; livestock and agribusiness:</w:t>
            </w: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reduction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1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amortization period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or maturity</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SFR mortgage:</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reduction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11"/>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amortization period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maturity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83"/>
        </w:trPr>
        <w:tc>
          <w:tcPr>
            <w:tcW w:w="28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loans</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419"/>
        </w:trPr>
        <w:tc>
          <w:tcPr>
            <w:tcW w:w="28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Pre-Modification</w:t>
            </w:r>
          </w:p>
        </w:tc>
        <w:tc>
          <w:tcPr>
            <w:tcW w:w="260" w:type="dxa"/>
            <w:vAlign w:val="bottom"/>
          </w:tcPr>
          <w:p>
            <w:pPr>
              <w:spacing w:after="0"/>
              <w:rPr>
                <w:sz w:val="18"/>
                <w:szCs w:val="18"/>
                <w:color w:val="auto"/>
              </w:rPr>
            </w:pPr>
          </w:p>
        </w:tc>
        <w:tc>
          <w:tcPr>
            <w:tcW w:w="18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Post-Modification</w:t>
            </w:r>
          </w:p>
        </w:tc>
        <w:tc>
          <w:tcPr>
            <w:tcW w:w="14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Investment at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Effect</w:t>
            </w: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4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Resulting From</w:t>
            </w:r>
          </w:p>
        </w:tc>
        <w:tc>
          <w:tcPr>
            <w:tcW w:w="100" w:type="dxa"/>
            <w:vAlign w:val="bottom"/>
          </w:tcPr>
          <w:p>
            <w:pPr>
              <w:spacing w:after="0"/>
              <w:rPr>
                <w:sz w:val="18"/>
                <w:szCs w:val="18"/>
                <w:color w:val="auto"/>
              </w:rPr>
            </w:pPr>
          </w:p>
        </w:tc>
      </w:tr>
      <w:tr>
        <w:trPr>
          <w:trHeight w:val="245"/>
        </w:trPr>
        <w:tc>
          <w:tcPr>
            <w:tcW w:w="28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40" w:type="dxa"/>
            <w:vAlign w:val="bottom"/>
          </w:tcPr>
          <w:p>
            <w:pPr>
              <w:spacing w:after="0"/>
              <w:rPr>
                <w:sz w:val="21"/>
                <w:szCs w:val="21"/>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Modifications (2)</w:t>
            </w:r>
          </w:p>
        </w:tc>
        <w:tc>
          <w:tcPr>
            <w:tcW w:w="100" w:type="dxa"/>
            <w:vAlign w:val="bottom"/>
          </w:tcPr>
          <w:p>
            <w:pPr>
              <w:spacing w:after="0"/>
              <w:rPr>
                <w:sz w:val="21"/>
                <w:szCs w:val="21"/>
                <w:color w:val="auto"/>
              </w:rPr>
            </w:pPr>
          </w:p>
        </w:tc>
      </w:tr>
      <w:tr>
        <w:trPr>
          <w:trHeight w:val="212"/>
        </w:trPr>
        <w:tc>
          <w:tcPr>
            <w:tcW w:w="28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reduction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11"/>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amortization period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maturity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reduction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1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amortization period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or maturity</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SFR mortgage:</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reduction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11"/>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amortization period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maturity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83"/>
        </w:trPr>
        <w:tc>
          <w:tcPr>
            <w:tcW w:w="28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loans</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-3167380</wp:posOffset>
            </wp:positionV>
            <wp:extent cx="7683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-3150235</wp:posOffset>
            </wp:positionV>
            <wp:extent cx="7683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-3329940</wp:posOffset>
            </wp:positionV>
            <wp:extent cx="7683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-3167380</wp:posOffset>
            </wp:positionV>
            <wp:extent cx="7683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-3150235</wp:posOffset>
            </wp:positionV>
            <wp:extent cx="7683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-3329940</wp:posOffset>
            </wp:positionV>
            <wp:extent cx="7683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-3167380</wp:posOffset>
            </wp:positionV>
            <wp:extent cx="6858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-3150235</wp:posOffset>
            </wp:positionV>
            <wp:extent cx="6858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-3329940</wp:posOffset>
            </wp:positionV>
            <wp:extent cx="685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-3167380</wp:posOffset>
            </wp:positionV>
            <wp:extent cx="6858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-3150235</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-3329940</wp:posOffset>
            </wp:positionV>
            <wp:extent cx="6858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-3167380</wp:posOffset>
            </wp:positionV>
            <wp:extent cx="6858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-3150235</wp:posOffset>
            </wp:positionV>
            <wp:extent cx="6858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-3329940</wp:posOffset>
            </wp:positionV>
            <wp:extent cx="6858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-24765</wp:posOffset>
            </wp:positionV>
            <wp:extent cx="7683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-7620</wp:posOffset>
            </wp:positionV>
            <wp:extent cx="7683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-187960</wp:posOffset>
            </wp:positionV>
            <wp:extent cx="7683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-24765</wp:posOffset>
            </wp:positionV>
            <wp:extent cx="7683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-7620</wp:posOffset>
            </wp:positionV>
            <wp:extent cx="7683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-187960</wp:posOffset>
            </wp:positionV>
            <wp:extent cx="7683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6858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685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-187960</wp:posOffset>
            </wp:positionV>
            <wp:extent cx="6858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ind w:left="1540" w:hanging="514"/>
        <w:spacing w:after="0"/>
        <w:tabs>
          <w:tab w:leader="none" w:pos="1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tables above exclude modified loans that were paid off prior to the end of the period.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ind w:left="1540" w:hanging="514"/>
        <w:spacing w:after="0"/>
        <w:tabs>
          <w:tab w:leader="none" w:pos="1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effects resulting from modifications represent charge-offs and current allowance for credit losses at modification date.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2022 and 2021, there were no loans that were modified as a TDR within the previous 12 months that subsequently defaulted.</w:t>
      </w:r>
    </w:p>
    <w:p>
      <w:pPr>
        <w:spacing w:after="0" w:line="184" w:lineRule="exact"/>
        <w:rPr>
          <w:sz w:val="20"/>
          <w:szCs w:val="20"/>
          <w:color w:val="auto"/>
        </w:rPr>
      </w:pPr>
    </w:p>
    <w:p>
      <w:pPr>
        <w:ind w:right="40" w:firstLine="637"/>
        <w:spacing w:after="0" w:line="254" w:lineRule="auto"/>
        <w:rPr>
          <w:sz w:val="20"/>
          <w:szCs w:val="20"/>
          <w:color w:val="auto"/>
        </w:rPr>
      </w:pPr>
      <w:r>
        <w:rPr>
          <w:rFonts w:ascii="Times New Roman" w:cs="Times New Roman" w:eastAsia="Times New Roman" w:hAnsi="Times New Roman"/>
          <w:sz w:val="18"/>
          <w:szCs w:val="18"/>
          <w:color w:val="auto"/>
        </w:rPr>
        <w:t>In accordance with regulatory guidance, if borrowers are less than 30 days past due on their loans, upon implementation of the modification program, or as allowed under the CARES Act if borrowers are less than 30 days past due on their loans as of December 31, 2019, and enter into short-term loan modifications offered as a result of COVID-19, their loans generally continue to be considered performing loans and continue to accrue interest during the period of the loan modification. For borrowers who are 30 days or more past due when entering into loan modifications offered as a result of COVID-19, we evaluate the loan modifications under our existing troubled debt restructuring framework, and where such a loan modification would result in a concession to a borrower experiencing financial difficulty, the loan will be accounted for as a TDR and will generally not accrue interest. For all borrowers who enroll in these loan modification programs offered as a result of COVID-19, the delinquency status of the borrowers is frozen, resulting in a static delinquency metric during the deferral period. Upon exiting the deferral program, the measurement of loan delinquency will resume where it had left off upon entry into the program.</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OTHER REAL ESTATE OWNED</w:t>
            </w: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580" w:type="dxa"/>
            <w:vAlign w:val="bottom"/>
          </w:tcPr>
          <w:p>
            <w:pPr>
              <w:spacing w:after="0"/>
              <w:rPr>
                <w:sz w:val="24"/>
                <w:szCs w:val="24"/>
                <w:color w:val="auto"/>
              </w:rPr>
            </w:pP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total OREO for the periods presented.</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5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420" w:type="dxa"/>
            <w:vAlign w:val="bottom"/>
            <w:tcBorders>
              <w:top w:val="single" w:sz="8" w:color="auto"/>
            </w:tcBorders>
            <w:gridSpan w:val="2"/>
          </w:tcPr>
          <w:p>
            <w:pPr>
              <w:ind w:left="800"/>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w:t>
            </w: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580" w:type="dxa"/>
            <w:vAlign w:val="bottom"/>
          </w:tcPr>
          <w:p>
            <w:pPr>
              <w:spacing w:after="0"/>
              <w:rPr>
                <w:sz w:val="21"/>
                <w:szCs w:val="21"/>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60" w:type="dxa"/>
            <w:vAlign w:val="bottom"/>
            <w:shd w:val="clear" w:color="auto" w:fill="CFF0FC"/>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shd w:val="clear" w:color="auto" w:fill="CFF0FC"/>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Dispositions</w:t>
            </w:r>
          </w:p>
        </w:tc>
        <w:tc>
          <w:tcPr>
            <w:tcW w:w="1060" w:type="dxa"/>
            <w:vAlign w:val="bottom"/>
            <w:shd w:val="clear" w:color="auto" w:fill="CFF0FC"/>
          </w:tcPr>
          <w:p>
            <w:pPr>
              <w:spacing w:after="0"/>
              <w:rPr>
                <w:sz w:val="21"/>
                <w:szCs w:val="21"/>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(4,535 )</w:t>
            </w:r>
          </w:p>
        </w:tc>
      </w:tr>
      <w:tr>
        <w:trPr>
          <w:trHeight w:val="238"/>
        </w:trPr>
        <w:tc>
          <w:tcPr>
            <w:tcW w:w="580" w:type="dxa"/>
            <w:vAlign w:val="bottom"/>
          </w:tcPr>
          <w:p>
            <w:pPr>
              <w:spacing w:after="0"/>
              <w:rPr>
                <w:sz w:val="20"/>
                <w:szCs w:val="20"/>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adjustments</w:t>
            </w: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69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Balance, end of period</w:t>
            </w:r>
          </w:p>
        </w:tc>
        <w:tc>
          <w:tcPr>
            <w:tcW w:w="1060" w:type="dxa"/>
            <w:vAlign w:val="bottom"/>
            <w:tcBorders>
              <w:bottom w:val="single" w:sz="8" w:color="auto"/>
            </w:tcBorders>
            <w:shd w:val="clear" w:color="auto" w:fill="CFF0FC"/>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-24765</wp:posOffset>
            </wp:positionV>
            <wp:extent cx="596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596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for the periods presented.</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8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1"/>
                <w:szCs w:val="21"/>
                <w:color w:val="auto"/>
              </w:rPr>
            </w:pPr>
          </w:p>
        </w:tc>
      </w:tr>
      <w:tr>
        <w:trPr>
          <w:trHeight w:val="240"/>
        </w:trPr>
        <w:tc>
          <w:tcPr>
            <w:tcW w:w="6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6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w:t>
            </w:r>
          </w:p>
        </w:tc>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00" w:type="dxa"/>
            <w:vAlign w:val="bottom"/>
          </w:tcPr>
          <w:p>
            <w:pPr>
              <w:spacing w:after="0"/>
              <w:rPr>
                <w:sz w:val="18"/>
                <w:szCs w:val="18"/>
                <w:color w:val="auto"/>
              </w:rPr>
            </w:pPr>
          </w:p>
        </w:tc>
      </w:tr>
      <w:tr>
        <w:trPr>
          <w:trHeight w:val="25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663,707</w:t>
            </w: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663,707</w:t>
            </w:r>
          </w:p>
        </w:tc>
        <w:tc>
          <w:tcPr>
            <w:tcW w:w="100" w:type="dxa"/>
            <w:vAlign w:val="bottom"/>
            <w:shd w:val="clear" w:color="auto" w:fill="CFF0FC"/>
          </w:tcPr>
          <w:p>
            <w:pPr>
              <w:spacing w:after="0"/>
              <w:rPr>
                <w:sz w:val="21"/>
                <w:szCs w:val="21"/>
                <w:color w:val="auto"/>
              </w:rPr>
            </w:pPr>
          </w:p>
        </w:tc>
      </w:tr>
      <w:tr>
        <w:trPr>
          <w:trHeight w:val="238"/>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due to acquisitions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102,115</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6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765,822</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-24765</wp:posOffset>
            </wp:positionV>
            <wp:extent cx="6858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-7620</wp:posOffset>
            </wp:positionV>
            <wp:extent cx="6858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summarizes changes in CDI and the related accumulated amortization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CDI</w:t>
            </w:r>
          </w:p>
        </w:tc>
        <w:tc>
          <w:tcPr>
            <w:tcW w:w="200" w:type="dxa"/>
            <w:vAlign w:val="bottom"/>
          </w:tcPr>
          <w:p>
            <w:pPr>
              <w:spacing w:after="0"/>
              <w:rPr>
                <w:sz w:val="20"/>
                <w:szCs w:val="20"/>
                <w:color w:val="auto"/>
              </w:rPr>
            </w:pPr>
          </w:p>
        </w:tc>
        <w:tc>
          <w:tcPr>
            <w:tcW w:w="142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Net CDI</w:t>
            </w:r>
          </w:p>
        </w:tc>
        <w:tc>
          <w:tcPr>
            <w:tcW w:w="12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CDI</w:t>
            </w: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Net CDI</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42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1"/>
        </w:trPr>
        <w:tc>
          <w:tcPr>
            <w:tcW w:w="4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w w:val="98"/>
              </w:rPr>
              <w:t>(Dollars in</w:t>
            </w:r>
          </w:p>
        </w:tc>
        <w:tc>
          <w:tcPr>
            <w:tcW w:w="200" w:type="dxa"/>
            <w:vAlign w:val="bottom"/>
          </w:tcPr>
          <w:p>
            <w:pPr>
              <w:spacing w:after="0"/>
              <w:rPr>
                <w:sz w:val="19"/>
                <w:szCs w:val="19"/>
                <w:color w:val="auto"/>
              </w:rPr>
            </w:pP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of intangible assets,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93,297</w:t>
            </w:r>
          </w:p>
        </w:tc>
        <w:tc>
          <w:tcPr>
            <w:tcW w:w="5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(67,903 )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93,297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(59,663 )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Additions due to acquisitions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(7,567 )</w:t>
            </w: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(3,652 )</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(8,240 )</w:t>
            </w:r>
          </w:p>
        </w:tc>
        <w:tc>
          <w:tcPr>
            <w:tcW w:w="2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(8,240 )</w:t>
            </w:r>
          </w:p>
        </w:tc>
        <w:tc>
          <w:tcPr>
            <w:tcW w:w="0" w:type="dxa"/>
            <w:vAlign w:val="bottom"/>
          </w:tcPr>
          <w:p>
            <w:pPr>
              <w:spacing w:after="0"/>
              <w:rPr>
                <w:sz w:val="1"/>
                <w:szCs w:val="1"/>
                <w:color w:val="auto"/>
              </w:rPr>
            </w:pPr>
          </w:p>
        </w:tc>
      </w:tr>
      <w:tr>
        <w:trPr>
          <w:trHeight w:val="20"/>
        </w:trPr>
        <w:tc>
          <w:tcPr>
            <w:tcW w:w="45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intangible assets,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97,211</w:t>
            </w:r>
          </w:p>
        </w:tc>
        <w:tc>
          <w:tcPr>
            <w:tcW w:w="200" w:type="dxa"/>
            <w:vAlign w:val="bottom"/>
            <w:vMerge w:val="restart"/>
          </w:tcPr>
          <w:p>
            <w:pPr>
              <w:spacing w:after="0"/>
              <w:rPr>
                <w:sz w:val="18"/>
                <w:szCs w:val="18"/>
                <w:color w:val="auto"/>
              </w:rPr>
            </w:pPr>
          </w:p>
        </w:tc>
        <w:tc>
          <w:tcPr>
            <w:tcW w:w="3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(75,470 )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200" w:type="dxa"/>
            <w:vAlign w:val="bottom"/>
          </w:tcPr>
          <w:p>
            <w:pPr>
              <w:spacing w:after="0"/>
              <w:rPr>
                <w:sz w:val="18"/>
                <w:szCs w:val="18"/>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93,297</w:t>
            </w:r>
          </w:p>
        </w:tc>
        <w:tc>
          <w:tcPr>
            <w:tcW w:w="20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(67,903 )</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 of period</w:t>
            </w:r>
          </w:p>
        </w:tc>
        <w:tc>
          <w:tcPr>
            <w:tcW w:w="1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-718820</wp:posOffset>
            </wp:positionV>
            <wp:extent cx="76835" cy="2997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9">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-718820</wp:posOffset>
            </wp:positionV>
            <wp:extent cx="76835" cy="2997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0">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-718820</wp:posOffset>
            </wp:positionV>
            <wp:extent cx="68580" cy="2997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1">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-718820</wp:posOffset>
            </wp:positionV>
            <wp:extent cx="68580" cy="2997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2">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-718820</wp:posOffset>
            </wp:positionV>
            <wp:extent cx="68580" cy="2997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3">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2997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4">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4" w:name="page115"/>
    <w:bookmarkEnd w:id="114"/>
    <w:p>
      <w:pPr>
        <w:ind w:left="640"/>
        <w:spacing w:after="0"/>
        <w:rPr>
          <w:sz w:val="20"/>
          <w:szCs w:val="20"/>
          <w:color w:val="auto"/>
        </w:rPr>
      </w:pPr>
      <w:r>
        <w:rPr>
          <w:rFonts w:ascii="Times New Roman" w:cs="Times New Roman" w:eastAsia="Times New Roman" w:hAnsi="Times New Roman"/>
          <w:sz w:val="18"/>
          <w:szCs w:val="18"/>
          <w:color w:val="auto"/>
        </w:rPr>
        <w:t>The following table reflects the estimated amortization expense for the periods presented, as of December 31, 2022.</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45"/>
        </w:trPr>
        <w:tc>
          <w:tcPr>
            <w:tcW w:w="7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26"/>
        </w:trPr>
        <w:tc>
          <w:tcPr>
            <w:tcW w:w="7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260" w:type="dxa"/>
            <w:vAlign w:val="bottom"/>
          </w:tcPr>
          <w:p>
            <w:pPr>
              <w:spacing w:after="0"/>
              <w:rPr>
                <w:sz w:val="19"/>
                <w:szCs w:val="19"/>
                <w:color w:val="auto"/>
              </w:rPr>
            </w:pPr>
          </w:p>
        </w:tc>
        <w:tc>
          <w:tcPr>
            <w:tcW w:w="2040" w:type="dxa"/>
            <w:vAlign w:val="bottom"/>
          </w:tcPr>
          <w:p>
            <w:pPr>
              <w:jc w:val="center"/>
              <w:ind w:right="171"/>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r>
      <w:tr>
        <w:trPr>
          <w:trHeight w:val="239"/>
        </w:trPr>
        <w:tc>
          <w:tcPr>
            <w:tcW w:w="7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FF0FC"/>
          </w:tcPr>
          <w:p>
            <w:pPr>
              <w:spacing w:after="0"/>
              <w:rPr>
                <w:sz w:val="20"/>
                <w:szCs w:val="20"/>
                <w:color w:val="auto"/>
              </w:rPr>
            </w:pPr>
          </w:p>
        </w:tc>
      </w:tr>
      <w:tr>
        <w:trPr>
          <w:trHeight w:val="238"/>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shd w:val="clear" w:color="auto" w:fill="CFF0FC"/>
          </w:tcPr>
          <w:p>
            <w:pPr>
              <w:spacing w:after="0"/>
              <w:rPr>
                <w:sz w:val="21"/>
                <w:szCs w:val="21"/>
                <w:color w:val="auto"/>
              </w:rPr>
            </w:pPr>
          </w:p>
        </w:tc>
      </w:tr>
      <w:tr>
        <w:trPr>
          <w:trHeight w:val="238"/>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December 31, 2022 the weighted average remaining life of intangible assets is approximately 2.23 years.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PREMISES AND EQUIPMENT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580" w:type="dxa"/>
            <w:vAlign w:val="bottom"/>
          </w:tcPr>
          <w:p>
            <w:pPr>
              <w:spacing w:after="0"/>
              <w:rPr>
                <w:sz w:val="24"/>
                <w:szCs w:val="24"/>
                <w:color w:val="auto"/>
              </w:rPr>
            </w:pP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Premises and equipment were comprised of the following as of the dates presented.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5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00" w:type="dxa"/>
            <w:vAlign w:val="bottom"/>
          </w:tcPr>
          <w:p>
            <w:pPr>
              <w:spacing w:after="0"/>
              <w:rPr>
                <w:sz w:val="18"/>
                <w:szCs w:val="18"/>
                <w:color w:val="auto"/>
              </w:rPr>
            </w:pPr>
          </w:p>
        </w:tc>
      </w:tr>
      <w:tr>
        <w:trPr>
          <w:trHeight w:val="251"/>
        </w:trPr>
        <w:tc>
          <w:tcPr>
            <w:tcW w:w="580" w:type="dxa"/>
            <w:vAlign w:val="bottom"/>
          </w:tcPr>
          <w:p>
            <w:pPr>
              <w:spacing w:after="0"/>
              <w:rPr>
                <w:sz w:val="21"/>
                <w:szCs w:val="21"/>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shd w:val="clear" w:color="auto" w:fill="CFF0FC"/>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Bank premises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70,081</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33,362</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Premises and equipment, gross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121,204</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119,821</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9"/>
              <w:spacing w:after="0"/>
              <w:rPr>
                <w:sz w:val="20"/>
                <w:szCs w:val="20"/>
                <w:color w:val="auto"/>
              </w:rPr>
            </w:pPr>
            <w:r>
              <w:rPr>
                <w:rFonts w:ascii="Times New Roman" w:cs="Times New Roman" w:eastAsia="Times New Roman" w:hAnsi="Times New Roman"/>
                <w:sz w:val="18"/>
                <w:szCs w:val="18"/>
                <w:color w:val="auto"/>
              </w:rPr>
              <w:t>(74,506 )</w:t>
            </w:r>
          </w:p>
        </w:tc>
        <w:tc>
          <w:tcPr>
            <w:tcW w:w="4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(70,725 )</w:t>
            </w:r>
          </w:p>
        </w:tc>
      </w:tr>
      <w:tr>
        <w:trPr>
          <w:trHeight w:val="236"/>
        </w:trPr>
        <w:tc>
          <w:tcPr>
            <w:tcW w:w="580" w:type="dxa"/>
            <w:vAlign w:val="bottom"/>
          </w:tcPr>
          <w:p>
            <w:pPr>
              <w:spacing w:after="0"/>
              <w:rPr>
                <w:sz w:val="20"/>
                <w:szCs w:val="20"/>
                <w:color w:val="auto"/>
              </w:rPr>
            </w:pPr>
          </w:p>
        </w:tc>
        <w:tc>
          <w:tcPr>
            <w:tcW w:w="68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46,698</w:t>
            </w:r>
          </w:p>
        </w:tc>
        <w:tc>
          <w:tcPr>
            <w:tcW w:w="26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00" w:type="dxa"/>
            <w:vAlign w:val="bottom"/>
            <w:tcBorders>
              <w:top w:val="single" w:sz="8" w:color="CFF0FC"/>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-504825</wp:posOffset>
            </wp:positionV>
            <wp:extent cx="68580" cy="16256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-504825</wp:posOffset>
            </wp:positionV>
            <wp:extent cx="59690" cy="16256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9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-187960</wp:posOffset>
            </wp:positionV>
            <wp:extent cx="68580" cy="18859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2">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77" w:lineRule="exact"/>
        <w:rPr>
          <w:sz w:val="20"/>
          <w:szCs w:val="20"/>
          <w:color w:val="auto"/>
        </w:rPr>
      </w:pPr>
    </w:p>
    <w:p>
      <w:pPr>
        <w:ind w:right="420" w:firstLine="637"/>
        <w:spacing w:after="0" w:line="281" w:lineRule="auto"/>
        <w:rPr>
          <w:sz w:val="20"/>
          <w:szCs w:val="20"/>
          <w:color w:val="auto"/>
        </w:rPr>
      </w:pPr>
      <w:r>
        <w:rPr>
          <w:rFonts w:ascii="Times New Roman" w:cs="Times New Roman" w:eastAsia="Times New Roman" w:hAnsi="Times New Roman"/>
          <w:sz w:val="18"/>
          <w:szCs w:val="18"/>
          <w:color w:val="auto"/>
        </w:rPr>
        <w:t>Total depreciation and amortization expense was approximately $6.9 million, $6.4 million and $6.9 million for the years ended December 31, 2022, 2021 and 2020, respectively.</w:t>
      </w:r>
    </w:p>
    <w:p>
      <w:pPr>
        <w:spacing w:after="0" w:line="266" w:lineRule="exact"/>
        <w:rPr>
          <w:sz w:val="20"/>
          <w:szCs w:val="20"/>
          <w:color w:val="auto"/>
        </w:rPr>
      </w:pPr>
    </w:p>
    <w:p>
      <w:pPr>
        <w:ind w:left="540" w:hanging="487"/>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assets were comprised of the following as of the dates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0"/>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w:t>
            </w:r>
          </w:p>
        </w:tc>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1"/>
        </w:trPr>
        <w:tc>
          <w:tcPr>
            <w:tcW w:w="580" w:type="dxa"/>
            <w:vAlign w:val="bottom"/>
          </w:tcPr>
          <w:p>
            <w:pPr>
              <w:spacing w:after="0"/>
              <w:rPr>
                <w:sz w:val="21"/>
                <w:szCs w:val="21"/>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7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assets</w:t>
            </w:r>
          </w:p>
        </w:tc>
        <w:tc>
          <w:tcPr>
            <w:tcW w:w="3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Affordable housing investments</w:t>
            </w: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54,030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108,946</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118,301</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740"/>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6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-589915</wp:posOffset>
            </wp:positionV>
            <wp:extent cx="685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-572770</wp:posOffset>
            </wp:positionV>
            <wp:extent cx="6858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-589915</wp:posOffset>
            </wp:positionV>
            <wp:extent cx="596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-572770</wp:posOffset>
            </wp:positionV>
            <wp:extent cx="596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91"/>
        </w:trPr>
        <w:tc>
          <w:tcPr>
            <w:tcW w:w="580" w:type="dxa"/>
            <w:vAlign w:val="bottom"/>
          </w:tcPr>
          <w:p>
            <w:pPr>
              <w:spacing w:after="0"/>
              <w:rPr>
                <w:sz w:val="24"/>
                <w:szCs w:val="24"/>
                <w:color w:val="auto"/>
              </w:rPr>
            </w:pPr>
          </w:p>
        </w:tc>
        <w:tc>
          <w:tcPr>
            <w:tcW w:w="6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current and deferred amounts of income tax expense consist of the following.</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2"/>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0"/>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w w:val="93"/>
              </w:rPr>
              <w:t>(Dollars 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1"/>
        </w:trPr>
        <w:tc>
          <w:tcPr>
            <w:tcW w:w="58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1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60,763</w:t>
            </w:r>
          </w:p>
        </w:tc>
        <w:tc>
          <w:tcPr>
            <w:tcW w:w="80" w:type="dxa"/>
            <w:vAlign w:val="bottom"/>
          </w:tcPr>
          <w:p>
            <w:pPr>
              <w:spacing w:after="0"/>
              <w:rPr>
                <w:sz w:val="20"/>
                <w:szCs w:val="20"/>
                <w:color w:val="auto"/>
              </w:rPr>
            </w:pP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44,514</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35,427</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28,469</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96,190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72,040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0"/>
        </w:trPr>
        <w:tc>
          <w:tcPr>
            <w:tcW w:w="58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provision:</w:t>
            </w:r>
          </w:p>
        </w:tc>
        <w:tc>
          <w:tcPr>
            <w:tcW w:w="1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8"/>
        </w:trPr>
        <w:tc>
          <w:tcPr>
            <w:tcW w:w="58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(2,496 )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(2,997 )</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(772 )</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(1,439 )</w:t>
            </w: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(3,268 )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(4,436 )</w:t>
            </w: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92,922</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85,127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416"/>
        </w:trPr>
        <w:tc>
          <w:tcPr>
            <w:tcW w:w="580" w:type="dxa"/>
            <w:vAlign w:val="bottom"/>
          </w:tcPr>
          <w:p>
            <w:pPr>
              <w:spacing w:after="0"/>
              <w:rPr>
                <w:sz w:val="24"/>
                <w:szCs w:val="24"/>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asset consists of the following.</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2"/>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0"/>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i w:val="1"/>
                <w:iCs w:val="1"/>
                <w:color w:val="auto"/>
                <w:w w:val="79"/>
              </w:rPr>
              <w:t>in</w:t>
            </w: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1"/>
        </w:trPr>
        <w:tc>
          <w:tcPr>
            <w:tcW w:w="58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0"/>
        </w:trPr>
        <w:tc>
          <w:tcPr>
            <w:tcW w:w="58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1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8"/>
        </w:trPr>
        <w:tc>
          <w:tcPr>
            <w:tcW w:w="58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66,588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184,286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0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186,684</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888"/>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-3972560</wp:posOffset>
            </wp:positionV>
            <wp:extent cx="68580" cy="1714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-3972560</wp:posOffset>
            </wp:positionV>
            <wp:extent cx="59690" cy="17145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0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-3972560</wp:posOffset>
            </wp:positionV>
            <wp:extent cx="59690" cy="17145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0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-3338830</wp:posOffset>
            </wp:positionV>
            <wp:extent cx="68580" cy="17145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-3338830</wp:posOffset>
            </wp:positionV>
            <wp:extent cx="59690" cy="17145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0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-3338830</wp:posOffset>
            </wp:positionV>
            <wp:extent cx="59690" cy="17145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-3013075</wp:posOffset>
            </wp:positionV>
            <wp:extent cx="6858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-2995930</wp:posOffset>
            </wp:positionV>
            <wp:extent cx="685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-3013075</wp:posOffset>
            </wp:positionV>
            <wp:extent cx="596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-2995930</wp:posOffset>
            </wp:positionV>
            <wp:extent cx="596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-3013075</wp:posOffset>
            </wp:positionV>
            <wp:extent cx="596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-2995930</wp:posOffset>
            </wp:positionV>
            <wp:extent cx="596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-1643380</wp:posOffset>
            </wp:positionV>
            <wp:extent cx="68580" cy="17145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-1643380</wp:posOffset>
            </wp:positionV>
            <wp:extent cx="59690" cy="17145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1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-1009650</wp:posOffset>
            </wp:positionV>
            <wp:extent cx="68580" cy="1714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-1009650</wp:posOffset>
            </wp:positionV>
            <wp:extent cx="59690" cy="1714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1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-684530</wp:posOffset>
            </wp:positionV>
            <wp:extent cx="6858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-667385</wp:posOffset>
            </wp:positionV>
            <wp:extent cx="6858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-684530</wp:posOffset>
            </wp:positionV>
            <wp:extent cx="596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-667385</wp:posOffset>
            </wp:positionV>
            <wp:extent cx="596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16" w:name="page117"/>
    <w:bookmarkEnd w:id="116"/>
    <w:p>
      <w:pPr>
        <w:ind w:right="540" w:firstLine="644"/>
        <w:spacing w:after="0" w:line="281" w:lineRule="auto"/>
        <w:rPr>
          <w:sz w:val="20"/>
          <w:szCs w:val="20"/>
          <w:color w:val="auto"/>
        </w:rPr>
      </w:pPr>
      <w:r>
        <w:rPr>
          <w:rFonts w:ascii="Times New Roman" w:cs="Times New Roman" w:eastAsia="Times New Roman" w:hAnsi="Times New Roman"/>
          <w:sz w:val="18"/>
          <w:szCs w:val="18"/>
          <w:color w:val="auto"/>
        </w:rPr>
        <w:t>Temporary differences between the amounts reported in the financial statements and the tax bases of assets and liabilities resulted in deferred taxes. The components of the net deferred tax asset are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6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0"/>
        </w:trPr>
        <w:tc>
          <w:tcPr>
            <w:tcW w:w="6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r>
      <w:tr>
        <w:trPr>
          <w:trHeight w:val="216"/>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jc w:val="right"/>
              <w:ind w:right="57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0" w:type="dxa"/>
            <w:vAlign w:val="bottom"/>
          </w:tcPr>
          <w:p>
            <w:pPr>
              <w:spacing w:after="0"/>
              <w:rPr>
                <w:sz w:val="18"/>
                <w:szCs w:val="18"/>
                <w:color w:val="auto"/>
              </w:rPr>
            </w:pPr>
          </w:p>
        </w:tc>
      </w:tr>
      <w:tr>
        <w:trPr>
          <w:trHeight w:val="251"/>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and credit loss deduction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23,228</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PCI loans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California franchise tax</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investment securities,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159,229</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Acquired loan discounts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80" w:type="dxa"/>
            <w:vAlign w:val="bottom"/>
          </w:tcPr>
          <w:p>
            <w:pPr>
              <w:spacing w:after="0"/>
              <w:rPr>
                <w:sz w:val="20"/>
                <w:szCs w:val="20"/>
                <w:color w:val="auto"/>
              </w:rPr>
            </w:pPr>
          </w:p>
        </w:tc>
      </w:tr>
      <w:tr>
        <w:trPr>
          <w:trHeight w:val="243"/>
        </w:trPr>
        <w:tc>
          <w:tcPr>
            <w:tcW w:w="6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220,155</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53,738</w:t>
            </w:r>
          </w:p>
        </w:tc>
        <w:tc>
          <w:tcPr>
            <w:tcW w:w="80" w:type="dxa"/>
            <w:vAlign w:val="bottom"/>
          </w:tcPr>
          <w:p>
            <w:pPr>
              <w:spacing w:after="0"/>
              <w:rPr>
                <w:sz w:val="20"/>
                <w:szCs w:val="20"/>
                <w:color w:val="auto"/>
              </w:rPr>
            </w:pPr>
          </w:p>
        </w:tc>
      </w:tr>
      <w:tr>
        <w:trPr>
          <w:trHeight w:val="24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California franchise tax</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 - acquisitions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FHLB Stock</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investment securities, net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liability</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184,286</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8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-1754505</wp:posOffset>
            </wp:positionV>
            <wp:extent cx="51435" cy="17145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2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-1754505</wp:posOffset>
            </wp:positionV>
            <wp:extent cx="51435" cy="17145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2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-187960</wp:posOffset>
            </wp:positionV>
            <wp:extent cx="51435" cy="18859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2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2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Annual Effective Tax Rate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annual consolidated effective tax rate for the periods presented, is reconciled to the U.S. statutory income rate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8"/>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6"/>
          </w:tcPr>
          <w:p>
            <w:pPr>
              <w:jc w:val="right"/>
              <w:ind w:right="6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franchise taxes, net of federal benefit</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income</w:t>
            </w:r>
          </w:p>
        </w:tc>
        <w:tc>
          <w:tcPr>
            <w:tcW w:w="1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(3,290 )</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(3,165 )</w:t>
            </w:r>
          </w:p>
        </w:tc>
        <w:tc>
          <w:tcPr>
            <w:tcW w:w="14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(3,191 )</w:t>
            </w: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(1,617 )</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(1,640 )</w:t>
            </w:r>
          </w:p>
        </w:tc>
        <w:tc>
          <w:tcPr>
            <w:tcW w:w="14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(0.6 )%</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(1,946 )</w:t>
            </w: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4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0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28.3 </w:t>
            </w:r>
            <w:r>
              <w:rPr>
                <w:rFonts w:ascii="Times New Roman" w:cs="Times New Roman" w:eastAsia="Times New Roman" w:hAnsi="Times New Roman"/>
                <w:sz w:val="18"/>
                <w:szCs w:val="18"/>
                <w:color w:val="auto"/>
                <w:highlight w:val="white"/>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28.6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29.0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27">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177" w:lineRule="exact"/>
        <w:rPr>
          <w:sz w:val="20"/>
          <w:szCs w:val="20"/>
          <w:color w:val="auto"/>
        </w:rPr>
      </w:pPr>
    </w:p>
    <w:p>
      <w:pPr>
        <w:ind w:right="600" w:firstLine="637"/>
        <w:spacing w:after="0" w:line="281" w:lineRule="auto"/>
        <w:rPr>
          <w:sz w:val="20"/>
          <w:szCs w:val="20"/>
          <w:color w:val="auto"/>
        </w:rPr>
      </w:pPr>
      <w:r>
        <w:rPr>
          <w:rFonts w:ascii="Times New Roman" w:cs="Times New Roman" w:eastAsia="Times New Roman" w:hAnsi="Times New Roman"/>
          <w:sz w:val="18"/>
          <w:szCs w:val="18"/>
          <w:color w:val="auto"/>
        </w:rPr>
        <w:t>There were no significant unrecognized tax benefits at December 31, 2022 and 2021. We do not expect the total amount of unrecognized tax benefits to significantly increase or decrease within the next twelve months.</w:t>
      </w:r>
    </w:p>
    <w:p>
      <w:pPr>
        <w:spacing w:after="0" w:line="122" w:lineRule="exact"/>
        <w:rPr>
          <w:sz w:val="20"/>
          <w:szCs w:val="20"/>
          <w:color w:val="auto"/>
        </w:rPr>
      </w:pPr>
    </w:p>
    <w:p>
      <w:pPr>
        <w:ind w:right="140" w:firstLine="637"/>
        <w:spacing w:after="0" w:line="265" w:lineRule="auto"/>
        <w:rPr>
          <w:sz w:val="20"/>
          <w:szCs w:val="20"/>
          <w:color w:val="auto"/>
        </w:rPr>
      </w:pPr>
      <w:r>
        <w:rPr>
          <w:rFonts w:ascii="Times New Roman" w:cs="Times New Roman" w:eastAsia="Times New Roman" w:hAnsi="Times New Roman"/>
          <w:sz w:val="18"/>
          <w:szCs w:val="18"/>
          <w:color w:val="auto"/>
        </w:rPr>
        <w:t>The Company is subject to income taxes in the federal, California, Arizona, and three other non-material jurisdictions. The Company is no longer subject to examinations by taxing jurisdictions for periods before 2019, with the exception of California, for which the Company is no longer subject to examination for years before 2013.</w:t>
      </w:r>
    </w:p>
    <w:p>
      <w:pPr>
        <w:spacing w:after="0" w:line="150" w:lineRule="exact"/>
        <w:rPr>
          <w:sz w:val="20"/>
          <w:szCs w:val="20"/>
          <w:color w:val="auto"/>
        </w:rPr>
      </w:pPr>
    </w:p>
    <w:p>
      <w:pPr>
        <w:ind w:right="320" w:firstLine="637"/>
        <w:spacing w:after="0" w:line="260" w:lineRule="auto"/>
        <w:rPr>
          <w:sz w:val="20"/>
          <w:szCs w:val="20"/>
          <w:color w:val="auto"/>
        </w:rPr>
      </w:pPr>
      <w:r>
        <w:rPr>
          <w:rFonts w:ascii="Times New Roman" w:cs="Times New Roman" w:eastAsia="Times New Roman" w:hAnsi="Times New Roman"/>
          <w:sz w:val="18"/>
          <w:szCs w:val="18"/>
          <w:color w:val="auto"/>
        </w:rPr>
        <w:t>At December 31, 2022, the Company has net operating loss (NOLs) carryforwards of approximately $14.8 million for federal and California tax purposes as a result of the acquisition of Suncrest Bank. The federal and California NOLs of $12.7 and $9.8 million, respectively, are subject to annual IRC Section 382 limitations of $3.4 million and have no expiration for federal tax purposes but will expire in 2032 for California if not utilized. The balance of the NOLs are subject to annual IRC Section 382 limitations of $300,000 and will begin to expire in 2030.</w:t>
      </w:r>
    </w:p>
    <w:p>
      <w:pPr>
        <w:spacing w:after="0" w:line="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7" w:right="239" w:bottom="1440" w:gutter="0" w:footer="0" w:header="0"/>
        </w:sectPr>
      </w:pPr>
    </w:p>
    <w:bookmarkStart w:id="117" w:name="page118"/>
    <w:bookmarkEnd w:id="117"/>
    <w:p>
      <w:pPr>
        <w:jc w:val="both"/>
        <w:ind w:right="500" w:firstLine="637"/>
        <w:spacing w:after="0" w:line="265" w:lineRule="auto"/>
        <w:rPr>
          <w:sz w:val="20"/>
          <w:szCs w:val="20"/>
          <w:color w:val="auto"/>
        </w:rPr>
      </w:pPr>
      <w:r>
        <w:rPr>
          <w:rFonts w:ascii="Times New Roman" w:cs="Times New Roman" w:eastAsia="Times New Roman" w:hAnsi="Times New Roman"/>
          <w:sz w:val="18"/>
          <w:szCs w:val="18"/>
          <w:color w:val="auto"/>
        </w:rPr>
        <w:t>The Company considered the need for a valuation allowance on its deferred tax assets for the year ended December 31, 2022. The Company considered income in prior periods, projected future income, and projected future reversals of deferred tax items in making the determination that the deferred tax assets are more likely than not to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DEPOSITS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composition of deposits is summarized for the periods presented in the table below.</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0"/>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0"/>
                <w:szCs w:val="20"/>
                <w:color w:val="auto"/>
              </w:rPr>
            </w:pPr>
          </w:p>
        </w:tc>
      </w:tr>
      <w:tr>
        <w:trPr>
          <w:trHeight w:val="208"/>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6"/>
          </w:tcPr>
          <w:p>
            <w:pPr>
              <w:jc w:val="center"/>
              <w:ind w:right="6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8,164,364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63.60 %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8,104,056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62.45 %</w:t>
            </w: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checking</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723,870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655,333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5.05 %</w:t>
            </w: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3,070,674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23.92 %</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3,342,531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25.76 %</w:t>
            </w: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546,840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4.21 %</w:t>
            </w:r>
          </w:p>
        </w:tc>
      </w:tr>
      <w:tr>
        <w:trPr>
          <w:trHeight w:val="25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327,682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38"/>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12,836,245</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12,976,442</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-1112520</wp:posOffset>
            </wp:positionV>
            <wp:extent cx="6413500" cy="15430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29">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-804545</wp:posOffset>
            </wp:positionV>
            <wp:extent cx="6413500" cy="15430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30">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-495935</wp:posOffset>
            </wp:positionV>
            <wp:extent cx="6413500" cy="15430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31">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-179070</wp:posOffset>
            </wp:positionV>
            <wp:extent cx="6413500" cy="1797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32">
                      <a:extLst>
                        <a:ext uri="{28A0092B-C50C-407E-A947-70E740481C1C}"/>
                      </a:extLst>
                    </a:blip>
                    <a:srcRect/>
                    <a:stretch>
                      <a:fillRect/>
                    </a:stretch>
                  </pic:blipFill>
                  <pic:spPr bwMode="auto">
                    <a:xfrm>
                      <a:off x="0" y="0"/>
                      <a:ext cx="6413500" cy="179705"/>
                    </a:xfrm>
                    <a:prstGeom prst="rect">
                      <a:avLst/>
                    </a:prstGeom>
                    <a:noFill/>
                  </pic:spPr>
                </pic:pic>
              </a:graphicData>
            </a:graphic>
          </wp:anchor>
        </w:drawing>
      </w:r>
    </w:p>
    <w:p>
      <w:pPr>
        <w:spacing w:after="0" w:line="177" w:lineRule="exact"/>
        <w:rPr>
          <w:sz w:val="20"/>
          <w:szCs w:val="20"/>
          <w:color w:val="auto"/>
        </w:rPr>
      </w:pPr>
    </w:p>
    <w:p>
      <w:pPr>
        <w:ind w:right="300" w:firstLine="637"/>
        <w:spacing w:after="0" w:line="281" w:lineRule="auto"/>
        <w:rPr>
          <w:sz w:val="20"/>
          <w:szCs w:val="20"/>
          <w:color w:val="auto"/>
        </w:rPr>
      </w:pPr>
      <w:r>
        <w:rPr>
          <w:rFonts w:ascii="Times New Roman" w:cs="Times New Roman" w:eastAsia="Times New Roman" w:hAnsi="Times New Roman"/>
          <w:sz w:val="18"/>
          <w:szCs w:val="18"/>
          <w:color w:val="auto"/>
        </w:rPr>
        <w:t>Time deposits with balances of $250,000 or more amounted to approximately $77.2 million and $79.9 million at December 31, 2022 and 2021, respectively.</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December 31, 2022, the scheduled maturities of time certificates of deposit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Year of maturity:</w:t>
            </w:r>
          </w:p>
        </w:tc>
        <w:tc>
          <w:tcPr>
            <w:tcW w:w="4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ind w:right="311"/>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42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258,766</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4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 and thereafter</w:t>
            </w:r>
          </w:p>
        </w:tc>
        <w:tc>
          <w:tcPr>
            <w:tcW w:w="4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294,626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2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4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-753110</wp:posOffset>
            </wp:positionV>
            <wp:extent cx="59690" cy="18859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3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13.  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Repurchase Agreements</w:t>
      </w:r>
    </w:p>
    <w:p>
      <w:pPr>
        <w:spacing w:after="0" w:line="229" w:lineRule="exact"/>
        <w:rPr>
          <w:sz w:val="20"/>
          <w:szCs w:val="20"/>
          <w:color w:val="auto"/>
        </w:rPr>
      </w:pPr>
    </w:p>
    <w:p>
      <w:pPr>
        <w:ind w:firstLine="637"/>
        <w:spacing w:after="0" w:line="276" w:lineRule="auto"/>
        <w:rPr>
          <w:sz w:val="20"/>
          <w:szCs w:val="20"/>
          <w:color w:val="auto"/>
        </w:rPr>
      </w:pPr>
      <w:r>
        <w:rPr>
          <w:rFonts w:ascii="Times New Roman" w:cs="Times New Roman" w:eastAsia="Times New Roman" w:hAnsi="Times New Roman"/>
          <w:sz w:val="17"/>
          <w:szCs w:val="17"/>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2022, total funds borrowed under these agreements were $565.4 million with a weighted average interest rate of 0.11%, compared to $642.4 million with a weighted average interest rate of 0.08% at December 31,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Advances</w:t>
      </w:r>
    </w:p>
    <w:p>
      <w:pPr>
        <w:spacing w:after="0" w:line="229" w:lineRule="exact"/>
        <w:rPr>
          <w:sz w:val="20"/>
          <w:szCs w:val="20"/>
          <w:color w:val="auto"/>
        </w:rPr>
      </w:pPr>
    </w:p>
    <w:p>
      <w:pPr>
        <w:ind w:right="60" w:firstLine="637"/>
        <w:spacing w:after="0" w:line="281" w:lineRule="auto"/>
        <w:rPr>
          <w:sz w:val="20"/>
          <w:szCs w:val="20"/>
          <w:color w:val="auto"/>
        </w:rPr>
      </w:pPr>
      <w:r>
        <w:rPr>
          <w:rFonts w:ascii="Times New Roman" w:cs="Times New Roman" w:eastAsia="Times New Roman" w:hAnsi="Times New Roman"/>
          <w:sz w:val="18"/>
          <w:szCs w:val="18"/>
          <w:color w:val="auto"/>
        </w:rPr>
        <w:t>At December 31, 2022, $4.30 billion of loans and $2.90 billion of investment securities, at carrying value, were pledged to secure public deposits, short and long-term borrowings, and for other purposes as required or permitted by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FHLB and Other Borrowings</w:t>
      </w:r>
    </w:p>
    <w:p>
      <w:pPr>
        <w:spacing w:after="0" w:line="188" w:lineRule="exact"/>
        <w:rPr>
          <w:sz w:val="20"/>
          <w:szCs w:val="20"/>
          <w:color w:val="auto"/>
        </w:rPr>
      </w:pPr>
    </w:p>
    <w:p>
      <w:pPr>
        <w:ind w:right="420" w:firstLine="644"/>
        <w:spacing w:after="0" w:line="281" w:lineRule="auto"/>
        <w:rPr>
          <w:sz w:val="20"/>
          <w:szCs w:val="20"/>
          <w:color w:val="auto"/>
        </w:rPr>
      </w:pPr>
      <w:r>
        <w:rPr>
          <w:rFonts w:ascii="Times New Roman" w:cs="Times New Roman" w:eastAsia="Times New Roman" w:hAnsi="Times New Roman"/>
          <w:sz w:val="18"/>
          <w:szCs w:val="18"/>
          <w:color w:val="auto"/>
        </w:rPr>
        <w:t>At December 31, 2022, the Bank had $995.0 million in overnight borrowings with the FHLB at a cost of 4.65%, compared to $2.3 million in overnight borrowings at December 31, 2021.</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1"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Debentures</w:t>
      </w:r>
    </w:p>
    <w:p>
      <w:pPr>
        <w:spacing w:after="0" w:line="188"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On January 31, 2006, CVB Statutory Trust III completed a $25,000,000 offering of Trust Preferred Securities and used the gross proceeds from the offering and other cash totaling $25,774,000 to purchase a like amount of junior subordinated debentures of the Company. The junior subordinated debentures were issued concurrent with the issuance of the Trust Preferred Securities. The interest on junior subordinated debentures, paid by the Company to CVB Statutory Trust III, represents the sole revenues of CVB Statutory Trust III and the sole source of dividend distributions to the holders of the Trust Preferred Securities. The Company has fully and conditionally guaranteed all of CVB Statutory Trust III’s obligations under the Trust Preferred Securities. The Company has the right, assuming no default has occurred, to defer payments of interest on the junior subordinated debenture at any time for a period not to exceed 20 consecutive quarters. The Trust Preferred Securities will mature on March 15, 2036, but became callable in part or in total on March 15, 2011 by CVB Statutory Trust III. The Trust Preferred Securities have a variable per annum rate equal to LIBOR (as defined in the indenture dated as of January 31, 2006 (“Indenture”) between the Company and U.S. Bank National Association, as debenture trustee) plus 1.38% (the “Variable Rate”). These securities were redeemed on June 15, 2021.</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8" w:lineRule="exact"/>
        <w:rPr>
          <w:sz w:val="20"/>
          <w:szCs w:val="20"/>
          <w:color w:val="auto"/>
        </w:rPr>
      </w:pPr>
    </w:p>
    <w:p>
      <w:pPr>
        <w:ind w:firstLine="637"/>
        <w:spacing w:after="0" w:line="254" w:lineRule="auto"/>
        <w:rPr>
          <w:sz w:val="20"/>
          <w:szCs w:val="20"/>
          <w:color w:val="auto"/>
        </w:rPr>
      </w:pPr>
      <w:r>
        <w:rPr>
          <w:rFonts w:ascii="Times New Roman" w:cs="Times New Roman" w:eastAsia="Times New Roman" w:hAnsi="Times New Roman"/>
          <w:sz w:val="18"/>
          <w:szCs w:val="18"/>
          <w:color w:val="auto"/>
        </w:rPr>
        <w:t>At December 31, 2022 and 2021, the Bank had commitments to extend credit of approximately $1.73 billion and $1.58 billion, respectively, and obligations under letters of credit of $50.3 million and $44.9 million, respectively. Commitments to extend credit are agreements to lend to customers, provided there is no violation of any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The Bank uses the same credit underwriting policies in granting or accepting such commitments or contingent obligations as it does for on-balance-sheet instruments, which consist of evaluating customers’ creditworthiness individually. The Bank had a reserve for unfunded loan commitments of $8.0 million as of December 31, 2022 and 2021, which is included in other liabilities.</w:t>
      </w:r>
    </w:p>
    <w:p>
      <w:pPr>
        <w:spacing w:after="0" w:line="149" w:lineRule="exact"/>
        <w:rPr>
          <w:sz w:val="20"/>
          <w:szCs w:val="20"/>
          <w:color w:val="auto"/>
        </w:rPr>
      </w:pPr>
    </w:p>
    <w:p>
      <w:pPr>
        <w:ind w:right="260" w:firstLine="637"/>
        <w:spacing w:after="0" w:line="260"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the Bank holds appropriate collateral supporting those commitments. Management does not anticipate any material losses as a result of these transactions.</w:t>
      </w:r>
    </w:p>
    <w:p>
      <w:pPr>
        <w:spacing w:after="0" w:line="155" w:lineRule="exact"/>
        <w:rPr>
          <w:sz w:val="20"/>
          <w:szCs w:val="20"/>
          <w:color w:val="auto"/>
        </w:rPr>
      </w:pPr>
    </w:p>
    <w:p>
      <w:pPr>
        <w:ind w:right="40" w:firstLine="637"/>
        <w:spacing w:after="0" w:line="281" w:lineRule="auto"/>
        <w:rPr>
          <w:sz w:val="20"/>
          <w:szCs w:val="20"/>
          <w:color w:val="auto"/>
        </w:rPr>
      </w:pPr>
      <w:r>
        <w:rPr>
          <w:rFonts w:ascii="Times New Roman" w:cs="Times New Roman" w:eastAsia="Times New Roman" w:hAnsi="Times New Roman"/>
          <w:sz w:val="18"/>
          <w:szCs w:val="18"/>
          <w:color w:val="auto"/>
        </w:rPr>
        <w:t>At December 31, 2022, the Bank has available lines of credit totaling $6.77 billion from correspondent banks, FHLB and Federal Reserve Bank of which $3.85 billion were secured.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88" w:lineRule="exact"/>
        <w:rPr>
          <w:sz w:val="20"/>
          <w:szCs w:val="20"/>
          <w:color w:val="auto"/>
        </w:rPr>
      </w:pPr>
    </w:p>
    <w:p>
      <w:pPr>
        <w:ind w:firstLine="637"/>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parties to various lawsuits and threatened lawsuits in the ordinary and non-ordinary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bankruptcy-related claims and negligence claims, some of which may be styled as “class action” or representative cases. Some of these lawsuits may be similar in nature to other lawsuits pending against the Company’s competitors.</w:t>
      </w:r>
    </w:p>
    <w:p>
      <w:pPr>
        <w:spacing w:after="0" w:line="141"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6" w:right="359" w:bottom="1440" w:gutter="0" w:footer="0" w:header="0"/>
        </w:sectPr>
      </w:pPr>
    </w:p>
    <w:bookmarkStart w:id="120" w:name="page121"/>
    <w:bookmarkEnd w:id="120"/>
    <w:p>
      <w:pPr>
        <w:ind w:firstLine="644"/>
        <w:spacing w:after="0" w:line="280" w:lineRule="auto"/>
        <w:rPr>
          <w:sz w:val="20"/>
          <w:szCs w:val="20"/>
          <w:color w:val="auto"/>
        </w:rPr>
      </w:pPr>
      <w:r>
        <w:rPr>
          <w:rFonts w:ascii="Times New Roman" w:cs="Times New Roman" w:eastAsia="Times New Roman" w:hAnsi="Times New Roman"/>
          <w:sz w:val="17"/>
          <w:szCs w:val="17"/>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40" w:lineRule="exact"/>
        <w:rPr>
          <w:sz w:val="20"/>
          <w:szCs w:val="20"/>
          <w:color w:val="auto"/>
        </w:rPr>
      </w:pPr>
    </w:p>
    <w:p>
      <w:pPr>
        <w:ind w:right="80" w:firstLine="637"/>
        <w:spacing w:after="0" w:line="260" w:lineRule="auto"/>
        <w:rPr>
          <w:sz w:val="20"/>
          <w:szCs w:val="20"/>
          <w:color w:val="auto"/>
        </w:rPr>
      </w:pPr>
      <w:r>
        <w:rPr>
          <w:rFonts w:ascii="Times New Roman" w:cs="Times New Roman" w:eastAsia="Times New Roman" w:hAnsi="Times New Roman"/>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188" w:lineRule="exact"/>
        <w:rPr>
          <w:sz w:val="20"/>
          <w:szCs w:val="20"/>
          <w:color w:val="auto"/>
        </w:rPr>
      </w:pPr>
    </w:p>
    <w:p>
      <w:pPr>
        <w:ind w:right="60" w:firstLine="637"/>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 had various deferred compensation plans, which included a deferred compensation plan for its former President and Chief Executive Officer, Christopher D. Myers, and severance arrangements it assumed through the acquisition of other banks in prior years. We also offer a non-qualified deferred compensation plan for our executives and key members of management in order to assist us in attracting and retaining these individuals. Participants in the plan may elect to defer a portion of their annual salary and/or short-term incentive payouts into deferral accounts to provide a means by which they may elect to defer receipt of compensation in order to provide retirement benefits. The plan is intended to be unfunded and allows us to make discretionary contributions on behalf of a participant. No discretionary payments were made by the Company during the years ended December 31, 2022, 2021 and 2020. The Bank, however, does fund the cost of these plans through the purchase of bank owned life insurance policies, which are reflected as assets on the Company’s consolidated balance sheets. At December 31, 2022 and 2021, the total deferred compensation liability was $22.1 million and $20.9 million, respectively. Total expense for these deferred compensation agreements was approximately $534,000 for the year ended December 31, 2022, and was $1.4 million for the years ended December 31, 2021 and 2020, respectively.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and Profit Sharing Plan</w:t>
      </w:r>
    </w:p>
    <w:p>
      <w:pPr>
        <w:spacing w:after="0" w:line="202" w:lineRule="exact"/>
        <w:rPr>
          <w:sz w:val="20"/>
          <w:szCs w:val="20"/>
          <w:color w:val="auto"/>
        </w:rPr>
      </w:pPr>
    </w:p>
    <w:p>
      <w:pPr>
        <w:ind w:right="80" w:firstLine="637"/>
        <w:spacing w:after="0" w:line="258" w:lineRule="auto"/>
        <w:rPr>
          <w:sz w:val="20"/>
          <w:szCs w:val="20"/>
          <w:color w:val="auto"/>
        </w:rPr>
      </w:pPr>
      <w:r>
        <w:rPr>
          <w:rFonts w:ascii="Times New Roman" w:cs="Times New Roman" w:eastAsia="Times New Roman" w:hAnsi="Times New Roman"/>
          <w:sz w:val="18"/>
          <w:szCs w:val="18"/>
          <w:color w:val="auto"/>
        </w:rPr>
        <w:t>The Bank sponsors a 401(k) and profit-sharing plan for the benefit of its employees. Employees are eligible to participate in the plan immediately upon hire. Employees may make contributions to the plan under the plan’s 401(k) component. The Bank contributes 3%, non-matching, to the plan to comply with ERISA’s safe harbor provisions. The Bank may make additional contributions under the plan’s profit-sharing component, subject to certain limitations, which was 3% for both 2022 and 2021, compared to 2% for 2020. The Bank’s total contributions are determined by the Board of Directors and amounted to approximately $5.2 million for 2022, $5.0 million for 2021, and $4.3 million for 2020.</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16.  EARNINGS PER SHARE RECONCILIATION</w:t>
      </w:r>
    </w:p>
    <w:p>
      <w:pPr>
        <w:spacing w:after="0" w:line="188" w:lineRule="exact"/>
        <w:rPr>
          <w:sz w:val="20"/>
          <w:szCs w:val="20"/>
          <w:color w:val="auto"/>
        </w:rPr>
      </w:pPr>
    </w:p>
    <w:p>
      <w:pPr>
        <w:ind w:right="200" w:firstLine="637"/>
        <w:spacing w:after="0" w:line="258" w:lineRule="auto"/>
        <w:rPr>
          <w:sz w:val="20"/>
          <w:szCs w:val="20"/>
          <w:color w:val="auto"/>
        </w:rPr>
      </w:pPr>
      <w:r>
        <w:rPr>
          <w:rFonts w:ascii="Times New Roman" w:cs="Times New Roman" w:eastAsia="Times New Roman" w:hAnsi="Times New Roman"/>
          <w:sz w:val="18"/>
          <w:szCs w:val="18"/>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years ended December 31, 2022, 2021 and 2020, shares deemed to be antidilutive, and thus excluded from the computation of earnings per common share were 236,000, 114,000 and 291,000, respectively.</w:t>
      </w:r>
    </w:p>
    <w:p>
      <w:pPr>
        <w:spacing w:after="0" w:line="155"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The table below shows earnings per common share and diluted earnings per common share, and reconciles the numerator and denominator of both earnings per common share calculations.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w w:val="92"/>
              </w:rPr>
              <w:t>thousands, except per share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235,425</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212,521</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177,159</w:t>
            </w:r>
          </w:p>
        </w:tc>
        <w:tc>
          <w:tcPr>
            <w:tcW w:w="100" w:type="dxa"/>
            <w:vAlign w:val="bottom"/>
          </w:tcPr>
          <w:p>
            <w:pPr>
              <w:spacing w:after="0"/>
              <w:rPr>
                <w:sz w:val="20"/>
                <w:szCs w:val="20"/>
                <w:color w:val="auto"/>
              </w:rPr>
            </w:pPr>
          </w:p>
        </w:tc>
      </w:tr>
      <w:tr>
        <w:trPr>
          <w:trHeight w:val="243"/>
        </w:trPr>
        <w:tc>
          <w:tcPr>
            <w:tcW w:w="59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Less: Net earnings allocated to restricted stock</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allocated to common shareholders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233,917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211,551</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176,587</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139,652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135,165</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136,031</w:t>
            </w:r>
          </w:p>
        </w:tc>
        <w:tc>
          <w:tcPr>
            <w:tcW w:w="100" w:type="dxa"/>
            <w:vAlign w:val="bottom"/>
            <w:shd w:val="clear" w:color="auto" w:fill="CFF0FC"/>
          </w:tcPr>
          <w:p>
            <w:pPr>
              <w:spacing w:after="0"/>
              <w:rPr>
                <w:sz w:val="19"/>
                <w:szCs w:val="19"/>
                <w:color w:val="auto"/>
              </w:rPr>
            </w:pPr>
          </w:p>
        </w:tc>
      </w:tr>
      <w:tr>
        <w:trPr>
          <w:trHeight w:val="238"/>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233,917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211,551</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176,587</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139,652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135,165</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136,031</w:t>
            </w:r>
          </w:p>
        </w:tc>
        <w:tc>
          <w:tcPr>
            <w:tcW w:w="100" w:type="dxa"/>
            <w:vAlign w:val="bottom"/>
            <w:shd w:val="clear" w:color="auto" w:fill="CFF0FC"/>
          </w:tcPr>
          <w:p>
            <w:pPr>
              <w:spacing w:after="0"/>
              <w:rPr>
                <w:sz w:val="19"/>
                <w:szCs w:val="19"/>
                <w:color w:val="auto"/>
              </w:rPr>
            </w:pPr>
          </w:p>
        </w:tc>
      </w:tr>
      <w:tr>
        <w:trPr>
          <w:trHeight w:val="238"/>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Incremental shares from assumed exercise of outstanding options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r>
      <w:tr>
        <w:trPr>
          <w:trHeight w:val="240"/>
        </w:trPr>
        <w:tc>
          <w:tcPr>
            <w:tcW w:w="5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140,012</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135,382</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136,206</w:t>
            </w:r>
          </w:p>
        </w:tc>
        <w:tc>
          <w:tcPr>
            <w:tcW w:w="100" w:type="dxa"/>
            <w:vAlign w:val="bottom"/>
            <w:shd w:val="clear" w:color="auto" w:fill="CFF0FC"/>
          </w:tcPr>
          <w:p>
            <w:pPr>
              <w:spacing w:after="0"/>
              <w:rPr>
                <w:sz w:val="20"/>
                <w:szCs w:val="20"/>
                <w:color w:val="auto"/>
              </w:rPr>
            </w:pPr>
          </w:p>
        </w:tc>
      </w:tr>
      <w:tr>
        <w:trPr>
          <w:trHeight w:val="238"/>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-1506220</wp:posOffset>
            </wp:positionV>
            <wp:extent cx="68580" cy="18859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-1506220</wp:posOffset>
            </wp:positionV>
            <wp:extent cx="59690" cy="18859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4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-1506220</wp:posOffset>
            </wp:positionV>
            <wp:extent cx="59690" cy="18859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41">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COMPENSATION PLANS</w:t>
      </w:r>
    </w:p>
    <w:p>
      <w:pPr>
        <w:spacing w:after="0" w:line="202"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In May 2018, the shareholders approved the 2018 Equity Plan which authorizes the issuance of up to 9,000,000 shares of CVB’s common stock for eligible participants, which include all of the Company’s employees, officers, and directors, and expires in 2028. The plan authorizes the issuance of a variety of types of equity awards, which include incentive stock options, non-qualified stock options, restricted stock awards (“RSAs”), restricted stock units (“RSUs”), and other stock-based awards, including performance-based restricted stock units ("PRSUs"). The 2018 Equity Plan replaced the 2008 Equity Incentive Plan. No further grants will be made under the 2008 Equity Incentive Plan, but shares may continue to be issued under such plan pursuant to grants previously made. As of December 31, 2022, we have 1,386,922 outstanding options, unvested RSAs, RSUs and PRSUs under our Equity Plans.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expensed $273,000, $220,000, and $183,000, for the years ended December 31, 2022, 2021 and 2020, respectively.</w:t>
      </w:r>
    </w:p>
    <w:p>
      <w:pPr>
        <w:spacing w:after="0" w:line="198" w:lineRule="exact"/>
        <w:rPr>
          <w:sz w:val="20"/>
          <w:szCs w:val="20"/>
          <w:color w:val="auto"/>
        </w:rPr>
      </w:pPr>
    </w:p>
    <w:p>
      <w:pPr>
        <w:ind w:right="180" w:firstLine="637"/>
        <w:spacing w:after="0" w:line="260" w:lineRule="auto"/>
        <w:rPr>
          <w:sz w:val="20"/>
          <w:szCs w:val="20"/>
          <w:color w:val="auto"/>
        </w:rPr>
      </w:pPr>
      <w:r>
        <w:rPr>
          <w:rFonts w:ascii="Times New Roman" w:cs="Times New Roman" w:eastAsia="Times New Roman" w:hAnsi="Times New Roman"/>
          <w:sz w:val="18"/>
          <w:szCs w:val="18"/>
          <w:color w:val="auto"/>
        </w:rPr>
        <w:t>The estimated fair value of the options granted during 2022 and prior years was calculated using the Black-Scholes options pricing model. There were 66,000, 64,500 and 217,500 options granted during 2022, 2021 and 2020, respectively. The options will vest, in equal installments, over a five-year period. The fair value of each stock option granted in 2022, 2021 and 2020, was estimated on the date of grant using the following weighted-average assumptions.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7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0"/>
        </w:trPr>
        <w:tc>
          <w:tcPr>
            <w:tcW w:w="57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4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-453390</wp:posOffset>
            </wp:positionV>
            <wp:extent cx="6413500" cy="15430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42">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-144780</wp:posOffset>
            </wp:positionV>
            <wp:extent cx="6413500" cy="15430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43">
                      <a:extLst>
                        <a:ext uri="{28A0092B-C50C-407E-A947-70E740481C1C}"/>
                      </a:extLst>
                    </a:blip>
                    <a:srcRect/>
                    <a:stretch>
                      <a:fillRect/>
                    </a:stretch>
                  </pic:blipFill>
                  <pic:spPr bwMode="auto">
                    <a:xfrm>
                      <a:off x="0" y="0"/>
                      <a:ext cx="641350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2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 years</w:t>
            </w:r>
          </w:p>
        </w:tc>
        <w:tc>
          <w:tcPr>
            <w:tcW w:w="4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 years</w:t>
            </w:r>
          </w:p>
        </w:tc>
        <w:tc>
          <w:tcPr>
            <w:tcW w:w="4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 years</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2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8.60</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4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560" w:type="dxa"/>
            <w:vAlign w:val="bottom"/>
          </w:tcPr>
          <w:p>
            <w:pPr>
              <w:spacing w:after="0"/>
              <w:rPr>
                <w:sz w:val="21"/>
                <w:szCs w:val="21"/>
                <w:color w:val="auto"/>
              </w:rPr>
            </w:pPr>
          </w:p>
        </w:tc>
      </w:tr>
      <w:tr>
        <w:trPr>
          <w:trHeight w:val="539"/>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121</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2" w:name="page123"/>
    <w:bookmarkEnd w:id="122"/>
    <w:p>
      <w:pPr>
        <w:ind w:right="80" w:firstLine="637"/>
        <w:spacing w:after="0" w:line="258" w:lineRule="auto"/>
        <w:rPr>
          <w:sz w:val="20"/>
          <w:szCs w:val="20"/>
          <w:color w:val="auto"/>
        </w:rPr>
      </w:pPr>
      <w:r>
        <w:rPr>
          <w:rFonts w:ascii="Times New Roman" w:cs="Times New Roman" w:eastAsia="Times New Roman" w:hAnsi="Times New Roman"/>
          <w:sz w:val="18"/>
          <w:szCs w:val="18"/>
          <w:color w:val="auto"/>
        </w:rPr>
        <w:t>The expected volatility is solely based on the daily historical stock price volatility over the expected option life. The expected life of options granted is derived from the output of the option valuation model and represents the period of time an optionee will hold an option before exercising it. The risk-free rate for periods within the contractual life of the option is based on the U.S. Treasury five-year constant maturity yield curve in effect at the time of the grant. In connection with the adoption of ASU 2016-09 in 2017, the Company elected to account for forfeitures as they occur, rather than to estimate forfeitures over the vesting period.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as of and for the year ended December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00" w:type="dxa"/>
            <w:vAlign w:val="bottom"/>
          </w:tcPr>
          <w:p>
            <w:pPr>
              <w:spacing w:after="0"/>
              <w:rPr>
                <w:sz w:val="18"/>
                <w:szCs w:val="18"/>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00" w:type="dxa"/>
            <w:vAlign w:val="bottom"/>
          </w:tcPr>
          <w:p>
            <w:pPr>
              <w:spacing w:after="0"/>
              <w:rPr>
                <w:sz w:val="18"/>
                <w:szCs w:val="18"/>
                <w:color w:val="auto"/>
              </w:rPr>
            </w:pPr>
          </w:p>
        </w:tc>
      </w:tr>
      <w:tr>
        <w:trPr>
          <w:trHeight w:val="245"/>
        </w:trPr>
        <w:tc>
          <w:tcPr>
            <w:tcW w:w="6640" w:type="dxa"/>
            <w:vAlign w:val="bottom"/>
          </w:tcPr>
          <w:p>
            <w:pPr>
              <w:spacing w:after="0"/>
              <w:rPr>
                <w:sz w:val="21"/>
                <w:szCs w:val="21"/>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1"/>
                <w:szCs w:val="21"/>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1"/>
                <w:szCs w:val="21"/>
                <w:color w:val="auto"/>
              </w:rPr>
            </w:pPr>
          </w:p>
        </w:tc>
      </w:tr>
      <w:tr>
        <w:trPr>
          <w:trHeight w:val="221"/>
        </w:trPr>
        <w:tc>
          <w:tcPr>
            <w:tcW w:w="664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(In years)</w:t>
            </w:r>
          </w:p>
        </w:tc>
        <w:tc>
          <w:tcPr>
            <w:tcW w:w="100" w:type="dxa"/>
            <w:vAlign w:val="bottom"/>
          </w:tcPr>
          <w:p>
            <w:pPr>
              <w:spacing w:after="0"/>
              <w:rPr>
                <w:sz w:val="19"/>
                <w:szCs w:val="19"/>
                <w:color w:val="auto"/>
              </w:rPr>
            </w:pPr>
          </w:p>
        </w:tc>
        <w:tc>
          <w:tcPr>
            <w:tcW w:w="10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9"/>
                <w:szCs w:val="19"/>
                <w:color w:val="auto"/>
              </w:rPr>
            </w:pPr>
          </w:p>
        </w:tc>
      </w:tr>
      <w:tr>
        <w:trPr>
          <w:trHeight w:val="25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 or expired</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December 31,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9"/>
                <w:szCs w:val="19"/>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4954270</wp:posOffset>
            </wp:positionH>
            <wp:positionV relativeFrom="paragraph">
              <wp:posOffset>-333375</wp:posOffset>
            </wp:positionV>
            <wp:extent cx="762000" cy="17970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46">
                      <a:extLst>
                        <a:ext uri="{28A0092B-C50C-407E-A947-70E740481C1C}"/>
                      </a:extLst>
                    </a:blip>
                    <a:srcRect/>
                    <a:stretch>
                      <a:fillRect/>
                    </a:stretch>
                  </pic:blipFill>
                  <pic:spPr bwMode="auto">
                    <a:xfrm>
                      <a:off x="0" y="0"/>
                      <a:ext cx="762000" cy="179705"/>
                    </a:xfrm>
                    <a:prstGeom prst="rect">
                      <a:avLst/>
                    </a:prstGeom>
                    <a:noFill/>
                  </pic:spPr>
                </pic:pic>
              </a:graphicData>
            </a:graphic>
          </wp:anchor>
        </w:drawing>
      </w:r>
    </w:p>
    <w:p>
      <w:pPr>
        <w:spacing w:after="0" w:line="177" w:lineRule="exact"/>
        <w:rPr>
          <w:sz w:val="20"/>
          <w:szCs w:val="20"/>
          <w:color w:val="auto"/>
        </w:rPr>
      </w:pPr>
    </w:p>
    <w:p>
      <w:pPr>
        <w:jc w:val="both"/>
        <w:ind w:right="20" w:firstLine="637"/>
        <w:spacing w:after="0" w:line="281"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2022, 2021 and 2020 was $1.0 million, $262,000 and $144,000, respectively.</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2022, there was a total of $623,000 in unrecognized compensation cost related to nonvested options granted under the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cost is expected to be recognized over a weighted-average period of approximately 3.4 years. The total fair value of options vested was $203,000,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$258,000 and $183,000 during 2022, 2021 and 2020, respectively. Cash received from stock option exercises was $1.9 million, $1.3 million and $232,000,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2021 and 2020, respectively.</w:t>
      </w:r>
    </w:p>
    <w:p>
      <w:pPr>
        <w:spacing w:after="0" w:line="166" w:lineRule="exact"/>
        <w:rPr>
          <w:sz w:val="20"/>
          <w:szCs w:val="20"/>
          <w:color w:val="auto"/>
        </w:rPr>
      </w:pPr>
    </w:p>
    <w:p>
      <w:pPr>
        <w:ind w:right="380" w:firstLine="637"/>
        <w:spacing w:after="0" w:line="281" w:lineRule="auto"/>
        <w:rPr>
          <w:sz w:val="20"/>
          <w:szCs w:val="20"/>
          <w:color w:val="auto"/>
        </w:rPr>
      </w:pPr>
      <w:r>
        <w:rPr>
          <w:rFonts w:ascii="Times New Roman" w:cs="Times New Roman" w:eastAsia="Times New Roman" w:hAnsi="Times New Roman"/>
          <w:sz w:val="18"/>
          <w:szCs w:val="18"/>
          <w:color w:val="auto"/>
        </w:rPr>
        <w:t>At December 31, 2022, options for the purchase of 317,820 shares of CVB’s common stock were outstanding under the above plans, of which options to purchase 152,220 shares were exercisable at prices ranging from $12.68 to $24.83.</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has a policy of issuing new shares to satisfy share option exercises.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Restricted Stock Units and Performance-Based Restricted Stock Units</w:t>
      </w:r>
    </w:p>
    <w:p>
      <w:pPr>
        <w:spacing w:after="0" w:line="188" w:lineRule="exact"/>
        <w:rPr>
          <w:sz w:val="20"/>
          <w:szCs w:val="20"/>
          <w:color w:val="auto"/>
        </w:rPr>
      </w:pPr>
    </w:p>
    <w:p>
      <w:pPr>
        <w:ind w:firstLine="637"/>
        <w:spacing w:after="0" w:line="265" w:lineRule="auto"/>
        <w:rPr>
          <w:sz w:val="20"/>
          <w:szCs w:val="20"/>
          <w:color w:val="auto"/>
        </w:rPr>
      </w:pPr>
      <w:r>
        <w:rPr>
          <w:rFonts w:ascii="Times New Roman" w:cs="Times New Roman" w:eastAsia="Times New Roman" w:hAnsi="Times New Roman"/>
          <w:sz w:val="18"/>
          <w:szCs w:val="18"/>
          <w:color w:val="auto"/>
        </w:rPr>
        <w:t>The Company granted 674,961, 394,884 and 358,464 restricted stock awards during 2022, 2021 and 2020 respectively. The weighted average grant date fair value of RSAs, RSUs and PRSUs granted in 2022, 2021 and 2020 was $22.82 per share, $20.43 per share and $18.20 per share, respectively. These awards will vest, in equal installments, over a period of approximately one to five years.</w:t>
      </w:r>
    </w:p>
    <w:p>
      <w:pPr>
        <w:spacing w:after="0" w:line="150" w:lineRule="exact"/>
        <w:rPr>
          <w:sz w:val="20"/>
          <w:szCs w:val="20"/>
          <w:color w:val="auto"/>
        </w:rPr>
      </w:pPr>
    </w:p>
    <w:p>
      <w:pPr>
        <w:jc w:val="both"/>
        <w:ind w:right="180" w:firstLine="637"/>
        <w:spacing w:after="0" w:line="265" w:lineRule="auto"/>
        <w:rPr>
          <w:sz w:val="20"/>
          <w:szCs w:val="20"/>
          <w:color w:val="auto"/>
        </w:rPr>
      </w:pPr>
      <w:r>
        <w:rPr>
          <w:rFonts w:ascii="Times New Roman" w:cs="Times New Roman" w:eastAsia="Times New Roman" w:hAnsi="Times New Roman"/>
          <w:sz w:val="18"/>
          <w:szCs w:val="18"/>
          <w:color w:val="auto"/>
        </w:rPr>
        <w:t>Compensation cost is recognized over the requisite service period, which is approximately one to five years, and amounted to $7.6 million, $5.0 million and $5.3 million during the years ended December 31, 2022, 2021 and 2020, respectively. Total unrecognized compensation cost related to RSAs and PRSUs was $15.6 million at December 31, 2022.</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activity related to the Company’s non-vested RSAs and PRSUs for the year ended December 31, 2022.</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8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80" w:type="dxa"/>
            <w:vAlign w:val="bottom"/>
          </w:tcPr>
          <w:p>
            <w:pPr>
              <w:spacing w:after="0"/>
              <w:rPr>
                <w:sz w:val="18"/>
                <w:szCs w:val="18"/>
                <w:color w:val="auto"/>
              </w:rPr>
            </w:pPr>
          </w:p>
        </w:tc>
      </w:tr>
      <w:tr>
        <w:trPr>
          <w:trHeight w:val="245"/>
        </w:trPr>
        <w:tc>
          <w:tcPr>
            <w:tcW w:w="6040" w:type="dxa"/>
            <w:vAlign w:val="bottom"/>
          </w:tcPr>
          <w:p>
            <w:pPr>
              <w:spacing w:after="0"/>
              <w:rPr>
                <w:sz w:val="21"/>
                <w:szCs w:val="21"/>
                <w:color w:val="auto"/>
              </w:rPr>
            </w:pPr>
          </w:p>
        </w:tc>
        <w:tc>
          <w:tcPr>
            <w:tcW w:w="12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1"/>
                <w:szCs w:val="21"/>
                <w:color w:val="auto"/>
              </w:rPr>
            </w:pPr>
          </w:p>
        </w:tc>
      </w:tr>
      <w:tr>
        <w:trPr>
          <w:trHeight w:val="221"/>
        </w:trPr>
        <w:tc>
          <w:tcPr>
            <w:tcW w:w="604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1"/>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shd w:val="clear" w:color="auto" w:fill="CFF0FC"/>
          </w:tcPr>
          <w:p>
            <w:pPr>
              <w:spacing w:after="0"/>
              <w:rPr>
                <w:sz w:val="21"/>
                <w:szCs w:val="21"/>
                <w:color w:val="auto"/>
              </w:rPr>
            </w:pPr>
          </w:p>
        </w:tc>
      </w:tr>
      <w:tr>
        <w:trPr>
          <w:trHeight w:val="238"/>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20"/>
                <w:szCs w:val="20"/>
                <w:color w:val="auto"/>
              </w:rPr>
            </w:pPr>
          </w:p>
        </w:tc>
      </w:tr>
      <w:tr>
        <w:trPr>
          <w:trHeight w:val="247"/>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80" w:type="dxa"/>
            <w:vAlign w:val="bottom"/>
            <w:shd w:val="clear" w:color="auto" w:fill="CFF0FC"/>
          </w:tcPr>
          <w:p>
            <w:pPr>
              <w:spacing w:after="0"/>
              <w:rPr>
                <w:sz w:val="21"/>
                <w:szCs w:val="21"/>
                <w:color w:val="auto"/>
              </w:rPr>
            </w:pPr>
          </w:p>
        </w:tc>
      </w:tr>
      <w:tr>
        <w:trPr>
          <w:trHeight w:val="238"/>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80" w:type="dxa"/>
            <w:vAlign w:val="bottom"/>
          </w:tcPr>
          <w:p>
            <w:pPr>
              <w:spacing w:after="0"/>
              <w:rPr>
                <w:sz w:val="20"/>
                <w:szCs w:val="20"/>
                <w:color w:val="auto"/>
              </w:rPr>
            </w:pPr>
          </w:p>
        </w:tc>
      </w:tr>
      <w:tr>
        <w:trPr>
          <w:trHeight w:val="276"/>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-24765</wp:posOffset>
            </wp:positionV>
            <wp:extent cx="596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596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(1) Includes 172,313 PRSUs. There are no restricted stock units outstanding.</w:t>
      </w:r>
    </w:p>
    <w:p>
      <w:pPr>
        <w:spacing w:after="0" w:line="230" w:lineRule="exact"/>
        <w:rPr>
          <w:sz w:val="20"/>
          <w:szCs w:val="20"/>
          <w:color w:val="auto"/>
        </w:rPr>
      </w:pPr>
    </w:p>
    <w:p>
      <w:pPr>
        <w:ind w:right="480" w:firstLine="637"/>
        <w:spacing w:after="0" w:line="281" w:lineRule="auto"/>
        <w:rPr>
          <w:sz w:val="20"/>
          <w:szCs w:val="20"/>
          <w:color w:val="auto"/>
        </w:rPr>
      </w:pPr>
      <w:r>
        <w:rPr>
          <w:rFonts w:ascii="Times New Roman" w:cs="Times New Roman" w:eastAsia="Times New Roman" w:hAnsi="Times New Roman"/>
          <w:sz w:val="18"/>
          <w:szCs w:val="18"/>
          <w:color w:val="auto"/>
        </w:rPr>
        <w:t>Under the 2018 Equity Incentive Plan, 6,829,373 shares of common stock were available for the granting of future stock-based awards as of December 31, 2022.</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18.  REGULATORY MATTERS</w:t>
      </w:r>
    </w:p>
    <w:p>
      <w:pPr>
        <w:spacing w:after="0" w:line="188" w:lineRule="exact"/>
        <w:rPr>
          <w:sz w:val="20"/>
          <w:szCs w:val="20"/>
          <w:color w:val="auto"/>
        </w:rPr>
      </w:pPr>
    </w:p>
    <w:p>
      <w:pPr>
        <w:ind w:right="20" w:firstLine="637"/>
        <w:spacing w:after="0" w:line="255" w:lineRule="auto"/>
        <w:rPr>
          <w:sz w:val="20"/>
          <w:szCs w:val="20"/>
          <w:color w:val="auto"/>
        </w:rPr>
      </w:pPr>
      <w:r>
        <w:rPr>
          <w:rFonts w:ascii="Times New Roman" w:cs="Times New Roman" w:eastAsia="Times New Roman" w:hAnsi="Times New Roman"/>
          <w:sz w:val="18"/>
          <w:szCs w:val="18"/>
          <w:color w:val="auto"/>
        </w:rPr>
        <w:t>The Company (on a consolidated basis) and the Bank are subject to various regulatory capital requirements administered by the federal banking regulatory agencies. Failure to meet minimum capital requirements can initiate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Bank must meet specific capital guidelines that involve quantitative measures of assets, liabilities, and certain off-balance-sheet items as calculated under regulatory accounting practices. The capital amounts and classification are also subject to qualitative judgment by the regulators about components, risk-weightings, and other factors. Prompt corrective action provisions are not applicable to bank holding companies.</w:t>
      </w:r>
    </w:p>
    <w:p>
      <w:pPr>
        <w:spacing w:after="0" w:line="160"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The Bank and the Company are required to meet risk-based capital standards under the revised capital framework referred to as Basel III set by their respective regulatory authorities. The risk-based capital standards require the achievement of a minimum common equity Tier 1 (“CET1”) capital ratio of 4.5%, Tier 1 risk-based capital ratio of 6.0% and total risk-based capital ratio of 8.0%. In addition, the regulatory authorities require the highest rated institutions to maintain a minimum leverage ratio of 4.0%. To be considered “well-capitalized” for bank regulatory purposes, the Bank and the Company are required to have a Tier 1 leverage ratio equal to or greater than 5.0%, a CET1 capital ratio equal to or greater than 6.5%, a Tier 1 risk-based capital ratio equal to or greater than 8.0%, a total risk-based capital ratio equal to or greater than 10.0%. In addition to meeting the minimum capital requirements, under the Basel III Capital Rules, the Company and the Bank must also maintain the required Capital Conservation Buffer to avoid becoming subject to restrictions on capital distributions and certain discretionary bonus payments to management. The Capital Conservation Buffer is calculated as a ratio of CET1 capital to risk-weighted assets, and it effectively increases the required minimum risk-based capital ratios. The Capital Conservation Buffer is now at its fully phased-in level of 2.5% and with the minimum required plus capital conservation buffer of 7.0% for common equity Tier 1 (“CET1”) capital ratio, a Tier 1 risk-based capital ratio of 8.5% and a 10.5% for total risk-based capital ratio.</w:t>
      </w:r>
    </w:p>
    <w:p>
      <w:pPr>
        <w:spacing w:after="0" w:line="148" w:lineRule="exact"/>
        <w:rPr>
          <w:sz w:val="20"/>
          <w:szCs w:val="20"/>
          <w:color w:val="auto"/>
        </w:rPr>
      </w:pPr>
    </w:p>
    <w:p>
      <w:pPr>
        <w:ind w:right="60" w:firstLine="637"/>
        <w:spacing w:after="0" w:line="260"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the Bank to maintain minimum amounts and ratios (set forth in the table below) of total capital, Tier 1 capital and CET1 capital to risk-weighted assets, and of Tier 1 capital to average assets. Management believes that, as of December 31, 2022 and 2021, the Company and the Bank meet all capital adequacy requirements to which they are subject.</w:t>
      </w:r>
    </w:p>
    <w:p>
      <w:pPr>
        <w:spacing w:after="0" w:line="141"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As of December 31, 2022 and 2021, the most recent notifications from the FDIC categorized the Bank as well capitalized under the regulatory framework for prompt corrective action. To be categorized as well capitalized, the minimum total risk-based, Tier 1 risk-based, CET1 risk-based, and Tier 1 leverage (tangible Tier 1 capital divided by average total assets) ratios as set forth in the table below must be maintained. There are no conditions or events since said notification that management believes have changed the Bank’s category.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25" w:name="page126"/>
    <w:bookmarkEnd w:id="125"/>
    <w:p>
      <w:pPr>
        <w:ind w:right="620" w:firstLine="644"/>
        <w:spacing w:after="0" w:line="281" w:lineRule="auto"/>
        <w:rPr>
          <w:sz w:val="20"/>
          <w:szCs w:val="20"/>
          <w:color w:val="auto"/>
        </w:rPr>
      </w:pPr>
      <w:r>
        <w:rPr>
          <w:rFonts w:ascii="Times New Roman" w:cs="Times New Roman" w:eastAsia="Times New Roman" w:hAnsi="Times New Roman"/>
          <w:sz w:val="18"/>
          <w:szCs w:val="18"/>
          <w:color w:val="auto"/>
        </w:rPr>
        <w:t>As of December 31, 2020, the Company had $25.8 million of trust-preferred securities, which were included in Tier 1 capital for regulatory purposes, respectively. These securities were redeemed on June 15, 2021.</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regulatory capital amounts and ratios for the Company and the Bank as of December 31, 2022 and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5"/>
              </w:rPr>
              <w:t>To Be Well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Minimum Required Plus</w:t>
            </w:r>
          </w:p>
        </w:tc>
        <w:tc>
          <w:tcPr>
            <w:tcW w:w="220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Capitalized under</w:t>
            </w:r>
          </w:p>
        </w:tc>
      </w:tr>
      <w:tr>
        <w:trPr>
          <w:trHeight w:val="216"/>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Capital Conservation</w:t>
            </w:r>
          </w:p>
        </w:tc>
        <w:tc>
          <w:tcPr>
            <w:tcW w:w="220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Prompt Corrective</w:t>
            </w:r>
          </w:p>
        </w:tc>
      </w:tr>
      <w:tr>
        <w:trPr>
          <w:trHeight w:val="245"/>
        </w:trPr>
        <w:tc>
          <w:tcPr>
            <w:tcW w:w="4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9"/>
              </w:rPr>
              <w:t>Buffer</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40"/>
        </w:trPr>
        <w:tc>
          <w:tcPr>
            <w:tcW w:w="4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1"/>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4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Company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1,525,162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9.53 %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639,881</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4.00 %</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1"/>
                <w:szCs w:val="21"/>
                <w:color w:val="auto"/>
              </w:rPr>
            </w:pPr>
          </w:p>
        </w:tc>
      </w:tr>
      <w:tr>
        <w:trPr>
          <w:trHeight w:val="238"/>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9.42 %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639,816</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799,769</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1,525,162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13.55 %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788,184</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7.00 %</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r>
        <w:trPr>
          <w:trHeight w:val="238"/>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13.39 %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788,037</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731,748</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43"/>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4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Company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1,525,162</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13.55 %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957,080</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8.50 %</w:t>
            </w: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2"/>
                <w:szCs w:val="22"/>
                <w:color w:val="auto"/>
              </w:rPr>
            </w:pPr>
          </w:p>
        </w:tc>
      </w:tr>
      <w:tr>
        <w:trPr>
          <w:trHeight w:val="238"/>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13.39 %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956,902</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900,614</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1,618,279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14.37 %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1,182,276</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10.50 %</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r>
        <w:trPr>
          <w:trHeight w:val="238"/>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1,600,463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14.22 %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1,182,055</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1,125,767</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9.18 %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613,072</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4.00 %</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r>
        <w:trPr>
          <w:trHeight w:val="238"/>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1,363,879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8.90 %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612,983</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766,229</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43"/>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4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Company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1,406,434</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14.86 %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662,520</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7.00 %</w:t>
            </w: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2"/>
                <w:szCs w:val="22"/>
                <w:color w:val="auto"/>
              </w:rPr>
            </w:pPr>
          </w:p>
        </w:tc>
      </w:tr>
      <w:tr>
        <w:trPr>
          <w:trHeight w:val="238"/>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1,363,879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14.41 %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662,494</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615,173</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14.86 %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804,489</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8.50 %</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r>
        <w:trPr>
          <w:trHeight w:val="238"/>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1,363,879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14.41 %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804,457</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757,136</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43"/>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4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Company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1,479,453</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15.63 %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993,780</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10.50 %</w:t>
            </w: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2"/>
                <w:szCs w:val="22"/>
                <w:color w:val="auto"/>
              </w:rPr>
            </w:pPr>
          </w:p>
        </w:tc>
      </w:tr>
      <w:tr>
        <w:trPr>
          <w:trHeight w:val="234"/>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15.18 %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993,741</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946,420</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-3076575</wp:posOffset>
            </wp:positionV>
            <wp:extent cx="7132320" cy="15430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-2151380</wp:posOffset>
            </wp:positionV>
            <wp:extent cx="7132320" cy="15430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-1535430</wp:posOffset>
            </wp:positionV>
            <wp:extent cx="7132320" cy="15430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5430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the California Financial Code limits the amount of dividends a bank can pay without obtaining prior approval from bank regulators.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law, the Bank could, as of December 31, 2022, declare and pay additional dividends of approximately $98.7 million.</w:t>
      </w:r>
    </w:p>
    <w:p>
      <w:pPr>
        <w:spacing w:after="0" w:line="3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19.  FAIR VALUE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02" w:lineRule="exact"/>
        <w:rPr>
          <w:sz w:val="20"/>
          <w:szCs w:val="20"/>
          <w:color w:val="auto"/>
        </w:rPr>
      </w:pPr>
    </w:p>
    <w:p>
      <w:pPr>
        <w:ind w:right="140" w:firstLine="637"/>
        <w:spacing w:after="0" w:line="281"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22" w:lineRule="exact"/>
        <w:rPr>
          <w:sz w:val="20"/>
          <w:szCs w:val="20"/>
          <w:color w:val="auto"/>
        </w:rPr>
      </w:pPr>
    </w:p>
    <w:p>
      <w:pPr>
        <w:ind w:right="180" w:firstLine="637"/>
        <w:spacing w:after="0" w:line="281" w:lineRule="auto"/>
        <w:rPr>
          <w:sz w:val="20"/>
          <w:szCs w:val="20"/>
          <w:color w:val="auto"/>
        </w:rPr>
      </w:pPr>
      <w:r>
        <w:rPr>
          <w:rFonts w:ascii="Times New Roman" w:cs="Times New Roman" w:eastAsia="Times New Roman" w:hAnsi="Times New Roman"/>
          <w:sz w:val="18"/>
          <w:szCs w:val="18"/>
          <w:color w:val="auto"/>
        </w:rPr>
        <w:t>The following disclosure provides the fair value information for financial assets and liabilities as of December 31, 2022. The fair value hierarchy prioritizes the inputs to valuation techniques used to measure fair value into three broad levels (Level 1, Level 2 and Level 3).</w:t>
      </w:r>
    </w:p>
    <w:p>
      <w:pPr>
        <w:spacing w:after="0" w:line="120" w:lineRule="exact"/>
        <w:rPr>
          <w:sz w:val="20"/>
          <w:szCs w:val="20"/>
          <w:color w:val="auto"/>
        </w:rPr>
      </w:pPr>
    </w:p>
    <w:p>
      <w:pPr>
        <w:ind w:left="1660" w:right="180" w:hanging="379"/>
        <w:spacing w:after="0" w:line="261" w:lineRule="auto"/>
        <w:tabs>
          <w:tab w:leader="none" w:pos="1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 in active markets that are accessible at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 w:lineRule="exact"/>
        <w:rPr>
          <w:rFonts w:ascii="Times New Roman" w:cs="Times New Roman" w:eastAsia="Times New Roman" w:hAnsi="Times New Roman"/>
          <w:sz w:val="18"/>
          <w:szCs w:val="18"/>
          <w:color w:val="auto"/>
        </w:rPr>
      </w:pPr>
    </w:p>
    <w:p>
      <w:pPr>
        <w:ind w:left="1660" w:right="160" w:hanging="379"/>
        <w:spacing w:after="0" w:line="250" w:lineRule="auto"/>
        <w:tabs>
          <w:tab w:leader="none" w:pos="1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including quoted prices for similar assets and liabilities in active markets,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less active markets, or other observable inputs or model-derived valuations that can be corroborated by observable market data, either directly or indirectly, for substantially the full term of the financial instrument.</w:t>
      </w:r>
    </w:p>
    <w:p>
      <w:pPr>
        <w:ind w:left="1660" w:right="120" w:hanging="379"/>
        <w:spacing w:after="0" w:line="255" w:lineRule="auto"/>
        <w:tabs>
          <w:tab w:leader="none" w:pos="1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 techniques that require inputs that are both significant to the fair value measurement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unobservable. These valuation methodologies generally include pricing models, discounted cash flow models, or a determination of fair value that requires significant management judgment or estimation.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tables below present the balances of assets and liabilities measured at fair value on a recurring basis for the dates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15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7"/>
                <w:szCs w:val="17"/>
                <w:color w:val="auto"/>
              </w:rPr>
            </w:pPr>
          </w:p>
        </w:tc>
      </w:tr>
      <w:tr>
        <w:trPr>
          <w:trHeight w:val="202"/>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Carrying Value at</w:t>
            </w:r>
          </w:p>
        </w:tc>
        <w:tc>
          <w:tcPr>
            <w:tcW w:w="120" w:type="dxa"/>
            <w:vAlign w:val="bottom"/>
          </w:tcPr>
          <w:p>
            <w:pPr>
              <w:spacing w:after="0"/>
              <w:rPr>
                <w:sz w:val="17"/>
                <w:szCs w:val="17"/>
                <w:color w:val="auto"/>
              </w:rPr>
            </w:pPr>
          </w:p>
        </w:tc>
        <w:tc>
          <w:tcPr>
            <w:tcW w:w="19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5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100" w:type="dxa"/>
            <w:vAlign w:val="bottom"/>
          </w:tcPr>
          <w:p>
            <w:pPr>
              <w:spacing w:after="0"/>
              <w:rPr>
                <w:sz w:val="17"/>
                <w:szCs w:val="17"/>
                <w:color w:val="auto"/>
              </w:rPr>
            </w:pPr>
          </w:p>
        </w:tc>
      </w:tr>
      <w:tr>
        <w:trPr>
          <w:trHeight w:val="225"/>
        </w:trPr>
        <w:tc>
          <w:tcPr>
            <w:tcW w:w="4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Pr>
          <w:p>
            <w:pPr>
              <w:spacing w:after="0"/>
              <w:rPr>
                <w:sz w:val="19"/>
                <w:szCs w:val="19"/>
                <w:color w:val="auto"/>
              </w:rPr>
            </w:pPr>
          </w:p>
        </w:tc>
      </w:tr>
      <w:tr>
        <w:trPr>
          <w:trHeight w:val="204"/>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gridSpan w:val="4"/>
          </w:tcPr>
          <w:p>
            <w:pPr>
              <w:ind w:left="9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4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4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2,789,141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2,789,141</w:t>
            </w:r>
          </w:p>
        </w:tc>
        <w:tc>
          <w:tcPr>
            <w:tcW w:w="3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20" w:type="dxa"/>
            <w:vAlign w:val="bottom"/>
            <w:gridSpan w:val="3"/>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0"/>
        </w:trPr>
        <w:tc>
          <w:tcPr>
            <w:tcW w:w="4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2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3,255,211</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3,255,211</w:t>
            </w:r>
          </w:p>
        </w:tc>
        <w:tc>
          <w:tcPr>
            <w:tcW w:w="1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38"/>
        </w:trPr>
        <w:tc>
          <w:tcPr>
            <w:tcW w:w="4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78"/>
        </w:trPr>
        <w:tc>
          <w:tcPr>
            <w:tcW w:w="42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3,255,293</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480" w:type="dxa"/>
            <w:vAlign w:val="bottom"/>
            <w:tcBorders>
              <w:top w:val="single" w:sz="8" w:color="auto"/>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3,255,293</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400" w:type="dxa"/>
            <w:vAlign w:val="bottom"/>
            <w:tcBorders>
              <w:top w:val="single" w:sz="8" w:color="auto"/>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8"/>
        </w:trPr>
        <w:tc>
          <w:tcPr>
            <w:tcW w:w="4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4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3"/>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-941070</wp:posOffset>
            </wp:positionV>
            <wp:extent cx="3459480" cy="17970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59">
                      <a:extLst>
                        <a:ext uri="{28A0092B-C50C-407E-A947-70E740481C1C}"/>
                      </a:extLst>
                    </a:blip>
                    <a:srcRect/>
                    <a:stretch>
                      <a:fillRect/>
                    </a:stretch>
                  </pic:blipFill>
                  <pic:spPr bwMode="auto">
                    <a:xfrm>
                      <a:off x="0" y="0"/>
                      <a:ext cx="3459480" cy="17970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-607060</wp:posOffset>
            </wp:positionV>
            <wp:extent cx="76835" cy="18859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6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-607060</wp:posOffset>
            </wp:positionV>
            <wp:extent cx="68580" cy="18859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-607060</wp:posOffset>
            </wp:positionV>
            <wp:extent cx="68580" cy="18859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-607060</wp:posOffset>
            </wp:positionV>
            <wp:extent cx="68580" cy="18859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2"/>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7"/>
                <w:szCs w:val="17"/>
                <w:color w:val="auto"/>
              </w:rPr>
            </w:pPr>
          </w:p>
        </w:tc>
      </w:tr>
      <w:tr>
        <w:trPr>
          <w:trHeight w:val="202"/>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Carrying Value at</w:t>
            </w:r>
          </w:p>
        </w:tc>
        <w:tc>
          <w:tcPr>
            <w:tcW w:w="1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100" w:type="dxa"/>
            <w:vAlign w:val="bottom"/>
          </w:tcPr>
          <w:p>
            <w:pPr>
              <w:spacing w:after="0"/>
              <w:rPr>
                <w:sz w:val="17"/>
                <w:szCs w:val="17"/>
                <w:color w:val="auto"/>
              </w:rPr>
            </w:pPr>
          </w:p>
        </w:tc>
      </w:tr>
      <w:tr>
        <w:trPr>
          <w:trHeight w:val="225"/>
        </w:trPr>
        <w:tc>
          <w:tcPr>
            <w:tcW w:w="4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Pr>
          <w:p>
            <w:pPr>
              <w:spacing w:after="0"/>
              <w:rPr>
                <w:sz w:val="19"/>
                <w:szCs w:val="19"/>
                <w:color w:val="auto"/>
              </w:rPr>
            </w:pPr>
          </w:p>
        </w:tc>
      </w:tr>
      <w:tr>
        <w:trPr>
          <w:trHeight w:val="204"/>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3"/>
          </w:tcPr>
          <w:p>
            <w:pPr>
              <w:ind w:left="10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4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4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2,563,214</w:t>
            </w: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2,563,214</w:t>
            </w: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590,158</w:t>
            </w:r>
          </w:p>
        </w:tc>
        <w:tc>
          <w:tcPr>
            <w:tcW w:w="140" w:type="dxa"/>
            <w:vAlign w:val="bottom"/>
          </w:tcPr>
          <w:p>
            <w:pPr>
              <w:spacing w:after="0"/>
              <w:rPr>
                <w:sz w:val="20"/>
                <w:szCs w:val="20"/>
                <w:color w:val="auto"/>
              </w:rPr>
            </w:pPr>
          </w:p>
        </w:tc>
        <w:tc>
          <w:tcPr>
            <w:tcW w:w="174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590,158</w:t>
            </w:r>
          </w:p>
        </w:tc>
        <w:tc>
          <w:tcPr>
            <w:tcW w:w="120" w:type="dxa"/>
            <w:vAlign w:val="bottom"/>
          </w:tcPr>
          <w:p>
            <w:pPr>
              <w:spacing w:after="0"/>
              <w:rPr>
                <w:sz w:val="20"/>
                <w:szCs w:val="20"/>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Pr>
          <w:p>
            <w:pPr>
              <w:spacing w:after="0"/>
              <w:rPr>
                <w:sz w:val="20"/>
                <w:szCs w:val="20"/>
                <w:color w:val="auto"/>
              </w:rPr>
            </w:pPr>
          </w:p>
        </w:tc>
        <w:tc>
          <w:tcPr>
            <w:tcW w:w="174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20"/>
                <w:szCs w:val="20"/>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0"/>
        </w:trPr>
        <w:tc>
          <w:tcPr>
            <w:tcW w:w="4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2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14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12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38"/>
        </w:trPr>
        <w:tc>
          <w:tcPr>
            <w:tcW w:w="4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40" w:type="dxa"/>
            <w:vAlign w:val="bottom"/>
          </w:tcPr>
          <w:p>
            <w:pPr>
              <w:spacing w:after="0"/>
              <w:rPr>
                <w:sz w:val="20"/>
                <w:szCs w:val="20"/>
                <w:color w:val="auto"/>
              </w:rPr>
            </w:pPr>
          </w:p>
        </w:tc>
        <w:tc>
          <w:tcPr>
            <w:tcW w:w="174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20" w:type="dxa"/>
            <w:vAlign w:val="bottom"/>
          </w:tcPr>
          <w:p>
            <w:pPr>
              <w:spacing w:after="0"/>
              <w:rPr>
                <w:sz w:val="20"/>
                <w:szCs w:val="20"/>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78"/>
        </w:trPr>
        <w:tc>
          <w:tcPr>
            <w:tcW w:w="42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3,198,086</w:t>
            </w:r>
          </w:p>
        </w:tc>
        <w:tc>
          <w:tcPr>
            <w:tcW w:w="14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top w:val="single" w:sz="8" w:color="auto"/>
              <w:bottom w:val="single" w:sz="8" w:color="auto"/>
            </w:tcBorders>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3,198,086</w:t>
            </w:r>
          </w:p>
        </w:tc>
        <w:tc>
          <w:tcPr>
            <w:tcW w:w="12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top w:val="single" w:sz="8" w:color="auto"/>
              <w:bottom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8"/>
        </w:trPr>
        <w:tc>
          <w:tcPr>
            <w:tcW w:w="4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4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2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4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40" w:type="dxa"/>
            <w:vAlign w:val="bottom"/>
          </w:tcPr>
          <w:p>
            <w:pPr>
              <w:spacing w:after="0"/>
              <w:rPr>
                <w:sz w:val="20"/>
                <w:szCs w:val="20"/>
                <w:color w:val="auto"/>
              </w:rPr>
            </w:pPr>
          </w:p>
        </w:tc>
        <w:tc>
          <w:tcPr>
            <w:tcW w:w="174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20" w:type="dxa"/>
            <w:vAlign w:val="bottom"/>
          </w:tcPr>
          <w:p>
            <w:pPr>
              <w:spacing w:after="0"/>
              <w:rPr>
                <w:sz w:val="20"/>
                <w:szCs w:val="20"/>
                <w:color w:val="auto"/>
              </w:rPr>
            </w:pP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79"/>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-1112520</wp:posOffset>
            </wp:positionV>
            <wp:extent cx="3450590" cy="17970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66">
                      <a:extLst>
                        <a:ext uri="{28A0092B-C50C-407E-A947-70E740481C1C}"/>
                      </a:extLst>
                    </a:blip>
                    <a:srcRect/>
                    <a:stretch>
                      <a:fillRect/>
                    </a:stretch>
                  </pic:blipFill>
                  <pic:spPr bwMode="auto">
                    <a:xfrm>
                      <a:off x="0" y="0"/>
                      <a:ext cx="3450590" cy="179705"/>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-778510</wp:posOffset>
            </wp:positionV>
            <wp:extent cx="76835" cy="18859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6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-778510</wp:posOffset>
            </wp:positionV>
            <wp:extent cx="68580" cy="18859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-778510</wp:posOffset>
            </wp:positionV>
            <wp:extent cx="68580" cy="18859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18859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88" w:lineRule="exact"/>
        <w:rPr>
          <w:sz w:val="20"/>
          <w:szCs w:val="20"/>
          <w:color w:val="auto"/>
        </w:rPr>
      </w:pPr>
    </w:p>
    <w:p>
      <w:pPr>
        <w:ind w:right="380" w:firstLine="637"/>
        <w:spacing w:after="0" w:line="281" w:lineRule="auto"/>
        <w:rPr>
          <w:sz w:val="20"/>
          <w:szCs w:val="20"/>
          <w:color w:val="auto"/>
        </w:rPr>
      </w:pPr>
      <w:r>
        <w:rPr>
          <w:rFonts w:ascii="Times New Roman" w:cs="Times New Roman" w:eastAsia="Times New Roman" w:hAnsi="Times New Roman"/>
          <w:sz w:val="18"/>
          <w:szCs w:val="18"/>
          <w:color w:val="auto"/>
        </w:rPr>
        <w:t>We may be required to measure certain assets at fair value on a non-recurring basis in accordance with GAAP. These adjustments to fair value usually result from application of lower of cost or fair value accounting or write-downs of individual assets.</w:t>
      </w:r>
    </w:p>
    <w:p>
      <w:pPr>
        <w:spacing w:after="0" w:line="136" w:lineRule="exact"/>
        <w:rPr>
          <w:sz w:val="20"/>
          <w:szCs w:val="20"/>
          <w:color w:val="auto"/>
        </w:rPr>
      </w:pPr>
    </w:p>
    <w:p>
      <w:pPr>
        <w:jc w:val="both"/>
        <w:ind w:right="240" w:firstLine="637"/>
        <w:spacing w:after="0" w:line="265" w:lineRule="auto"/>
        <w:rPr>
          <w:sz w:val="20"/>
          <w:szCs w:val="20"/>
          <w:color w:val="auto"/>
        </w:rPr>
      </w:pPr>
      <w:r>
        <w:rPr>
          <w:rFonts w:ascii="Times New Roman" w:cs="Times New Roman" w:eastAsia="Times New Roman" w:hAnsi="Times New Roman"/>
          <w:sz w:val="18"/>
          <w:szCs w:val="18"/>
          <w:color w:val="auto"/>
        </w:rPr>
        <w:t>For assets measured at fair value on a non-recurring basis that were held on the balance sheet at December 31, 2022 and 2021, respectively, the following tables provide the level of valuation assumptions used to determine each adjustment and the carrying value of the related assets that had losses during the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2"/>
          </w:tcPr>
          <w:p>
            <w:pPr>
              <w:jc w:val="center"/>
              <w:ind w:right="90"/>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tcPr>
          <w:p>
            <w:pPr>
              <w:jc w:val="center"/>
              <w:ind w:right="90"/>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140" w:type="dxa"/>
            <w:vAlign w:val="bottom"/>
          </w:tcPr>
          <w:p>
            <w:pPr>
              <w:spacing w:after="0"/>
              <w:rPr>
                <w:sz w:val="14"/>
                <w:szCs w:val="14"/>
                <w:color w:val="auto"/>
              </w:rPr>
            </w:pPr>
          </w:p>
        </w:tc>
        <w:tc>
          <w:tcPr>
            <w:tcW w:w="142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34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580" w:type="dxa"/>
            <w:vAlign w:val="bottom"/>
            <w:gridSpan w:val="5"/>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Total Losses For the</w:t>
            </w:r>
          </w:p>
        </w:tc>
        <w:tc>
          <w:tcPr>
            <w:tcW w:w="10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Carrying Value at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tcPr>
          <w:p>
            <w:pPr>
              <w:jc w:val="right"/>
              <w:ind w:right="50"/>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 (Level</w:t>
            </w:r>
          </w:p>
        </w:tc>
        <w:tc>
          <w:tcPr>
            <w:tcW w:w="1560" w:type="dxa"/>
            <w:vAlign w:val="bottom"/>
            <w:gridSpan w:val="4"/>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60" w:type="dxa"/>
            <w:vAlign w:val="bottom"/>
          </w:tcPr>
          <w:p>
            <w:pPr>
              <w:spacing w:after="0"/>
              <w:rPr>
                <w:sz w:val="14"/>
                <w:szCs w:val="14"/>
                <w:color w:val="auto"/>
              </w:rPr>
            </w:pPr>
          </w:p>
        </w:tc>
        <w:tc>
          <w:tcPr>
            <w:tcW w:w="128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center"/>
              <w:ind w:right="420"/>
              <w:spacing w:after="0" w:line="162" w:lineRule="exact"/>
              <w:rPr>
                <w:sz w:val="20"/>
                <w:szCs w:val="20"/>
                <w:color w:val="auto"/>
              </w:rPr>
            </w:pPr>
            <w:r>
              <w:rPr>
                <w:rFonts w:ascii="Times New Roman" w:cs="Times New Roman" w:eastAsia="Times New Roman" w:hAnsi="Times New Roman"/>
                <w:sz w:val="15"/>
                <w:szCs w:val="15"/>
                <w:b w:val="1"/>
                <w:bCs w:val="1"/>
                <w:color w:val="auto"/>
                <w:w w:val="98"/>
              </w:rPr>
              <w:t>Year Ended</w:t>
            </w:r>
          </w:p>
        </w:tc>
        <w:tc>
          <w:tcPr>
            <w:tcW w:w="100" w:type="dxa"/>
            <w:vAlign w:val="bottom"/>
          </w:tcPr>
          <w:p>
            <w:pPr>
              <w:spacing w:after="0"/>
              <w:rPr>
                <w:sz w:val="14"/>
                <w:szCs w:val="14"/>
                <w:color w:val="auto"/>
              </w:rPr>
            </w:pPr>
          </w:p>
        </w:tc>
      </w:tr>
      <w:tr>
        <w:trPr>
          <w:trHeight w:val="197"/>
        </w:trPr>
        <w:tc>
          <w:tcPr>
            <w:tcW w:w="3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40" w:type="dxa"/>
            <w:vAlign w:val="bottom"/>
            <w:gridSpan w:val="2"/>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0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Inputs (Level 3)</w:t>
            </w:r>
          </w:p>
        </w:tc>
        <w:tc>
          <w:tcPr>
            <w:tcW w:w="12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3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5"/>
              </w:rPr>
              <w:t>(Dollars in thousands)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assets</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SBA</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SBA - PPP</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1"/>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Dairy &amp; livestock and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agribusiness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Municipal lease finance</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SFR mortgage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real estate owned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3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Asset held-for-sale</w:t>
            </w:r>
          </w:p>
        </w:tc>
        <w:tc>
          <w:tcPr>
            <w:tcW w:w="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gridSpan w:val="2"/>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gridSpan w:val="2"/>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Quoted Prices in Active</w:t>
            </w:r>
          </w:p>
        </w:tc>
        <w:tc>
          <w:tcPr>
            <w:tcW w:w="140" w:type="dxa"/>
            <w:vAlign w:val="bottom"/>
          </w:tcPr>
          <w:p>
            <w:pPr>
              <w:spacing w:after="0"/>
              <w:rPr>
                <w:sz w:val="24"/>
                <w:szCs w:val="24"/>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40" w:type="dxa"/>
            <w:vAlign w:val="bottom"/>
          </w:tcPr>
          <w:p>
            <w:pPr>
              <w:spacing w:after="0"/>
              <w:rPr>
                <w:sz w:val="24"/>
                <w:szCs w:val="24"/>
                <w:color w:val="auto"/>
              </w:rPr>
            </w:pP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Total Losses For the</w:t>
            </w:r>
          </w:p>
        </w:tc>
        <w:tc>
          <w:tcPr>
            <w:tcW w:w="100" w:type="dxa"/>
            <w:vAlign w:val="bottom"/>
          </w:tcPr>
          <w:p>
            <w:pPr>
              <w:spacing w:after="0"/>
              <w:rPr>
                <w:sz w:val="24"/>
                <w:szCs w:val="24"/>
                <w:color w:val="auto"/>
              </w:rPr>
            </w:pPr>
          </w:p>
        </w:tc>
      </w:tr>
      <w:tr>
        <w:trPr>
          <w:trHeight w:val="162"/>
        </w:trPr>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Carrying Value at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tcPr>
          <w:p>
            <w:pPr>
              <w:jc w:val="right"/>
              <w:ind w:right="50"/>
              <w:spacing w:after="0" w:line="162" w:lineRule="exact"/>
              <w:rPr>
                <w:sz w:val="20"/>
                <w:szCs w:val="20"/>
                <w:color w:val="auto"/>
              </w:rPr>
            </w:pPr>
            <w:r>
              <w:rPr>
                <w:rFonts w:ascii="Times New Roman" w:cs="Times New Roman" w:eastAsia="Times New Roman" w:hAnsi="Times New Roman"/>
                <w:sz w:val="15"/>
                <w:szCs w:val="15"/>
                <w:b w:val="1"/>
                <w:bCs w:val="1"/>
                <w:color w:val="auto"/>
              </w:rPr>
              <w:t>Markets for Identical</w:t>
            </w:r>
          </w:p>
        </w:tc>
        <w:tc>
          <w:tcPr>
            <w:tcW w:w="140" w:type="dxa"/>
            <w:vAlign w:val="bottom"/>
          </w:tcPr>
          <w:p>
            <w:pPr>
              <w:spacing w:after="0"/>
              <w:rPr>
                <w:sz w:val="14"/>
                <w:szCs w:val="14"/>
                <w:color w:val="auto"/>
              </w:rPr>
            </w:pPr>
          </w:p>
        </w:tc>
        <w:tc>
          <w:tcPr>
            <w:tcW w:w="14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40" w:type="dxa"/>
            <w:vAlign w:val="bottom"/>
          </w:tcPr>
          <w:p>
            <w:pPr>
              <w:spacing w:after="0"/>
              <w:rPr>
                <w:sz w:val="14"/>
                <w:szCs w:val="14"/>
                <w:color w:val="auto"/>
              </w:rPr>
            </w:pPr>
          </w:p>
        </w:tc>
        <w:tc>
          <w:tcPr>
            <w:tcW w:w="154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Year Ended December</w:t>
            </w:r>
          </w:p>
        </w:tc>
        <w:tc>
          <w:tcPr>
            <w:tcW w:w="100" w:type="dxa"/>
            <w:vAlign w:val="bottom"/>
          </w:tcPr>
          <w:p>
            <w:pPr>
              <w:spacing w:after="0"/>
              <w:rPr>
                <w:sz w:val="14"/>
                <w:szCs w:val="14"/>
                <w:color w:val="auto"/>
              </w:rPr>
            </w:pPr>
          </w:p>
        </w:tc>
      </w:tr>
      <w:tr>
        <w:trPr>
          <w:trHeight w:val="197"/>
        </w:trPr>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Assets (Level 1)</w:t>
            </w:r>
          </w:p>
        </w:tc>
        <w:tc>
          <w:tcPr>
            <w:tcW w:w="140" w:type="dxa"/>
            <w:vAlign w:val="bottom"/>
          </w:tcPr>
          <w:p>
            <w:pPr>
              <w:spacing w:after="0"/>
              <w:rPr>
                <w:sz w:val="17"/>
                <w:szCs w:val="17"/>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Inputs (Level 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5"/>
                <w:szCs w:val="15"/>
                <w:b w:val="1"/>
                <w:bCs w:val="1"/>
                <w:color w:val="auto"/>
              </w:rPr>
              <w:t>31, 2021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assets</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Impaired loans: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Commercial real estate</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SBA</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21"/>
                <w:szCs w:val="21"/>
                <w:color w:val="auto"/>
              </w:rPr>
            </w:pPr>
          </w:p>
        </w:tc>
      </w:tr>
      <w:tr>
        <w:trPr>
          <w:trHeight w:val="238"/>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0"/>
                <w:szCs w:val="20"/>
                <w:color w:val="auto"/>
              </w:rPr>
            </w:pPr>
          </w:p>
        </w:tc>
      </w:tr>
      <w:tr>
        <w:trPr>
          <w:trHeight w:val="215"/>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Dairy &amp; livestock and</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agribusiness</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1"/>
                <w:szCs w:val="21"/>
                <w:color w:val="auto"/>
              </w:rPr>
            </w:pPr>
          </w:p>
        </w:tc>
      </w:tr>
      <w:tr>
        <w:trPr>
          <w:trHeight w:val="211"/>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Municipal lease finance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9"/>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SFR mortgage</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real estate owned</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3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held-for-sale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4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34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1,024</w:t>
            </w:r>
          </w:p>
        </w:tc>
        <w:tc>
          <w:tcPr>
            <w:tcW w:w="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4"/>
        </w:trPr>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jc w:val="right"/>
              <w:ind w:right="693"/>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-3526790</wp:posOffset>
            </wp:positionV>
            <wp:extent cx="76835" cy="18859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7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-3526790</wp:posOffset>
            </wp:positionV>
            <wp:extent cx="76835" cy="18859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7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-3526790</wp:posOffset>
            </wp:positionV>
            <wp:extent cx="68580" cy="18859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-3526790</wp:posOffset>
            </wp:positionV>
            <wp:extent cx="68580" cy="18859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-3526790</wp:posOffset>
            </wp:positionV>
            <wp:extent cx="68580" cy="18859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-436245</wp:posOffset>
            </wp:positionV>
            <wp:extent cx="7683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-419100</wp:posOffset>
            </wp:positionV>
            <wp:extent cx="7683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-436245</wp:posOffset>
            </wp:positionV>
            <wp:extent cx="7683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-419100</wp:posOffset>
            </wp:positionV>
            <wp:extent cx="7683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-436245</wp:posOffset>
            </wp:positionV>
            <wp:extent cx="6858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-419100</wp:posOffset>
            </wp:positionV>
            <wp:extent cx="6858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-436245</wp:posOffset>
            </wp:positionV>
            <wp:extent cx="6858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-419100</wp:posOffset>
            </wp:positionV>
            <wp:extent cx="6858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17"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8" w:lineRule="exact"/>
        <w:rPr>
          <w:sz w:val="20"/>
          <w:szCs w:val="20"/>
          <w:color w:val="auto"/>
        </w:rPr>
      </w:pPr>
    </w:p>
    <w:p>
      <w:pPr>
        <w:ind w:right="80" w:firstLine="637"/>
        <w:spacing w:after="0" w:line="258" w:lineRule="auto"/>
        <w:rPr>
          <w:sz w:val="20"/>
          <w:szCs w:val="20"/>
          <w:color w:val="auto"/>
        </w:rPr>
      </w:pPr>
      <w:r>
        <w:rPr>
          <w:rFonts w:ascii="Times New Roman" w:cs="Times New Roman" w:eastAsia="Times New Roman" w:hAnsi="Times New Roman"/>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December 31, 2022 and 2021, respectively. The use of different market assumptions and/or estimation methodologies may have a material effect on the estimated fair value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203,461</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203,461</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203,461</w:t>
            </w:r>
          </w:p>
        </w:tc>
        <w:tc>
          <w:tcPr>
            <w:tcW w:w="100" w:type="dxa"/>
            <w:vAlign w:val="bottom"/>
          </w:tcPr>
          <w:p>
            <w:pPr>
              <w:spacing w:after="0"/>
              <w:rPr>
                <w:sz w:val="20"/>
                <w:szCs w:val="20"/>
                <w:color w:val="auto"/>
              </w:rPr>
            </w:pPr>
          </w:p>
        </w:tc>
      </w:tr>
      <w:tr>
        <w:trPr>
          <w:trHeight w:val="21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shd w:val="clear" w:color="auto" w:fill="CFF0FC"/>
          </w:tcPr>
          <w:p>
            <w:pPr>
              <w:spacing w:after="0"/>
              <w:rPr>
                <w:sz w:val="21"/>
                <w:szCs w:val="2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3,255,211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3,255,211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3,255,211</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2,554,301</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2,155,587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2,155,587</w:t>
            </w:r>
          </w:p>
        </w:tc>
        <w:tc>
          <w:tcPr>
            <w:tcW w:w="100" w:type="dxa"/>
            <w:vAlign w:val="bottom"/>
            <w:shd w:val="clear" w:color="auto" w:fill="CFF0FC"/>
          </w:tcPr>
          <w:p>
            <w:pPr>
              <w:spacing w:after="0"/>
              <w:rPr>
                <w:sz w:val="21"/>
                <w:szCs w:val="21"/>
                <w:color w:val="auto"/>
              </w:rPr>
            </w:pPr>
          </w:p>
        </w:tc>
      </w:tr>
      <w:tr>
        <w:trPr>
          <w:trHeight w:val="211"/>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 net of allowance for credit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8,994,275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8,074,952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8,074,952</w:t>
            </w:r>
          </w:p>
        </w:tc>
        <w:tc>
          <w:tcPr>
            <w:tcW w:w="100" w:type="dxa"/>
            <w:vAlign w:val="bottom"/>
          </w:tcPr>
          <w:p>
            <w:pPr>
              <w:spacing w:after="0"/>
              <w:rPr>
                <w:sz w:val="20"/>
                <w:szCs w:val="20"/>
                <w:color w:val="auto"/>
              </w:rPr>
            </w:pPr>
          </w:p>
        </w:tc>
      </w:tr>
      <w:tr>
        <w:trPr>
          <w:trHeight w:val="249"/>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21"/>
                <w:szCs w:val="21"/>
                <w:color w:val="auto"/>
              </w:rPr>
            </w:pPr>
          </w:p>
        </w:tc>
      </w:tr>
      <w:tr>
        <w:trPr>
          <w:trHeight w:val="24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4,671,881</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4,664,657</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4,664,657</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1,560,431</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1,444,659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1,444,659</w:t>
            </w:r>
          </w:p>
        </w:tc>
        <w:tc>
          <w:tcPr>
            <w:tcW w:w="100" w:type="dxa"/>
            <w:vAlign w:val="bottom"/>
            <w:shd w:val="clear" w:color="auto" w:fill="CFF0FC"/>
          </w:tcPr>
          <w:p>
            <w:pPr>
              <w:spacing w:after="0"/>
              <w:rPr>
                <w:sz w:val="21"/>
                <w:szCs w:val="2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21"/>
                <w:szCs w:val="2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85"/>
              </w:rPr>
              <w:t>(Dollars in thousands)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100" w:type="dxa"/>
            <w:vAlign w:val="bottom"/>
          </w:tcPr>
          <w:p>
            <w:pPr>
              <w:spacing w:after="0"/>
              <w:rPr>
                <w:sz w:val="20"/>
                <w:szCs w:val="20"/>
                <w:color w:val="auto"/>
              </w:rPr>
            </w:pPr>
          </w:p>
        </w:tc>
      </w:tr>
      <w:tr>
        <w:trPr>
          <w:trHeight w:val="215"/>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shd w:val="clear" w:color="auto" w:fill="CFF0FC"/>
          </w:tcPr>
          <w:p>
            <w:pPr>
              <w:spacing w:after="0"/>
              <w:rPr>
                <w:sz w:val="21"/>
                <w:szCs w:val="21"/>
                <w:color w:val="auto"/>
              </w:rPr>
            </w:pPr>
          </w:p>
        </w:tc>
      </w:tr>
      <w:tr>
        <w:trPr>
          <w:trHeight w:val="238"/>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1,925,970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1,921,693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1,921,693</w:t>
            </w:r>
          </w:p>
        </w:tc>
        <w:tc>
          <w:tcPr>
            <w:tcW w:w="100" w:type="dxa"/>
            <w:vAlign w:val="bottom"/>
            <w:shd w:val="clear" w:color="auto" w:fill="CFF0FC"/>
          </w:tcPr>
          <w:p>
            <w:pPr>
              <w:spacing w:after="0"/>
              <w:rPr>
                <w:sz w:val="21"/>
                <w:szCs w:val="21"/>
                <w:color w:val="auto"/>
              </w:rPr>
            </w:pPr>
          </w:p>
        </w:tc>
      </w:tr>
      <w:tr>
        <w:trPr>
          <w:trHeight w:val="211"/>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 net of allowance for credit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7,696,210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7,696,210</w:t>
            </w:r>
          </w:p>
        </w:tc>
        <w:tc>
          <w:tcPr>
            <w:tcW w:w="100" w:type="dxa"/>
            <w:vAlign w:val="bottom"/>
          </w:tcPr>
          <w:p>
            <w:pPr>
              <w:spacing w:after="0"/>
              <w:rPr>
                <w:sz w:val="20"/>
                <w:szCs w:val="20"/>
                <w:color w:val="auto"/>
              </w:rPr>
            </w:pPr>
          </w:p>
        </w:tc>
      </w:tr>
      <w:tr>
        <w:trPr>
          <w:trHeight w:val="249"/>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shd w:val="clear" w:color="auto" w:fill="CFF0FC"/>
          </w:tcPr>
          <w:p>
            <w:pPr>
              <w:spacing w:after="0"/>
              <w:rPr>
                <w:sz w:val="21"/>
                <w:szCs w:val="21"/>
                <w:color w:val="auto"/>
              </w:rPr>
            </w:pPr>
          </w:p>
        </w:tc>
      </w:tr>
      <w:tr>
        <w:trPr>
          <w:trHeight w:val="24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4,872,386</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4,871,531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4,871,531</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644,669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586,645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586,645</w:t>
            </w:r>
          </w:p>
        </w:tc>
        <w:tc>
          <w:tcPr>
            <w:tcW w:w="100" w:type="dxa"/>
            <w:vAlign w:val="bottom"/>
            <w:shd w:val="clear" w:color="auto" w:fill="CFF0FC"/>
          </w:tcPr>
          <w:p>
            <w:pPr>
              <w:spacing w:after="0"/>
              <w:rPr>
                <w:sz w:val="21"/>
                <w:szCs w:val="21"/>
                <w:color w:val="auto"/>
              </w:rPr>
            </w:pPr>
          </w:p>
        </w:tc>
      </w:tr>
      <w:tr>
        <w:trPr>
          <w:trHeight w:val="238"/>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shd w:val="clear" w:color="auto" w:fill="CFF0FC"/>
          </w:tcPr>
          <w:p>
            <w:pPr>
              <w:spacing w:after="0"/>
              <w:rPr>
                <w:sz w:val="21"/>
                <w:szCs w:val="21"/>
                <w:color w:val="auto"/>
              </w:rPr>
            </w:pPr>
          </w:p>
        </w:tc>
      </w:tr>
    </w:tbl>
    <w:p>
      <w:pPr>
        <w:spacing w:after="0" w:line="386" w:lineRule="exact"/>
        <w:rPr>
          <w:sz w:val="20"/>
          <w:szCs w:val="20"/>
          <w:color w:val="auto"/>
        </w:rPr>
      </w:pPr>
    </w:p>
    <w:p>
      <w:pPr>
        <w:ind w:right="220" w:firstLine="637"/>
        <w:spacing w:after="0" w:line="260"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December 31, 2022 and 2021.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20.  DERIVATIVE FINANCIAL INSTRUMENTS</w:t>
      </w:r>
    </w:p>
    <w:p>
      <w:pPr>
        <w:spacing w:after="0" w:line="188" w:lineRule="exact"/>
        <w:rPr>
          <w:sz w:val="20"/>
          <w:szCs w:val="20"/>
          <w:color w:val="auto"/>
        </w:rPr>
      </w:pPr>
    </w:p>
    <w:p>
      <w:pPr>
        <w:ind w:right="20" w:firstLine="637"/>
        <w:spacing w:after="0" w:line="256" w:lineRule="auto"/>
        <w:rPr>
          <w:sz w:val="20"/>
          <w:szCs w:val="20"/>
          <w:color w:val="auto"/>
        </w:rPr>
      </w:pPr>
      <w:r>
        <w:rPr>
          <w:rFonts w:ascii="Times New Roman" w:cs="Times New Roman" w:eastAsia="Times New Roman" w:hAnsi="Times New Roman"/>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December 31, 2022, the Bank has entered into 125 interest-rate swap agreements with customers with a notional amount totaling $425.6 million. The Bank then entered into identical offsetting swaps with a counterparty.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59" w:lineRule="exact"/>
        <w:rPr>
          <w:sz w:val="20"/>
          <w:szCs w:val="20"/>
          <w:color w:val="auto"/>
        </w:rPr>
      </w:pPr>
    </w:p>
    <w:p>
      <w:pPr>
        <w:ind w:firstLine="637"/>
        <w:spacing w:after="0" w:line="253" w:lineRule="auto"/>
        <w:rPr>
          <w:sz w:val="20"/>
          <w:szCs w:val="20"/>
          <w:color w:val="auto"/>
        </w:rPr>
      </w:pPr>
      <w:r>
        <w:rPr>
          <w:rFonts w:ascii="Times New Roman" w:cs="Times New Roman" w:eastAsia="Times New Roman" w:hAnsi="Times New Roman"/>
          <w:sz w:val="18"/>
          <w:szCs w:val="18"/>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the counterparty bank in which the Bank pays the counterparty a fixed rate and the counterparty in return pays the Bank a variable rate. The net effect of the transaction allows the Bank to receive interest on the loan from the customer at a variable rate based on LIBOR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As a result of the Bank exceeding $10 billion in assets, federal regulations required the Bank, beginning in January 2019, to clear most interest rate swaps through a clearing house (“centrally cleared”).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consolidated balance sheet.</w:t>
      </w:r>
    </w:p>
    <w:p>
      <w:pPr>
        <w:spacing w:after="0" w:line="148" w:lineRule="exact"/>
        <w:rPr>
          <w:sz w:val="20"/>
          <w:szCs w:val="20"/>
          <w:color w:val="auto"/>
        </w:rPr>
      </w:pPr>
    </w:p>
    <w:p>
      <w:pPr>
        <w:ind w:right="300" w:firstLine="637"/>
        <w:spacing w:after="0" w:line="265" w:lineRule="auto"/>
        <w:rPr>
          <w:sz w:val="20"/>
          <w:szCs w:val="20"/>
          <w:color w:val="auto"/>
        </w:rPr>
      </w:pPr>
      <w:r>
        <w:rPr>
          <w:rFonts w:ascii="Times New Roman" w:cs="Times New Roman" w:eastAsia="Times New Roman" w:hAnsi="Times New Roman"/>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 of Derivative Financial Instruments</w:t>
      </w:r>
    </w:p>
    <w:p>
      <w:pPr>
        <w:spacing w:after="0" w:line="121" w:lineRule="exact"/>
        <w:rPr>
          <w:sz w:val="20"/>
          <w:szCs w:val="20"/>
          <w:color w:val="auto"/>
        </w:rPr>
      </w:pPr>
    </w:p>
    <w:p>
      <w:pPr>
        <w:ind w:right="180" w:firstLine="637"/>
        <w:spacing w:after="0" w:line="281" w:lineRule="auto"/>
        <w:rPr>
          <w:sz w:val="20"/>
          <w:szCs w:val="20"/>
          <w:color w:val="auto"/>
        </w:rPr>
      </w:pPr>
      <w:r>
        <w:rPr>
          <w:rFonts w:ascii="Times New Roman" w:cs="Times New Roman" w:eastAsia="Times New Roman" w:hAnsi="Times New Roman"/>
          <w:sz w:val="18"/>
          <w:szCs w:val="18"/>
          <w:color w:val="auto"/>
        </w:rPr>
        <w:t>As of December 31, 2022 and 2021, the total notional amount of the Company’s swaps was $425.6 million and $493.2 million, respectively. The location of the asset and liability, and their respective fair values are summarized in the tables below.</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p>
      <w:pPr>
        <w:spacing w:after="0" w:line="49"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76"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p>
      <w:pPr>
        <w:spacing w:after="0" w:line="49"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76"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2220" w:type="dxa"/>
            <w:vAlign w:val="bottom"/>
            <w:tcBorders>
              <w:top w:val="single" w:sz="8" w:color="auto"/>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7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580" w:type="dxa"/>
            <w:vAlign w:val="bottom"/>
            <w:tcBorders>
              <w:top w:val="single" w:sz="8" w:color="auto"/>
              <w:bottom w:val="single" w:sz="8" w:color="auto"/>
            </w:tcBorders>
          </w:tcPr>
          <w:p>
            <w:pPr>
              <w:spacing w:after="0"/>
              <w:rPr>
                <w:sz w:val="21"/>
                <w:szCs w:val="21"/>
                <w:color w:val="auto"/>
              </w:rPr>
            </w:pPr>
          </w:p>
        </w:tc>
      </w:tr>
      <w:tr>
        <w:trPr>
          <w:trHeight w:val="203"/>
        </w:trPr>
        <w:tc>
          <w:tcPr>
            <w:tcW w:w="60" w:type="dxa"/>
            <w:vAlign w:val="bottom"/>
          </w:tcPr>
          <w:p>
            <w:pPr>
              <w:spacing w:after="0"/>
              <w:rPr>
                <w:sz w:val="17"/>
                <w:szCs w:val="17"/>
                <w:color w:val="auto"/>
              </w:rPr>
            </w:pPr>
          </w:p>
        </w:tc>
        <w:tc>
          <w:tcPr>
            <w:tcW w:w="1700" w:type="dxa"/>
            <w:vAlign w:val="bottom"/>
            <w:gridSpan w:val="2"/>
          </w:tcPr>
          <w:p>
            <w:pPr>
              <w:ind w:left="280"/>
              <w:spacing w:after="0" w:line="202"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5"/>
        </w:trPr>
        <w:tc>
          <w:tcPr>
            <w:tcW w:w="60" w:type="dxa"/>
            <w:vAlign w:val="bottom"/>
          </w:tcPr>
          <w:p>
            <w:pPr>
              <w:spacing w:after="0"/>
              <w:rPr>
                <w:sz w:val="21"/>
                <w:szCs w:val="21"/>
                <w:color w:val="auto"/>
              </w:rPr>
            </w:pPr>
          </w:p>
        </w:tc>
        <w:tc>
          <w:tcPr>
            <w:tcW w:w="17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gridSpan w:val="3"/>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2"/>
        </w:trPr>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516"/>
        </w:trPr>
        <w:tc>
          <w:tcPr>
            <w:tcW w:w="6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5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2"/>
        </w:trPr>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37"/>
        </w:trPr>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40"/>
        </w:trPr>
        <w:tc>
          <w:tcPr>
            <w:tcW w:w="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580" w:type="dxa"/>
            <w:vAlign w:val="bottom"/>
            <w:tcBorders>
              <w:bottom w:val="single" w:sz="8" w:color="auto"/>
            </w:tcBorders>
          </w:tcPr>
          <w:p>
            <w:pPr>
              <w:spacing w:after="0"/>
              <w:rPr>
                <w:sz w:val="20"/>
                <w:szCs w:val="20"/>
                <w:color w:val="auto"/>
              </w:rPr>
            </w:pPr>
          </w:p>
        </w:tc>
      </w:tr>
      <w:tr>
        <w:trPr>
          <w:trHeight w:val="203"/>
        </w:trPr>
        <w:tc>
          <w:tcPr>
            <w:tcW w:w="60" w:type="dxa"/>
            <w:vAlign w:val="bottom"/>
          </w:tcPr>
          <w:p>
            <w:pPr>
              <w:spacing w:after="0"/>
              <w:rPr>
                <w:sz w:val="17"/>
                <w:szCs w:val="17"/>
                <w:color w:val="auto"/>
              </w:rPr>
            </w:pPr>
          </w:p>
        </w:tc>
        <w:tc>
          <w:tcPr>
            <w:tcW w:w="1700" w:type="dxa"/>
            <w:vAlign w:val="bottom"/>
            <w:gridSpan w:val="2"/>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5"/>
        </w:trPr>
        <w:tc>
          <w:tcPr>
            <w:tcW w:w="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05"/>
        </w:trPr>
        <w:tc>
          <w:tcPr>
            <w:tcW w:w="6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Other assets</w:t>
            </w:r>
          </w:p>
        </w:tc>
        <w:tc>
          <w:tcPr>
            <w:tcW w:w="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5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r>
      <w:tr>
        <w:trPr>
          <w:trHeight w:val="232"/>
        </w:trPr>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42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w:t>
            </w:r>
          </w:p>
        </w:tc>
      </w:tr>
      <w:tr>
        <w:trPr>
          <w:trHeight w:val="20"/>
        </w:trPr>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-1908810</wp:posOffset>
            </wp:positionV>
            <wp:extent cx="7132320" cy="15430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-1591945</wp:posOffset>
            </wp:positionV>
            <wp:extent cx="7132320" cy="17970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-495935</wp:posOffset>
            </wp:positionV>
            <wp:extent cx="7132320" cy="15430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-179070</wp:posOffset>
            </wp:positionV>
            <wp:extent cx="7132320" cy="17970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260"/>
          </w:cols>
          <w:pgMar w:left="320" w:top="333" w:right="339" w:bottom="1440" w:gutter="0" w:footer="0" w:header="0"/>
          <w:type w:val="continuous"/>
        </w:sectPr>
      </w:pP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Derivative Financial Instruments on the Consolidated Statements of Earnings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effect of derivative financial instruments on the consolidated statements of earnings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200" w:type="dxa"/>
            <w:vAlign w:val="bottom"/>
          </w:tcPr>
          <w:p>
            <w:pPr>
              <w:spacing w:after="0"/>
              <w:rPr>
                <w:sz w:val="13"/>
                <w:szCs w:val="1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Recognized in</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20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9"/>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tcBorders>
              <w:bottom w:val="single" w:sz="8" w:color="CFF0FC"/>
            </w:tcBorders>
            <w:shd w:val="clear" w:color="auto" w:fill="CFF0FC"/>
          </w:tcPr>
          <w:p>
            <w:pPr>
              <w:spacing w:after="0"/>
              <w:rPr>
                <w:sz w:val="21"/>
                <w:szCs w:val="21"/>
                <w:color w:val="auto"/>
              </w:rPr>
            </w:pPr>
          </w:p>
        </w:tc>
        <w:tc>
          <w:tcPr>
            <w:tcW w:w="36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8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8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100" w:type="dxa"/>
            <w:vAlign w:val="bottom"/>
          </w:tcPr>
          <w:p>
            <w:pPr>
              <w:spacing w:after="0"/>
              <w:rPr>
                <w:sz w:val="20"/>
                <w:szCs w:val="20"/>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-594360</wp:posOffset>
            </wp:positionV>
            <wp:extent cx="2538730" cy="25273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97">
                      <a:extLst>
                        <a:ext uri="{28A0092B-C50C-407E-A947-70E740481C1C}"/>
                      </a:extLst>
                    </a:blip>
                    <a:srcRect/>
                    <a:stretch>
                      <a:fillRect/>
                    </a:stretch>
                  </pic:blipFill>
                  <pic:spPr bwMode="auto">
                    <a:xfrm>
                      <a:off x="0" y="0"/>
                      <a:ext cx="2538730" cy="25273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76835" cy="18859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9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68580" cy="18859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OTHER COMPREHENSIVE INCOME (LOSS)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tables below provide a summary of the components of OCI for the periods presented.</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 securities:</w:t>
      </w:r>
    </w:p>
    <w:p>
      <w:pPr>
        <w:spacing w:after="0" w:line="25" w:lineRule="exact"/>
        <w:rPr>
          <w:sz w:val="20"/>
          <w:szCs w:val="20"/>
          <w:color w:val="auto"/>
        </w:rPr>
      </w:pPr>
    </w:p>
    <w:p>
      <w:pPr>
        <w:ind w:left="120" w:right="180" w:hanging="107"/>
        <w:spacing w:after="0" w:line="241" w:lineRule="auto"/>
        <w:rPr>
          <w:sz w:val="20"/>
          <w:szCs w:val="20"/>
          <w:color w:val="auto"/>
        </w:rPr>
      </w:pPr>
      <w:r>
        <w:rPr>
          <w:rFonts w:ascii="Times New Roman" w:cs="Times New Roman" w:eastAsia="Times New Roman" w:hAnsi="Times New Roman"/>
          <w:sz w:val="14"/>
          <w:szCs w:val="14"/>
          <w:color w:val="auto"/>
        </w:rPr>
        <w:t>Net change in fair value recorded in accumulated OCI</w:t>
      </w:r>
    </w:p>
    <w:p>
      <w:pPr>
        <w:ind w:left="120" w:hanging="107"/>
        <w:spacing w:after="0" w:line="225" w:lineRule="auto"/>
        <w:rPr>
          <w:sz w:val="20"/>
          <w:szCs w:val="20"/>
          <w:color w:val="auto"/>
        </w:rPr>
      </w:pPr>
      <w:r>
        <w:rPr>
          <w:rFonts w:ascii="Times New Roman" w:cs="Times New Roman" w:eastAsia="Times New Roman" w:hAnsi="Times New Roman"/>
          <w:sz w:val="14"/>
          <w:szCs w:val="14"/>
          <w:color w:val="auto"/>
        </w:rPr>
        <w:t>Amortization of unrealized losses (gains) on securities transferred from</w:t>
      </w:r>
    </w:p>
    <w:p>
      <w:pPr>
        <w:ind w:left="20"/>
        <w:spacing w:after="0"/>
        <w:rPr>
          <w:sz w:val="20"/>
          <w:szCs w:val="20"/>
          <w:color w:val="auto"/>
        </w:rPr>
      </w:pPr>
      <w:r>
        <w:rPr>
          <w:rFonts w:ascii="Times New Roman" w:cs="Times New Roman" w:eastAsia="Times New Roman" w:hAnsi="Times New Roman"/>
          <w:sz w:val="14"/>
          <w:szCs w:val="14"/>
          <w:color w:val="auto"/>
        </w:rPr>
        <w:t>available-for-sale to held-to-maturity</w:t>
      </w:r>
    </w:p>
    <w:p>
      <w:pPr>
        <w:spacing w:after="0" w:line="9" w:lineRule="exact"/>
        <w:rPr>
          <w:sz w:val="20"/>
          <w:szCs w:val="20"/>
          <w:color w:val="auto"/>
        </w:rPr>
      </w:pPr>
    </w:p>
    <w:p>
      <w:pPr>
        <w:ind w:left="120" w:right="300" w:hanging="107"/>
        <w:spacing w:after="0" w:line="241" w:lineRule="auto"/>
        <w:rPr>
          <w:sz w:val="20"/>
          <w:szCs w:val="20"/>
          <w:color w:val="auto"/>
        </w:rPr>
      </w:pPr>
      <w:r>
        <w:rPr>
          <w:rFonts w:ascii="Times New Roman" w:cs="Times New Roman" w:eastAsia="Times New Roman" w:hAnsi="Times New Roman"/>
          <w:sz w:val="14"/>
          <w:szCs w:val="14"/>
          <w:color w:val="auto"/>
        </w:rPr>
        <w:t>Net realized gain reclassified into earnings (1)</w:t>
      </w:r>
    </w:p>
    <w:p>
      <w:pPr>
        <w:ind w:left="20"/>
        <w:spacing w:after="0"/>
        <w:rPr>
          <w:sz w:val="20"/>
          <w:szCs w:val="20"/>
          <w:color w:val="auto"/>
        </w:rPr>
      </w:pPr>
      <w:r>
        <w:rPr>
          <w:rFonts w:ascii="Times New Roman" w:cs="Times New Roman" w:eastAsia="Times New Roman" w:hAnsi="Times New Roman"/>
          <w:sz w:val="14"/>
          <w:szCs w:val="14"/>
          <w:color w:val="auto"/>
        </w:rPr>
        <w:t>Net change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2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60" w:type="dxa"/>
            <w:vAlign w:val="bottom"/>
          </w:tcPr>
          <w:p>
            <w:pPr>
              <w:spacing w:after="0"/>
              <w:rPr>
                <w:sz w:val="14"/>
                <w:szCs w:val="14"/>
                <w:color w:val="auto"/>
              </w:rPr>
            </w:pPr>
          </w:p>
        </w:tc>
      </w:tr>
      <w:tr>
        <w:trPr>
          <w:trHeight w:val="160"/>
        </w:trPr>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w w:val="81"/>
              </w:rPr>
              <w:t>(Dollars in thousands)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96"/>
        </w:trPr>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(498,759 )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147,451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(351,308 )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color w:val="auto"/>
              </w:rPr>
              <w:t>(56,075 )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16,578</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(39,497 )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32,849</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(9,711 )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23,138</w:t>
            </w:r>
          </w:p>
        </w:tc>
        <w:tc>
          <w:tcPr>
            <w:tcW w:w="60" w:type="dxa"/>
            <w:vAlign w:val="bottom"/>
          </w:tcPr>
          <w:p>
            <w:pPr>
              <w:spacing w:after="0"/>
              <w:rPr>
                <w:sz w:val="24"/>
                <w:szCs w:val="24"/>
                <w:color w:val="auto"/>
              </w:rPr>
            </w:pPr>
          </w:p>
        </w:tc>
      </w:tr>
      <w:tr>
        <w:trPr>
          <w:trHeight w:val="472"/>
        </w:trPr>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(201 )</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(572 )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(403 )</w:t>
            </w:r>
          </w:p>
        </w:tc>
      </w:tr>
      <w:tr>
        <w:trPr>
          <w:trHeight w:val="302"/>
        </w:trPr>
        <w:tc>
          <w:tcPr>
            <w:tcW w:w="160" w:type="dxa"/>
            <w:vAlign w:val="bottom"/>
          </w:tcPr>
          <w:p>
            <w:pPr>
              <w:spacing w:after="0"/>
              <w:rPr>
                <w:sz w:val="24"/>
                <w:szCs w:val="24"/>
                <w:color w:val="auto"/>
              </w:rPr>
            </w:pPr>
          </w:p>
        </w:tc>
        <w:tc>
          <w:tcPr>
            <w:tcW w:w="8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(498,078</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147,250</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(350,828</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(55,819</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16,502</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(39,317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32,277</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(9,542</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60" w:type="dxa"/>
            <w:vAlign w:val="bottom"/>
          </w:tcPr>
          <w:p>
            <w:pPr>
              <w:spacing w:after="0"/>
              <w:rPr>
                <w:sz w:val="15"/>
                <w:szCs w:val="15"/>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-958215</wp:posOffset>
            </wp:positionV>
            <wp:extent cx="7132320" cy="11112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0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-641350</wp:posOffset>
            </wp:positionV>
            <wp:extent cx="7132320" cy="29972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02">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-136525</wp:posOffset>
            </wp:positionV>
            <wp:extent cx="7132320" cy="13716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160"/>
            <w:col w:w="8820"/>
          </w:cols>
          <w:pgMar w:left="320" w:top="333" w:right="339" w:bottom="1440" w:gutter="0" w:footer="0" w:header="0"/>
          <w:type w:val="continuous"/>
        </w:sectPr>
      </w:pPr>
    </w:p>
    <w:p>
      <w:pPr>
        <w:spacing w:after="0" w:line="2" w:lineRule="exact"/>
        <w:rPr>
          <w:sz w:val="20"/>
          <w:szCs w:val="20"/>
          <w:color w:val="auto"/>
        </w:rPr>
      </w:pPr>
    </w:p>
    <w:p>
      <w:pPr>
        <w:ind w:left="1520" w:hanging="374"/>
        <w:spacing w:after="0"/>
        <w:tabs>
          <w:tab w:leader="none" w:pos="15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noninterest income.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3" w:name="page134"/>
    <w:bookmarkEnd w:id="133"/>
    <w:p>
      <w:pPr>
        <w:ind w:left="20"/>
        <w:spacing w:after="0"/>
        <w:rPr>
          <w:sz w:val="20"/>
          <w:szCs w:val="20"/>
          <w:color w:val="auto"/>
        </w:rPr>
      </w:pPr>
      <w:r>
        <w:rPr>
          <w:rFonts w:ascii="Times New Roman" w:cs="Times New Roman" w:eastAsia="Times New Roman" w:hAnsi="Times New Roman"/>
          <w:sz w:val="18"/>
          <w:szCs w:val="18"/>
          <w:b w:val="1"/>
          <w:bCs w:val="1"/>
          <w:color w:val="auto"/>
        </w:rPr>
        <w:t>22.  BALANCE SHEET OFFSETTING</w:t>
      </w:r>
    </w:p>
    <w:p>
      <w:pPr>
        <w:spacing w:after="0" w:line="188" w:lineRule="exact"/>
        <w:rPr>
          <w:sz w:val="20"/>
          <w:szCs w:val="20"/>
          <w:color w:val="auto"/>
        </w:rPr>
      </w:pPr>
    </w:p>
    <w:p>
      <w:pPr>
        <w:ind w:right="20" w:firstLine="637"/>
        <w:spacing w:after="0" w:line="255" w:lineRule="auto"/>
        <w:rPr>
          <w:sz w:val="20"/>
          <w:szCs w:val="20"/>
          <w:color w:val="auto"/>
        </w:rPr>
      </w:pPr>
      <w:r>
        <w:rPr>
          <w:rFonts w:ascii="Times New Roman" w:cs="Times New Roman" w:eastAsia="Times New Roman" w:hAnsi="Times New Roman"/>
          <w:sz w:val="18"/>
          <w:szCs w:val="18"/>
          <w:color w:val="auto"/>
        </w:rPr>
        <w:t>Assets and liabilities relating to certain financial instruments, including, derivatives and securities sold under repurchase agreements (“repurchase agreements”), may be eligible for offset in the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consolidated balances.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3"/>
                <w:szCs w:val="13"/>
                <w:color w:val="auto"/>
              </w:rPr>
            </w:pPr>
          </w:p>
        </w:tc>
        <w:tc>
          <w:tcPr>
            <w:tcW w:w="1300" w:type="dxa"/>
            <w:vAlign w:val="bottom"/>
            <w:gridSpan w:val="2"/>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00" w:type="dxa"/>
            <w:vAlign w:val="bottom"/>
          </w:tcPr>
          <w:p>
            <w:pPr>
              <w:spacing w:after="0"/>
              <w:rPr>
                <w:sz w:val="13"/>
                <w:szCs w:val="13"/>
                <w:color w:val="auto"/>
              </w:rPr>
            </w:pPr>
          </w:p>
        </w:tc>
        <w:tc>
          <w:tcPr>
            <w:tcW w:w="26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the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2"/>
                <w:szCs w:val="12"/>
                <w:color w:val="auto"/>
              </w:rPr>
            </w:pPr>
          </w:p>
        </w:tc>
        <w:tc>
          <w:tcPr>
            <w:tcW w:w="1300" w:type="dxa"/>
            <w:vAlign w:val="bottom"/>
            <w:gridSpan w:val="2"/>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2"/>
                <w:szCs w:val="12"/>
                <w:color w:val="auto"/>
              </w:rPr>
            </w:pPr>
          </w:p>
        </w:tc>
        <w:tc>
          <w:tcPr>
            <w:tcW w:w="268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 the Condensed Consolidated Balance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00" w:type="dxa"/>
            <w:vAlign w:val="bottom"/>
          </w:tcPr>
          <w:p>
            <w:pPr>
              <w:spacing w:after="0"/>
              <w:rPr>
                <w:sz w:val="15"/>
                <w:szCs w:val="15"/>
                <w:color w:val="auto"/>
              </w:rPr>
            </w:pPr>
          </w:p>
        </w:tc>
        <w:tc>
          <w:tcPr>
            <w:tcW w:w="130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1"/>
                <w:szCs w:val="11"/>
                <w:color w:val="auto"/>
              </w:rPr>
            </w:pPr>
          </w:p>
        </w:tc>
        <w:tc>
          <w:tcPr>
            <w:tcW w:w="15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100" w:type="dxa"/>
            <w:vAlign w:val="bottom"/>
          </w:tcPr>
          <w:p>
            <w:pPr>
              <w:spacing w:after="0"/>
              <w:rPr>
                <w:sz w:val="11"/>
                <w:szCs w:val="11"/>
                <w:color w:val="auto"/>
              </w:rPr>
            </w:pPr>
          </w:p>
        </w:tc>
        <w:tc>
          <w:tcPr>
            <w:tcW w:w="1300" w:type="dxa"/>
            <w:vAlign w:val="bottom"/>
            <w:gridSpan w:val="2"/>
          </w:tcPr>
          <w:p>
            <w:pPr>
              <w:jc w:val="center"/>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16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1"/>
                <w:szCs w:val="11"/>
                <w:color w:val="auto"/>
              </w:rPr>
            </w:pPr>
          </w:p>
        </w:tc>
        <w:tc>
          <w:tcPr>
            <w:tcW w:w="13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Collateral Pledged</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Sheets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1380" w:type="dxa"/>
            <w:vAlign w:val="bottom"/>
            <w:gridSpan w:val="3"/>
          </w:tcPr>
          <w:p>
            <w:pPr>
              <w:jc w:val="right"/>
              <w:ind w:right="728"/>
              <w:spacing w:after="0"/>
              <w:rPr>
                <w:sz w:val="20"/>
                <w:szCs w:val="20"/>
                <w:color w:val="auto"/>
              </w:rPr>
            </w:pPr>
            <w:r>
              <w:rPr>
                <w:rFonts w:ascii="Times New Roman" w:cs="Times New Roman" w:eastAsia="Times New Roman" w:hAnsi="Times New Roman"/>
                <w:sz w:val="14"/>
                <w:szCs w:val="14"/>
                <w:i w:val="1"/>
                <w:iCs w:val="1"/>
                <w:color w:val="auto"/>
                <w:w w:val="91"/>
              </w:rPr>
              <w:t>thousands)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vMerge w:val="restart"/>
            <w:shd w:val="clear" w:color="auto" w:fill="CFF0FC"/>
          </w:tcPr>
          <w:p>
            <w:pPr>
              <w:spacing w:after="0"/>
              <w:rPr>
                <w:sz w:val="12"/>
                <w:szCs w:val="12"/>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vMerge w:val="restart"/>
            <w:shd w:val="clear" w:color="auto" w:fill="CFF0FC"/>
          </w:tcPr>
          <w:p>
            <w:pPr>
              <w:spacing w:after="0"/>
              <w:rPr>
                <w:sz w:val="12"/>
                <w:szCs w:val="12"/>
                <w:color w:val="auto"/>
              </w:rPr>
            </w:pPr>
          </w:p>
        </w:tc>
        <w:tc>
          <w:tcPr>
            <w:tcW w:w="460" w:type="dxa"/>
            <w:vAlign w:val="bottom"/>
            <w:vMerge w:val="restart"/>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46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11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5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53,996</w:t>
            </w:r>
          </w:p>
        </w:tc>
        <w:tc>
          <w:tcPr>
            <w:tcW w:w="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(53,914 )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53,914</w:t>
            </w:r>
          </w:p>
        </w:tc>
        <w:tc>
          <w:tcPr>
            <w:tcW w:w="58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(18,258 ) $</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565,431</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565,431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(634,075 )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(68,644 )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619,427</w:t>
            </w:r>
          </w:p>
        </w:tc>
        <w:tc>
          <w:tcPr>
            <w:tcW w:w="1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(53,914 )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565,513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53,914</w:t>
            </w:r>
          </w:p>
        </w:tc>
        <w:tc>
          <w:tcPr>
            <w:tcW w:w="5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(652,333 )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(32,906 )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160" w:type="dxa"/>
            <w:vAlign w:val="bottom"/>
            <w:vMerge w:val="restart"/>
            <w:shd w:val="clear" w:color="auto" w:fill="CFF0FC"/>
          </w:tcPr>
          <w:p>
            <w:pPr>
              <w:spacing w:after="0"/>
              <w:rPr>
                <w:sz w:val="12"/>
                <w:szCs w:val="12"/>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120" w:type="dxa"/>
            <w:vAlign w:val="bottom"/>
            <w:vMerge w:val="restart"/>
            <w:shd w:val="clear" w:color="auto" w:fill="CFF0FC"/>
          </w:tcPr>
          <w:p>
            <w:pPr>
              <w:spacing w:after="0"/>
              <w:rPr>
                <w:sz w:val="12"/>
                <w:szCs w:val="12"/>
                <w:color w:val="auto"/>
              </w:rPr>
            </w:pPr>
          </w:p>
        </w:tc>
        <w:tc>
          <w:tcPr>
            <w:tcW w:w="460" w:type="dxa"/>
            <w:vAlign w:val="bottom"/>
            <w:vMerge w:val="restart"/>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46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11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5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23,502</w:t>
            </w:r>
          </w:p>
        </w:tc>
        <w:tc>
          <w:tcPr>
            <w:tcW w:w="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(9,339 )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9,339</w:t>
            </w:r>
          </w:p>
        </w:tc>
        <w:tc>
          <w:tcPr>
            <w:tcW w:w="58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(37,285 ) $</w:t>
            </w: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(13,783 )</w:t>
            </w:r>
          </w:p>
        </w:tc>
        <w:tc>
          <w:tcPr>
            <w:tcW w:w="0" w:type="dxa"/>
            <w:vAlign w:val="bottom"/>
          </w:tcPr>
          <w:p>
            <w:pPr>
              <w:spacing w:after="0"/>
              <w:rPr>
                <w:sz w:val="1"/>
                <w:szCs w:val="1"/>
                <w:color w:val="auto"/>
              </w:rPr>
            </w:pPr>
          </w:p>
        </w:tc>
      </w:tr>
      <w:tr>
        <w:trPr>
          <w:trHeight w:val="185"/>
        </w:trPr>
        <w:tc>
          <w:tcPr>
            <w:tcW w:w="2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642,388</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642,388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(683,923 )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(41,535 )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665,890</w:t>
            </w:r>
          </w:p>
        </w:tc>
        <w:tc>
          <w:tcPr>
            <w:tcW w:w="1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(9,339 )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656,551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9,339</w:t>
            </w:r>
          </w:p>
        </w:tc>
        <w:tc>
          <w:tcPr>
            <w:tcW w:w="5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(721,208 )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(55,318 )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-2302510</wp:posOffset>
            </wp:positionV>
            <wp:extent cx="76835" cy="25717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05">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-2302510</wp:posOffset>
            </wp:positionV>
            <wp:extent cx="76835" cy="25717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06">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-2302510</wp:posOffset>
            </wp:positionV>
            <wp:extent cx="68580" cy="25717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0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-2302510</wp:posOffset>
            </wp:positionV>
            <wp:extent cx="68580" cy="25717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08">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-2302510</wp:posOffset>
            </wp:positionV>
            <wp:extent cx="68580" cy="25717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09">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25717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1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-1617345</wp:posOffset>
            </wp:positionV>
            <wp:extent cx="76835" cy="36830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11">
                      <a:extLst>
                        <a:ext uri="{28A0092B-C50C-407E-A947-70E740481C1C}"/>
                      </a:extLst>
                    </a:blip>
                    <a:srcRect/>
                    <a:stretch>
                      <a:fillRect/>
                    </a:stretch>
                  </pic:blipFill>
                  <pic:spPr bwMode="auto">
                    <a:xfrm>
                      <a:off x="0" y="0"/>
                      <a:ext cx="76835" cy="36830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-1617345</wp:posOffset>
            </wp:positionV>
            <wp:extent cx="76835" cy="36830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12">
                      <a:extLst>
                        <a:ext uri="{28A0092B-C50C-407E-A947-70E740481C1C}"/>
                      </a:extLst>
                    </a:blip>
                    <a:srcRect/>
                    <a:stretch>
                      <a:fillRect/>
                    </a:stretch>
                  </pic:blipFill>
                  <pic:spPr bwMode="auto">
                    <a:xfrm>
                      <a:off x="0" y="0"/>
                      <a:ext cx="76835" cy="36830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-1617345</wp:posOffset>
            </wp:positionV>
            <wp:extent cx="68580" cy="3683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13">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-1617345</wp:posOffset>
            </wp:positionV>
            <wp:extent cx="68580" cy="36830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14">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-1617345</wp:posOffset>
            </wp:positionV>
            <wp:extent cx="68580" cy="3683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15">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36830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16">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-829945</wp:posOffset>
            </wp:positionV>
            <wp:extent cx="76835" cy="25717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17">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-829945</wp:posOffset>
            </wp:positionV>
            <wp:extent cx="76835" cy="25717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18">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-829945</wp:posOffset>
            </wp:positionV>
            <wp:extent cx="68580" cy="25717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19">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-829945</wp:posOffset>
            </wp:positionV>
            <wp:extent cx="68580" cy="25717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2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-829945</wp:posOffset>
            </wp:positionV>
            <wp:extent cx="68580" cy="25717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2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25717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2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-144780</wp:posOffset>
            </wp:positionV>
            <wp:extent cx="76835" cy="14541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2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-144780</wp:posOffset>
            </wp:positionV>
            <wp:extent cx="76835" cy="14541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2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-144780</wp:posOffset>
            </wp:positionV>
            <wp:extent cx="68580" cy="14541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-144780</wp:posOffset>
            </wp:positionV>
            <wp:extent cx="68580" cy="14541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-144780</wp:posOffset>
            </wp:positionV>
            <wp:extent cx="68580" cy="14541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28">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LEASES</w:t>
      </w:r>
    </w:p>
    <w:p>
      <w:pPr>
        <w:spacing w:after="0" w:line="188" w:lineRule="exact"/>
        <w:rPr>
          <w:sz w:val="20"/>
          <w:szCs w:val="20"/>
          <w:color w:val="auto"/>
        </w:rPr>
      </w:pPr>
    </w:p>
    <w:p>
      <w:pPr>
        <w:ind w:right="180" w:firstLine="637"/>
        <w:spacing w:after="0" w:line="265" w:lineRule="auto"/>
        <w:rPr>
          <w:sz w:val="20"/>
          <w:szCs w:val="20"/>
          <w:color w:val="auto"/>
        </w:rPr>
      </w:pPr>
      <w:r>
        <w:rPr>
          <w:rFonts w:ascii="Times New Roman" w:cs="Times New Roman" w:eastAsia="Times New Roman" w:hAnsi="Times New Roman"/>
          <w:sz w:val="18"/>
          <w:szCs w:val="18"/>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consolidated balance sheet.</w:t>
      </w:r>
    </w:p>
    <w:p>
      <w:pPr>
        <w:spacing w:after="0" w:line="150" w:lineRule="exact"/>
        <w:rPr>
          <w:sz w:val="20"/>
          <w:szCs w:val="20"/>
          <w:color w:val="auto"/>
        </w:rPr>
      </w:pPr>
    </w:p>
    <w:p>
      <w:pPr>
        <w:ind w:right="600" w:firstLine="637"/>
        <w:spacing w:after="0" w:line="281" w:lineRule="auto"/>
        <w:rPr>
          <w:sz w:val="20"/>
          <w:szCs w:val="20"/>
          <w:color w:val="auto"/>
        </w:rPr>
      </w:pPr>
      <w:r>
        <w:rPr>
          <w:rFonts w:ascii="Times New Roman" w:cs="Times New Roman" w:eastAsia="Times New Roman" w:hAnsi="Times New Roman"/>
          <w:sz w:val="18"/>
          <w:szCs w:val="18"/>
          <w:color w:val="auto"/>
        </w:rPr>
        <w:t>While the Company has, as a lessor, certain equipment finance leases, such leases are not material to the Company’s consolidated financial statements.</w:t>
      </w:r>
    </w:p>
    <w:p>
      <w:pPr>
        <w:spacing w:after="0" w:line="95" w:lineRule="exact"/>
        <w:rPr>
          <w:sz w:val="20"/>
          <w:szCs w:val="20"/>
          <w:color w:val="auto"/>
        </w:rPr>
      </w:pPr>
    </w:p>
    <w:p>
      <w:pPr>
        <w:jc w:val="center"/>
        <w:spacing w:after="0" w:line="406" w:lineRule="auto"/>
        <w:rPr>
          <w:sz w:val="20"/>
          <w:szCs w:val="20"/>
          <w:color w:val="auto"/>
        </w:rPr>
      </w:pPr>
      <w:r>
        <w:rPr>
          <w:rFonts w:ascii="Times New Roman" w:cs="Times New Roman" w:eastAsia="Times New Roman" w:hAnsi="Times New Roman"/>
          <w:sz w:val="18"/>
          <w:szCs w:val="18"/>
          <w:color w:val="auto"/>
        </w:rPr>
        <w:t>The tables below present the components of lease costs and supplemental information related to leases as of and for the periods presented.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57720" cy="425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4" w:name="page135"/>
    <w:bookmarkEnd w:id="134"/>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9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Assets and Liabilities</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20,864</w:t>
            </w:r>
          </w:p>
        </w:tc>
        <w:tc>
          <w:tcPr>
            <w:tcW w:w="100" w:type="dxa"/>
            <w:vAlign w:val="bottom"/>
            <w:shd w:val="clear" w:color="auto" w:fill="CFF0FC"/>
          </w:tcPr>
          <w:p>
            <w:pPr>
              <w:spacing w:after="0"/>
              <w:rPr>
                <w:sz w:val="21"/>
                <w:szCs w:val="21"/>
                <w:color w:val="auto"/>
              </w:rPr>
            </w:pPr>
          </w:p>
        </w:tc>
      </w:tr>
      <w:tr>
        <w:trPr>
          <w:trHeight w:val="472"/>
        </w:trPr>
        <w:tc>
          <w:tcPr>
            <w:tcW w:w="6920" w:type="dxa"/>
            <w:vAlign w:val="bottom"/>
          </w:tcPr>
          <w:p>
            <w:pPr>
              <w:spacing w:after="0"/>
              <w:rPr>
                <w:sz w:val="24"/>
                <w:szCs w:val="24"/>
                <w:color w:val="auto"/>
              </w:rPr>
            </w:pPr>
          </w:p>
        </w:tc>
        <w:tc>
          <w:tcPr>
            <w:tcW w:w="2540" w:type="dxa"/>
            <w:vAlign w:val="bottom"/>
            <w:tcBorders>
              <w:bottom w:val="single" w:sz="8" w:color="auto"/>
            </w:tcBorders>
            <w:gridSpan w:val="4"/>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9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gridSpan w:val="3"/>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expense (1)</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tcPr>
          <w:p>
            <w:pPr>
              <w:spacing w:after="0"/>
              <w:rPr>
                <w:sz w:val="20"/>
                <w:szCs w:val="20"/>
                <w:color w:val="auto"/>
              </w:rPr>
            </w:pPr>
          </w:p>
        </w:tc>
      </w:tr>
      <w:tr>
        <w:trPr>
          <w:trHeight w:val="243"/>
        </w:trPr>
        <w:tc>
          <w:tcPr>
            <w:tcW w:w="6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Sublease income</w:t>
            </w: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expense</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-187960</wp:posOffset>
            </wp:positionV>
            <wp:extent cx="59690" cy="18859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3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31">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ind w:left="1260" w:hanging="503"/>
        <w:spacing w:after="0"/>
        <w:tabs>
          <w:tab w:leader="none" w:pos="12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short-term leases and variable lease costs, which are immaterial.</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8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Operating cash outflows from operating leases, net</w:t>
            </w:r>
          </w:p>
        </w:tc>
        <w:tc>
          <w:tcPr>
            <w:tcW w:w="98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45"/>
        </w:trPr>
        <w:tc>
          <w:tcPr>
            <w:tcW w:w="68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6840" w:type="dxa"/>
            <w:vAlign w:val="bottom"/>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9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2.80 %</w:t>
            </w:r>
          </w:p>
        </w:tc>
        <w:tc>
          <w:tcPr>
            <w:tcW w:w="44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-144780</wp:posOffset>
            </wp:positionV>
            <wp:extent cx="6413500" cy="15430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32">
                      <a:extLst>
                        <a:ext uri="{28A0092B-C50C-407E-A947-70E740481C1C}"/>
                      </a:extLst>
                    </a:blip>
                    <a:srcRect/>
                    <a:stretch>
                      <a:fillRect/>
                    </a:stretch>
                  </pic:blipFill>
                  <pic:spPr bwMode="auto">
                    <a:xfrm>
                      <a:off x="0" y="0"/>
                      <a:ext cx="6413500" cy="154305"/>
                    </a:xfrm>
                    <a:prstGeom prst="rect">
                      <a:avLst/>
                    </a:prstGeom>
                    <a:noFill/>
                  </pic:spPr>
                </pic:pic>
              </a:graphicData>
            </a:graphic>
          </wp:anchor>
        </w:drawing>
      </w:r>
    </w:p>
    <w:p>
      <w:pPr>
        <w:spacing w:after="0" w:line="191" w:lineRule="exact"/>
        <w:rPr>
          <w:sz w:val="20"/>
          <w:szCs w:val="20"/>
          <w:color w:val="auto"/>
        </w:rPr>
      </w:pPr>
    </w:p>
    <w:p>
      <w:pPr>
        <w:ind w:right="80" w:firstLine="637"/>
        <w:spacing w:after="0" w:line="260" w:lineRule="auto"/>
        <w:rPr>
          <w:sz w:val="20"/>
          <w:szCs w:val="20"/>
          <w:color w:val="auto"/>
        </w:rPr>
      </w:pPr>
      <w:r>
        <w:rPr>
          <w:rFonts w:ascii="Times New Roman" w:cs="Times New Roman" w:eastAsia="Times New Roman" w:hAnsi="Times New Roman"/>
          <w:sz w:val="18"/>
          <w:szCs w:val="18"/>
          <w:color w:val="auto"/>
        </w:rPr>
        <w:t>The Company’s lease arrangements that have not yet commenced as of December 31, 2022 and the Company’s short-term lease costs and variable lease costs, for the year ended December 31, 2022 are not material to the consolidated financial statements. The future lease payments required for leases that have initial or remaining non-cancelable lease terms in excess of one year as of December 31, 2022, excluding property taxes and insurance,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w:t>
            </w:r>
          </w:p>
        </w:tc>
        <w:tc>
          <w:tcPr>
            <w:tcW w:w="3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3180" w:type="dxa"/>
            <w:vAlign w:val="bottom"/>
            <w:tcBorders>
              <w:top w:val="single" w:sz="8" w:color="CFF0FC"/>
            </w:tcBorders>
          </w:tcPr>
          <w:p>
            <w:pPr>
              <w:spacing w:after="0"/>
              <w:rPr>
                <w:sz w:val="20"/>
                <w:szCs w:val="20"/>
                <w:color w:val="auto"/>
              </w:rPr>
            </w:pPr>
          </w:p>
        </w:tc>
        <w:tc>
          <w:tcPr>
            <w:tcW w:w="4140" w:type="dxa"/>
            <w:vAlign w:val="bottom"/>
            <w:tcBorders>
              <w:top w:val="single" w:sz="8" w:color="CFF0FC"/>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180" w:type="dxa"/>
            <w:vAlign w:val="bottom"/>
            <w:shd w:val="clear" w:color="auto" w:fill="CFF0FC"/>
          </w:tcPr>
          <w:p>
            <w:pPr>
              <w:spacing w:after="0"/>
              <w:rPr>
                <w:sz w:val="21"/>
                <w:szCs w:val="21"/>
                <w:color w:val="auto"/>
              </w:rPr>
            </w:pPr>
          </w:p>
        </w:tc>
        <w:tc>
          <w:tcPr>
            <w:tcW w:w="3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180" w:type="dxa"/>
            <w:vAlign w:val="bottom"/>
            <w:shd w:val="clear" w:color="auto" w:fill="CFF0FC"/>
          </w:tcPr>
          <w:p>
            <w:pPr>
              <w:spacing w:after="0"/>
              <w:rPr>
                <w:sz w:val="21"/>
                <w:szCs w:val="21"/>
                <w:color w:val="auto"/>
              </w:rPr>
            </w:pPr>
          </w:p>
        </w:tc>
        <w:tc>
          <w:tcPr>
            <w:tcW w:w="3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3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(1,499 )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6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7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740" w:type="dxa"/>
            <w:vAlign w:val="bottom"/>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-1069975</wp:posOffset>
            </wp:positionV>
            <wp:extent cx="59690" cy="16256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33">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-753110</wp:posOffset>
            </wp:positionV>
            <wp:extent cx="59690" cy="18859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3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24.  REVENUE RECOGNITION</w:t>
      </w:r>
    </w:p>
    <w:p>
      <w:pPr>
        <w:spacing w:after="0" w:line="188" w:lineRule="exact"/>
        <w:rPr>
          <w:sz w:val="20"/>
          <w:szCs w:val="20"/>
          <w:color w:val="auto"/>
        </w:rPr>
      </w:pPr>
    </w:p>
    <w:p>
      <w:pPr>
        <w:jc w:val="both"/>
        <w:ind w:right="40" w:firstLine="637"/>
        <w:spacing w:after="0" w:line="265" w:lineRule="auto"/>
        <w:rPr>
          <w:sz w:val="20"/>
          <w:szCs w:val="20"/>
          <w:color w:val="auto"/>
        </w:rPr>
      </w:pPr>
      <w:r>
        <w:rPr>
          <w:rFonts w:ascii="Times New Roman" w:cs="Times New Roman" w:eastAsia="Times New Roman" w:hAnsi="Times New Roman"/>
          <w:sz w:val="18"/>
          <w:szCs w:val="18"/>
          <w:color w:val="auto"/>
        </w:rPr>
        <w:t>ASU No. 2014-09 “Revenue from Contracts with Customers (Topic 606)” and all subsequent ASUs that modified Topic 606 requires revenue that is derived from a contract with a customer to be recognized when the Company satisfies the related performance obligations by transferring to the customer a good or service.</w:t>
      </w:r>
    </w:p>
    <w:p>
      <w:pPr>
        <w:spacing w:after="0" w:line="137" w:lineRule="exact"/>
        <w:rPr>
          <w:sz w:val="20"/>
          <w:szCs w:val="20"/>
          <w:color w:val="auto"/>
        </w:rPr>
      </w:pPr>
    </w:p>
    <w:p>
      <w:pPr>
        <w:ind w:right="20" w:firstLine="637"/>
        <w:spacing w:after="0" w:line="256" w:lineRule="auto"/>
        <w:rPr>
          <w:sz w:val="20"/>
          <w:szCs w:val="20"/>
          <w:color w:val="auto"/>
        </w:rPr>
      </w:pPr>
      <w:r>
        <w:rPr>
          <w:rFonts w:ascii="Times New Roman" w:cs="Times New Roman" w:eastAsia="Times New Roman" w:hAnsi="Times New Roman"/>
          <w:sz w:val="18"/>
          <w:szCs w:val="18"/>
          <w:color w:val="auto"/>
        </w:rPr>
        <w:t>Topic 606 does not apply to revenue associated with financial instruments, including revenue from loans and securities. In addition, certain noninterest income streams such as fees associated with mortgage servicing rights, financial guarantees, derivatives, and certain credit card fees are also not in scope of the new guidance. Topic 606 is applicable to noninterest revenue streams such as trust and asset management income, deposit related fees, interchange fees, and merchant income. However, the recognition of these revenue streams did not change significantly upon adoption of Topic 606. Substantially all of the Company’s revenue is generated from contracts with customers. Noninterest revenue streams in-scope of Topic 606 are discussed below.</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Trust and Investment Services</w:t>
      </w:r>
    </w:p>
    <w:p>
      <w:pPr>
        <w:spacing w:after="0" w:line="119"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Trust and asset management income is primarily comprised of fees earned from the management and administration of trusts and customer assets. The Company’s performance obligation is generally satisfied over time and the resulting fees are recognized monthly, based upon the monthly market value of the assets under management and the applicable fee rate. Payment is generally received at month end through a direct charge to customers’ accounts. The Company does not earn performance-based incentives. Other services related to real estate and tax return preparation services are also provided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45" w:lineRule="exact"/>
        <w:rPr>
          <w:sz w:val="20"/>
          <w:szCs w:val="20"/>
          <w:color w:val="auto"/>
        </w:rPr>
      </w:pPr>
    </w:p>
    <w:p>
      <w:pPr>
        <w:ind w:right="80" w:firstLine="637"/>
        <w:spacing w:after="0" w:line="260" w:lineRule="auto"/>
        <w:rPr>
          <w:sz w:val="20"/>
          <w:szCs w:val="20"/>
          <w:color w:val="auto"/>
        </w:rPr>
      </w:pPr>
      <w:r>
        <w:rPr>
          <w:rFonts w:ascii="Times New Roman" w:cs="Times New Roman" w:eastAsia="Times New Roman" w:hAnsi="Times New Roman"/>
          <w:sz w:val="18"/>
          <w:szCs w:val="18"/>
          <w:color w:val="auto"/>
        </w:rPr>
        <w:t>Wealth Management contracts with customers have no clauses that would entitle customers to additional services. Fees are generally earned based on market value of assets under management (AUM) and miscellaneous fees are transaction driven and are charged based on an agreed upon fee schedule. Performance obligation is satisfied upon execution of the transaction and there is no need to allocate transaction price to the performance obligation(s) in the contract. Wealth Management customers can also terminate the contract at will.</w:t>
      </w:r>
    </w:p>
    <w:p>
      <w:pPr>
        <w:spacing w:after="0" w:line="155" w:lineRule="exact"/>
        <w:rPr>
          <w:sz w:val="20"/>
          <w:szCs w:val="20"/>
          <w:color w:val="auto"/>
        </w:rPr>
      </w:pPr>
    </w:p>
    <w:p>
      <w:pPr>
        <w:ind w:right="220" w:firstLine="637"/>
        <w:spacing w:after="0" w:line="265" w:lineRule="auto"/>
        <w:rPr>
          <w:sz w:val="20"/>
          <w:szCs w:val="20"/>
          <w:color w:val="auto"/>
        </w:rPr>
      </w:pPr>
      <w:r>
        <w:rPr>
          <w:rFonts w:ascii="Times New Roman" w:cs="Times New Roman" w:eastAsia="Times New Roman" w:hAnsi="Times New Roman"/>
          <w:sz w:val="18"/>
          <w:szCs w:val="18"/>
          <w:color w:val="auto"/>
        </w:rPr>
        <w:t>For Investment Services, the fees are earned based on services performed for customers as provided through an affiliated broker-dealer. Fees are earned from gross dealer commission based on trade date. Performance obligation is satisfied upon execution of the transaction and there is no need to allocate transaction price to the performance obligation(s) in the contract.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Deposit-related Fees</w:t>
      </w:r>
    </w:p>
    <w:p>
      <w:pPr>
        <w:spacing w:after="0" w:line="119" w:lineRule="exact"/>
        <w:rPr>
          <w:sz w:val="20"/>
          <w:szCs w:val="20"/>
          <w:color w:val="auto"/>
        </w:rPr>
      </w:pPr>
    </w:p>
    <w:p>
      <w:pPr>
        <w:ind w:right="80" w:firstLine="637"/>
        <w:spacing w:after="0" w:line="258" w:lineRule="auto"/>
        <w:rPr>
          <w:sz w:val="20"/>
          <w:szCs w:val="20"/>
          <w:color w:val="auto"/>
        </w:rPr>
      </w:pPr>
      <w:r>
        <w:rPr>
          <w:rFonts w:ascii="Times New Roman" w:cs="Times New Roman" w:eastAsia="Times New Roman" w:hAnsi="Times New Roman"/>
          <w:sz w:val="18"/>
          <w:szCs w:val="18"/>
          <w:color w:val="auto"/>
        </w:rPr>
        <w:t>Service charges on deposit accounts consist of account analysis fees earned on analyzed business checking accounts, monthly service fees, and other deposit account related fees. The Company’s performance obligation for account analysis fees and monthly service fees is generally satisfied, and the related revenue recognized, over the period in which the service is provided.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Bankcard Services</w:t>
      </w:r>
    </w:p>
    <w:p>
      <w:pPr>
        <w:spacing w:after="0" w:line="119" w:lineRule="exact"/>
        <w:rPr>
          <w:sz w:val="20"/>
          <w:szCs w:val="20"/>
          <w:color w:val="auto"/>
        </w:rPr>
      </w:pPr>
    </w:p>
    <w:p>
      <w:pPr>
        <w:ind w:right="200" w:firstLine="637"/>
        <w:spacing w:after="0" w:line="258" w:lineRule="auto"/>
        <w:rPr>
          <w:sz w:val="20"/>
          <w:szCs w:val="20"/>
          <w:color w:val="auto"/>
        </w:rPr>
      </w:pPr>
      <w:r>
        <w:rPr>
          <w:rFonts w:ascii="Times New Roman" w:cs="Times New Roman" w:eastAsia="Times New Roman" w:hAnsi="Times New Roman"/>
          <w:sz w:val="18"/>
          <w:szCs w:val="18"/>
          <w:color w:val="auto"/>
        </w:rPr>
        <w:t>The Bank generates revenues from merchant servicing to its clients. A fee schedule is part of the contract and is calculated based on sales of merchants on a monthly basis. There is no future promise or claim to deliver services as merchant fees are based on monthly merchant transactions. The Company’s performance obligations are largely satisfied, and related revenue recognized, when the services are rendered or upon completion. Payment is typically received immediately or in the following month. Therefore, the new revenue standard has no impact on revenues generated from bankcard services.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The following presents noninterest income, segregated by revenue streams in-scope and out-of-scope of Topic 606,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w w:val="98"/>
              </w:rPr>
              <w:t>(Dollars 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In-scope of Topic 606:</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21,382</w:t>
            </w: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11,518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Bankcard services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Gain on OREO, net</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Noninterest Income (in-scope of Topic 606)</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41,916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40,090</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Noninterest Income (out-of-scope of Topic 606)</w:t>
            </w: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49,989</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49,870</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-504825</wp:posOffset>
            </wp:positionV>
            <wp:extent cx="76835" cy="16256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3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-504825</wp:posOffset>
            </wp:positionV>
            <wp:extent cx="68580" cy="16256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18859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18859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00" w:lineRule="exact"/>
        <w:rPr>
          <w:sz w:val="20"/>
          <w:szCs w:val="20"/>
          <w:color w:val="auto"/>
        </w:rPr>
      </w:pPr>
    </w:p>
    <w:p>
      <w:pPr>
        <w:ind w:right="40" w:firstLine="637"/>
        <w:spacing w:after="0" w:line="258" w:lineRule="auto"/>
        <w:rPr>
          <w:sz w:val="20"/>
          <w:szCs w:val="20"/>
          <w:color w:val="auto"/>
        </w:rPr>
      </w:pPr>
      <w:r>
        <w:rPr>
          <w:rFonts w:ascii="Times New Roman" w:cs="Times New Roman" w:eastAsia="Times New Roman" w:hAnsi="Times New Roman"/>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25.  CONDENSED FINANCIAL INFORMATION OF PARENT COMPANY</w:t>
      </w:r>
    </w:p>
    <w:p>
      <w:pPr>
        <w:spacing w:after="0" w:line="188" w:lineRule="exact"/>
        <w:rPr>
          <w:sz w:val="20"/>
          <w:szCs w:val="20"/>
          <w:color w:val="auto"/>
        </w:rPr>
      </w:pPr>
    </w:p>
    <w:p>
      <w:pPr>
        <w:ind w:right="200" w:firstLine="637"/>
        <w:spacing w:after="0" w:line="281" w:lineRule="auto"/>
        <w:rPr>
          <w:sz w:val="20"/>
          <w:szCs w:val="20"/>
          <w:color w:val="auto"/>
        </w:rPr>
      </w:pPr>
      <w:r>
        <w:rPr>
          <w:rFonts w:ascii="Times New Roman" w:cs="Times New Roman" w:eastAsia="Times New Roman" w:hAnsi="Times New Roman"/>
          <w:sz w:val="18"/>
          <w:szCs w:val="18"/>
          <w:color w:val="auto"/>
        </w:rPr>
        <w:t>The following tables provide the parent company only condensed balance sheets, condensed statements of earnings and condensed statements of cash flows for the periods presented.</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CVB FINANCIAL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0"/>
        </w:trPr>
        <w:tc>
          <w:tcPr>
            <w:tcW w:w="5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w:t>
            </w:r>
          </w:p>
        </w:tc>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1"/>
        </w:trPr>
        <w:tc>
          <w:tcPr>
            <w:tcW w:w="580" w:type="dxa"/>
            <w:vAlign w:val="bottom"/>
          </w:tcPr>
          <w:p>
            <w:pPr>
              <w:spacing w:after="0"/>
              <w:rPr>
                <w:sz w:val="21"/>
                <w:szCs w:val="21"/>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1,930,702</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2,038,948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 net</w:t>
            </w:r>
          </w:p>
        </w:tc>
        <w:tc>
          <w:tcPr>
            <w:tcW w:w="28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46,557</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67,998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1,977,259</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2,106,946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80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28,742</w:t>
            </w:r>
          </w:p>
        </w:tc>
        <w:tc>
          <w:tcPr>
            <w:tcW w:w="280" w:type="dxa"/>
            <w:vAlign w:val="bottom"/>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8"/>
        </w:trPr>
        <w:tc>
          <w:tcPr>
            <w:tcW w:w="5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1,948,517</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2,081,503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0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1,977,259</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2,106,946</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24"/>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-1095375</wp:posOffset>
            </wp:positionV>
            <wp:extent cx="68580" cy="18859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-1095375</wp:posOffset>
            </wp:positionV>
            <wp:extent cx="59690" cy="18859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4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-436245</wp:posOffset>
            </wp:positionV>
            <wp:extent cx="6858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-419100</wp:posOffset>
            </wp:positionV>
            <wp:extent cx="6858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-436245</wp:posOffset>
            </wp:positionV>
            <wp:extent cx="596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-419100</wp:posOffset>
            </wp:positionV>
            <wp:extent cx="596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37" w:name="page138"/>
    <w:bookmarkEnd w:id="1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CVB FINANCIAL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net earnings of subsidiaries</w:t>
            </w:r>
          </w:p>
        </w:tc>
        <w:tc>
          <w:tcPr>
            <w:tcW w:w="21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45,512</w:t>
            </w:r>
          </w:p>
        </w:tc>
        <w:tc>
          <w:tcPr>
            <w:tcW w:w="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88,099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(34,936 )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Dividends from the Bank</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(4,578 )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8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235,425</w:t>
            </w: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212,521</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177,159</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1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CVB FINANCIAL CORP.</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7180" w:type="dxa"/>
            <w:vAlign w:val="bottom"/>
            <w:gridSpan w:val="5"/>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2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235,425</w:t>
            </w:r>
          </w:p>
        </w:tc>
        <w:tc>
          <w:tcPr>
            <w:tcW w:w="80" w:type="dxa"/>
            <w:vAlign w:val="bottom"/>
          </w:tcPr>
          <w:p>
            <w:pPr>
              <w:spacing w:after="0"/>
              <w:rPr>
                <w:sz w:val="20"/>
                <w:szCs w:val="20"/>
                <w:color w:val="auto"/>
              </w:rPr>
            </w:pP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212,521</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Adjustments to reconcile net earnings to cash used in</w:t>
            </w:r>
          </w:p>
        </w:tc>
        <w:tc>
          <w:tcPr>
            <w:tcW w:w="18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operating activities:</w:t>
            </w:r>
          </w:p>
        </w:tc>
        <w:tc>
          <w:tcPr>
            <w:tcW w:w="1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of subsidiaries</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(240,512 )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(217,099 )</w:t>
            </w: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(182,064 )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Tax settlement received from the Bank</w:t>
            </w:r>
          </w:p>
        </w:tc>
        <w:tc>
          <w:tcPr>
            <w:tcW w:w="1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1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(888 )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adjustments</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(233,747 )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(205,145 )</w:t>
            </w: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(178,553 )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880" w:type="dxa"/>
            <w:vAlign w:val="bottom"/>
            <w:tcBorders>
              <w:bottom w:val="single" w:sz="8" w:color="CFF0FC"/>
            </w:tcBorders>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Dividends received from the Bank</w:t>
            </w:r>
          </w:p>
        </w:tc>
        <w:tc>
          <w:tcPr>
            <w:tcW w:w="18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junior subordinated debentures</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(25,774 )</w:t>
            </w:r>
          </w:p>
        </w:tc>
        <w:tc>
          <w:tcPr>
            <w:tcW w:w="280" w:type="dxa"/>
            <w:vAlign w:val="bottom"/>
          </w:tcPr>
          <w:p>
            <w:pPr>
              <w:spacing w:after="0"/>
              <w:rPr>
                <w:sz w:val="20"/>
                <w:szCs w:val="20"/>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(104,439 )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(97,733 )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(98,475 )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(46,330 )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(8,337 )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(92,772 )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 ASR</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0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(218,846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(130,567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Net (decrease) increase in cash and cash equivalents</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(22,168 )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8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55,644</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31,054</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39,285</w:t>
            </w:r>
          </w:p>
        </w:tc>
        <w:tc>
          <w:tcPr>
            <w:tcW w:w="80" w:type="dxa"/>
            <w:vAlign w:val="bottom"/>
          </w:tcPr>
          <w:p>
            <w:pPr>
              <w:spacing w:after="0"/>
              <w:rPr>
                <w:sz w:val="20"/>
                <w:szCs w:val="20"/>
                <w:color w:val="auto"/>
              </w:rPr>
            </w:pP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8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-5265420</wp:posOffset>
            </wp:positionV>
            <wp:extent cx="68580" cy="18859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-5265420</wp:posOffset>
            </wp:positionV>
            <wp:extent cx="59690" cy="18859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5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-5265420</wp:posOffset>
            </wp:positionV>
            <wp:extent cx="59690" cy="18859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5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-2833370</wp:posOffset>
            </wp:positionV>
            <wp:extent cx="68580" cy="17145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-2833370</wp:posOffset>
            </wp:positionV>
            <wp:extent cx="59690" cy="17145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5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-2833370</wp:posOffset>
            </wp:positionV>
            <wp:extent cx="59690" cy="17145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5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-2508250</wp:posOffset>
            </wp:positionV>
            <wp:extent cx="68580" cy="16256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-2508250</wp:posOffset>
            </wp:positionV>
            <wp:extent cx="59690" cy="16256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59">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-2508250</wp:posOffset>
            </wp:positionV>
            <wp:extent cx="59690" cy="16256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6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-2191385</wp:posOffset>
            </wp:positionV>
            <wp:extent cx="68580" cy="17145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-2191385</wp:posOffset>
            </wp:positionV>
            <wp:extent cx="59690" cy="17145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6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-2191385</wp:posOffset>
            </wp:positionV>
            <wp:extent cx="59690" cy="17145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6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-932815</wp:posOffset>
            </wp:positionV>
            <wp:extent cx="68580" cy="16256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-932815</wp:posOffset>
            </wp:positionV>
            <wp:extent cx="59690" cy="16256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65">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-932815</wp:posOffset>
            </wp:positionV>
            <wp:extent cx="59690" cy="16256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66">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-615950</wp:posOffset>
            </wp:positionV>
            <wp:extent cx="68580" cy="18859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-615950</wp:posOffset>
            </wp:positionV>
            <wp:extent cx="59690" cy="18859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6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-615950</wp:posOffset>
            </wp:positionV>
            <wp:extent cx="59690" cy="18859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6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8" w:name="page139"/>
    <w:bookmarkEnd w:id="138"/>
    <w:p>
      <w:pPr>
        <w:ind w:left="640" w:right="7799" w:hanging="632"/>
        <w:spacing w:after="0" w:line="536" w:lineRule="auto"/>
        <w:tabs>
          <w:tab w:leader="none" w:pos="36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No matters to report.</w:t>
      </w:r>
    </w:p>
    <w:p>
      <w:pPr>
        <w:spacing w:after="0" w:line="28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81" w:right="1440"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CVB Financial Corp and subsidiaries (the Company) as of December 31, 2022 and 2021, the related consolidated statements of earnings and comprehensive income,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8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2023 expressed an unqualified opinion on the effectiveness of the Company’s internal control over financial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9" w:lineRule="exact"/>
        <w:rPr>
          <w:sz w:val="20"/>
          <w:szCs w:val="20"/>
          <w:color w:val="auto"/>
        </w:rPr>
      </w:pPr>
    </w:p>
    <w:p>
      <w:pPr>
        <w:ind w:left="520"/>
        <w:spacing w:after="0" w:line="281" w:lineRule="auto"/>
        <w:rPr>
          <w:sz w:val="20"/>
          <w:szCs w:val="20"/>
          <w:color w:val="auto"/>
        </w:rPr>
      </w:pPr>
      <w:r>
        <w:rPr>
          <w:rFonts w:ascii="Times New Roman" w:cs="Times New Roman" w:eastAsia="Times New Roman" w:hAnsi="Times New Roman"/>
          <w:sz w:val="18"/>
          <w:szCs w:val="18"/>
          <w:color w:val="auto"/>
        </w:rPr>
        <w:t>Assessment of the allowance for credit losses for loans evaluated on a collective basis under Commercial and Industrial and Commercial Real Estate methodologies.</w:t>
      </w:r>
    </w:p>
    <w:p>
      <w:pPr>
        <w:spacing w:after="0" w:line="163" w:lineRule="exact"/>
        <w:rPr>
          <w:sz w:val="20"/>
          <w:szCs w:val="20"/>
          <w:color w:val="auto"/>
        </w:rPr>
      </w:pPr>
    </w:p>
    <w:p>
      <w:pPr>
        <w:ind w:left="520" w:right="20"/>
        <w:spacing w:after="0" w:line="253" w:lineRule="auto"/>
        <w:rPr>
          <w:sz w:val="20"/>
          <w:szCs w:val="20"/>
          <w:color w:val="auto"/>
        </w:rPr>
      </w:pPr>
      <w:r>
        <w:rPr>
          <w:rFonts w:ascii="Times New Roman" w:cs="Times New Roman" w:eastAsia="Times New Roman" w:hAnsi="Times New Roman"/>
          <w:sz w:val="18"/>
          <w:szCs w:val="18"/>
          <w:color w:val="auto"/>
        </w:rPr>
        <w:t>As discussed in Note 3 and Note 6 to the consolidated financial statements, the Company’s total allowance for credit losses as December 31, 2022 was $85.1 million, a substantial portion of which relates to the allowance for credit losses on loans evaluated on a collective basis using the commercial real estate methodology (commercial ACL). The commercial ACL includes the measure of expected credit losses on a collective basis by pooling those loans that share similar risk characteristics into segments. The commercial ACL methodology includes an estimation framework that uses loss experience of data sets of unique loans to derive lifetime loss rates at the pool level during the average life, inclusive of prepayments. The methodology to estimate the commercial ACL is largely driven by portfolio characteristics, including loss history, original loan-to-value ratios, and macroeconomic variables and the associated economic outlook. The commercial ACL incorporates a reasonable and supportable forecast of various macroeconomic variables over the remaining average life of the loan. The forecast incorporates an assumption that each macroeconomic variable will revert to a long-term expectation, starting in years 2-3, of the reasonable and supportable forecast period, with the reversion largely completed within the first five years of the forecast. The commercial ACL methodology incorporates unique macroeconomic variables based on risk drivers to the underlying portfolio. The</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40" w:name="page141"/>
    <w:bookmarkEnd w:id="140"/>
    <w:p>
      <w:pPr>
        <w:spacing w:after="0" w:line="281" w:lineRule="auto"/>
        <w:rPr>
          <w:sz w:val="20"/>
          <w:szCs w:val="20"/>
          <w:color w:val="auto"/>
        </w:rPr>
      </w:pPr>
      <w:r>
        <w:rPr>
          <w:rFonts w:ascii="Times New Roman" w:cs="Times New Roman" w:eastAsia="Times New Roman" w:hAnsi="Times New Roman"/>
          <w:sz w:val="18"/>
          <w:szCs w:val="18"/>
          <w:color w:val="auto"/>
        </w:rPr>
        <w:t>Company reviews current conditions and forecasts to determine whether adjustments are needed to ensure that the life of loan loss rates reflect both the current state of the portfolio, and expectations for macroeconomic changes.</w:t>
      </w:r>
    </w:p>
    <w:p>
      <w:pPr>
        <w:spacing w:after="0" w:line="16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identified the assessment of the December 31, 2022 commercial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commercial ACL methodology, including the method used to estimate lifetime loss rates and the key assumptions: portfolio segmentation, prepayments, the economic forecast scenarios and their weightings and macroeconomic variables, and the length of the reasonable and supportable forecast period. The assessment also included the evaluation of the adjustments performed to align the life of loan loss rates with the current state of the portfolio. In addition, auditor judgment was required to evaluate the sufficiency of audit evidence obtained.</w:t>
      </w:r>
    </w:p>
    <w:p>
      <w:pPr>
        <w:spacing w:after="0" w:line="18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Company’s measurement of the commercial ACL estimates, including controls over the:</w:t>
      </w:r>
    </w:p>
    <w:p>
      <w:pPr>
        <w:spacing w:after="0" w:line="31" w:lineRule="exact"/>
        <w:rPr>
          <w:sz w:val="20"/>
          <w:szCs w:val="20"/>
          <w:color w:val="auto"/>
        </w:rPr>
      </w:pPr>
    </w:p>
    <w:p>
      <w:pPr>
        <w:ind w:left="1020" w:hanging="514"/>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the collective commercial ACL methodology</w:t>
      </w:r>
    </w:p>
    <w:p>
      <w:pPr>
        <w:spacing w:after="0" w:line="116" w:lineRule="exact"/>
        <w:rPr>
          <w:rFonts w:ascii="Times New Roman" w:cs="Times New Roman" w:eastAsia="Times New Roman" w:hAnsi="Times New Roman"/>
          <w:sz w:val="18"/>
          <w:szCs w:val="18"/>
          <w:color w:val="auto"/>
        </w:rPr>
      </w:pPr>
    </w:p>
    <w:p>
      <w:pPr>
        <w:ind w:left="1020" w:hanging="514"/>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the lifetime loss rate methodology</w:t>
      </w:r>
    </w:p>
    <w:p>
      <w:pPr>
        <w:spacing w:after="0" w:line="116" w:lineRule="exact"/>
        <w:rPr>
          <w:rFonts w:ascii="Times New Roman" w:cs="Times New Roman" w:eastAsia="Times New Roman" w:hAnsi="Times New Roman"/>
          <w:sz w:val="18"/>
          <w:szCs w:val="18"/>
          <w:color w:val="auto"/>
        </w:rPr>
      </w:pPr>
    </w:p>
    <w:p>
      <w:pPr>
        <w:ind w:left="1020" w:hanging="514"/>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monitoring of the lifetime loss rate methodology</w:t>
      </w:r>
    </w:p>
    <w:p>
      <w:pPr>
        <w:spacing w:after="0" w:line="116" w:lineRule="exact"/>
        <w:rPr>
          <w:rFonts w:ascii="Times New Roman" w:cs="Times New Roman" w:eastAsia="Times New Roman" w:hAnsi="Times New Roman"/>
          <w:sz w:val="18"/>
          <w:szCs w:val="18"/>
          <w:color w:val="auto"/>
        </w:rPr>
      </w:pPr>
    </w:p>
    <w:p>
      <w:pPr>
        <w:ind w:left="1020" w:hanging="514"/>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determination of the key assumptions used in the lifetime loss rate methodology</w:t>
      </w:r>
    </w:p>
    <w:p>
      <w:pPr>
        <w:spacing w:after="0" w:line="117"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development of the adjustments performed to align the life of loan loss rates with the current state of the  portfolio</w:t>
      </w:r>
    </w:p>
    <w:p>
      <w:pPr>
        <w:spacing w:after="0" w:line="117" w:lineRule="exact"/>
        <w:rPr>
          <w:sz w:val="20"/>
          <w:szCs w:val="20"/>
          <w:color w:val="auto"/>
        </w:rPr>
      </w:pPr>
    </w:p>
    <w:p>
      <w:pPr>
        <w:ind w:left="1020" w:hanging="51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the collective commercial ACL results, trends, and ratios.</w:t>
      </w:r>
    </w:p>
    <w:p>
      <w:pPr>
        <w:spacing w:after="0" w:line="184" w:lineRule="exact"/>
        <w:rPr>
          <w:sz w:val="20"/>
          <w:szCs w:val="20"/>
          <w:color w:val="auto"/>
        </w:rPr>
      </w:pPr>
    </w:p>
    <w:p>
      <w:pPr>
        <w:jc w:val="both"/>
        <w:ind w:left="500" w:right="160"/>
        <w:spacing w:after="0" w:line="265" w:lineRule="auto"/>
        <w:rPr>
          <w:sz w:val="20"/>
          <w:szCs w:val="20"/>
          <w:color w:val="auto"/>
        </w:rPr>
      </w:pPr>
      <w:r>
        <w:rPr>
          <w:rFonts w:ascii="Times New Roman" w:cs="Times New Roman" w:eastAsia="Times New Roman" w:hAnsi="Times New Roman"/>
          <w:sz w:val="18"/>
          <w:szCs w:val="18"/>
          <w:color w:val="auto"/>
        </w:rPr>
        <w:t>We evaluated the Company’s process to develop the commercial ACL estimate by testing certain sources of data, factors, and assumptions that the Company used, and considered the relevance and reliability of such data, factors, and assumptions. In addition, we involved credit risk professionals with specialized skills and knowledge, who assisted in:</w:t>
      </w:r>
    </w:p>
    <w:p>
      <w:pPr>
        <w:spacing w:after="0" w:line="177" w:lineRule="exact"/>
        <w:rPr>
          <w:sz w:val="20"/>
          <w:szCs w:val="20"/>
          <w:color w:val="auto"/>
        </w:rPr>
      </w:pPr>
    </w:p>
    <w:p>
      <w:pPr>
        <w:ind w:left="1020" w:hanging="51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commercial ACL methodology for compliance with U.S. generally accepted accounting principles</w:t>
      </w:r>
    </w:p>
    <w:p>
      <w:pPr>
        <w:spacing w:after="0" w:line="116" w:lineRule="exact"/>
        <w:rPr>
          <w:rFonts w:ascii="Times New Roman" w:cs="Times New Roman" w:eastAsia="Times New Roman" w:hAnsi="Times New Roman"/>
          <w:sz w:val="18"/>
          <w:szCs w:val="18"/>
          <w:color w:val="auto"/>
        </w:rPr>
      </w:pPr>
    </w:p>
    <w:p>
      <w:pPr>
        <w:ind w:left="1020" w:right="60" w:hanging="514"/>
        <w:spacing w:after="0" w:line="312" w:lineRule="auto"/>
        <w:tabs>
          <w:tab w:leader="none" w:pos="10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judgments made relative to the development and performance monitoring of the lifetime loss rate methodology, including prepayments, by comparing them to Company-specific metrics and trends and the applicable industry and regulatory guidance</w:t>
      </w:r>
    </w:p>
    <w:p>
      <w:pPr>
        <w:spacing w:after="0" w:line="31" w:lineRule="exact"/>
        <w:rPr>
          <w:rFonts w:ascii="Times New Roman" w:cs="Times New Roman" w:eastAsia="Times New Roman" w:hAnsi="Times New Roman"/>
          <w:sz w:val="17"/>
          <w:szCs w:val="17"/>
          <w:color w:val="auto"/>
        </w:rPr>
      </w:pPr>
    </w:p>
    <w:p>
      <w:pPr>
        <w:ind w:left="1020" w:right="520" w:hanging="514"/>
        <w:spacing w:after="0" w:line="281"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conceptual soundness and performance of the lifetime loss rate methodology, including their key assumptions, to determine whether the methodology was suitable for the intended use</w:t>
      </w:r>
    </w:p>
    <w:p>
      <w:pPr>
        <w:spacing w:after="0" w:line="54" w:lineRule="exact"/>
        <w:rPr>
          <w:rFonts w:ascii="Times New Roman" w:cs="Times New Roman" w:eastAsia="Times New Roman" w:hAnsi="Times New Roman"/>
          <w:sz w:val="18"/>
          <w:szCs w:val="18"/>
          <w:color w:val="auto"/>
        </w:rPr>
      </w:pPr>
    </w:p>
    <w:p>
      <w:pPr>
        <w:ind w:left="1020" w:right="40" w:hanging="514"/>
        <w:spacing w:after="0" w:line="265"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weighted economic forecast scenarios and underlying assumptions driving the macroeconomic variable changes, including the determination of the reasonable and supportable forecast period and weightings used by comparing it to the Company’s business environment and relevant industry practice</w:t>
      </w:r>
    </w:p>
    <w:p>
      <w:pPr>
        <w:spacing w:after="0" w:line="69" w:lineRule="exact"/>
        <w:rPr>
          <w:rFonts w:ascii="Times New Roman" w:cs="Times New Roman" w:eastAsia="Times New Roman" w:hAnsi="Times New Roman"/>
          <w:sz w:val="18"/>
          <w:szCs w:val="18"/>
          <w:color w:val="auto"/>
        </w:rPr>
      </w:pPr>
    </w:p>
    <w:p>
      <w:pPr>
        <w:ind w:left="1020" w:right="880" w:hanging="514"/>
        <w:spacing w:after="0" w:line="281"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loan portfolio is segmented by similar risk characteristics by comparing to specific portfolio risk characteristics and trends</w:t>
      </w:r>
    </w:p>
    <w:p>
      <w:pPr>
        <w:sectPr>
          <w:pgSz w:w="11900" w:h="16838" w:orient="portrait"/>
          <w:cols w:equalWidth="0" w:num="1">
            <w:col w:w="10620"/>
          </w:cols>
          <w:pgMar w:left="840" w:top="337" w:right="439" w:bottom="1440" w:gutter="0" w:footer="0" w:header="0"/>
        </w:sectPr>
      </w:pP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evaluating the methodology used to develop the adjustments and the effect of those adjustments on the commercial ACL compared with relevant credit risk factors and consistency with credit trends and identified limitations of the underlying pool level metrics.</w:t>
      </w:r>
    </w:p>
    <w:p>
      <w:pPr>
        <w:spacing w:after="0" w:line="136" w:lineRule="exact"/>
        <w:rPr>
          <w:sz w:val="20"/>
          <w:szCs w:val="20"/>
          <w:color w:val="auto"/>
        </w:rPr>
      </w:pPr>
    </w:p>
    <w:p>
      <w:pPr>
        <w:sectPr>
          <w:pgSz w:w="11900" w:h="16838" w:orient="portrait"/>
          <w:cols w:equalWidth="0" w:num="2">
            <w:col w:w="560" w:space="460"/>
            <w:col w:w="9600"/>
          </w:cols>
          <w:pgMar w:left="840" w:top="337" w:right="4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We also assessed the sufficiency of audit evidence obtained related to the December 31, 2022 commercial ACL by evaluating the:</w:t>
      </w:r>
    </w:p>
    <w:p>
      <w:pPr>
        <w:spacing w:after="0" w:line="128" w:lineRule="exact"/>
        <w:rPr>
          <w:sz w:val="20"/>
          <w:szCs w:val="20"/>
          <w:color w:val="auto"/>
        </w:rPr>
      </w:pPr>
    </w:p>
    <w:p>
      <w:pPr>
        <w:ind w:left="1020" w:hanging="51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results of the audit procedures</w:t>
      </w:r>
    </w:p>
    <w:p>
      <w:pPr>
        <w:spacing w:after="0" w:line="116" w:lineRule="exact"/>
        <w:rPr>
          <w:rFonts w:ascii="Times New Roman" w:cs="Times New Roman" w:eastAsia="Times New Roman" w:hAnsi="Times New Roman"/>
          <w:sz w:val="18"/>
          <w:szCs w:val="18"/>
          <w:color w:val="auto"/>
        </w:rPr>
      </w:pPr>
    </w:p>
    <w:p>
      <w:pPr>
        <w:ind w:left="1020" w:hanging="51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qualitative aspects of the Company’s accounting practices</w:t>
      </w:r>
    </w:p>
    <w:p>
      <w:pPr>
        <w:spacing w:after="0" w:line="116" w:lineRule="exact"/>
        <w:rPr>
          <w:rFonts w:ascii="Times New Roman" w:cs="Times New Roman" w:eastAsia="Times New Roman" w:hAnsi="Times New Roman"/>
          <w:sz w:val="18"/>
          <w:szCs w:val="18"/>
          <w:color w:val="auto"/>
        </w:rPr>
      </w:pPr>
    </w:p>
    <w:p>
      <w:pPr>
        <w:ind w:left="1020" w:hanging="51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bias in the accounting estimate</w:t>
      </w:r>
    </w:p>
    <w:p>
      <w:pPr>
        <w:spacing w:after="0" w:line="3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840" w:top="337" w:right="4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0000FF"/>
        </w:rPr>
        <w:t>EX-10.12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CVB FINANCIAL CORP.</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EXECUTIVE INCENTIVE PLAN</w:t>
      </w:r>
    </w:p>
    <w:p>
      <w:pPr>
        <w:spacing w:after="0" w:line="218" w:lineRule="exact"/>
        <w:rPr>
          <w:sz w:val="20"/>
          <w:szCs w:val="20"/>
          <w:color w:val="auto"/>
        </w:rPr>
      </w:pPr>
    </w:p>
    <w:p>
      <w:pPr>
        <w:ind w:left="380" w:hanging="359"/>
        <w:spacing w:after="0"/>
        <w:tabs>
          <w:tab w:leader="none" w:pos="38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 of Plan</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ind w:right="280" w:firstLine="382"/>
        <w:spacing w:after="0" w:line="239" w:lineRule="auto"/>
        <w:rPr>
          <w:sz w:val="20"/>
          <w:szCs w:val="20"/>
          <w:color w:val="auto"/>
        </w:rPr>
      </w:pPr>
      <w:r>
        <w:rPr>
          <w:rFonts w:ascii="Times New Roman" w:cs="Times New Roman" w:eastAsia="Times New Roman" w:hAnsi="Times New Roman"/>
          <w:sz w:val="22"/>
          <w:szCs w:val="22"/>
          <w:color w:val="auto"/>
        </w:rPr>
        <w:t>1.1 The purpose of this 2023 Executive Incentive Plan (“Plan”) is to promote the success of the Company by providing participating executive officers of the Company (“Participants”) with incentive compensation that (a) is appropriately linked to the Company’s financial and operational performance, (b) properly aligns the interests of Participants with those of our shareholders, and (c) maintains fundamentally safe and sound management practices.</w:t>
      </w:r>
    </w:p>
    <w:p>
      <w:pPr>
        <w:spacing w:after="0" w:line="215" w:lineRule="exact"/>
        <w:rPr>
          <w:sz w:val="20"/>
          <w:szCs w:val="20"/>
          <w:color w:val="auto"/>
        </w:rPr>
      </w:pPr>
    </w:p>
    <w:p>
      <w:pPr>
        <w:ind w:left="380" w:hanging="359"/>
        <w:spacing w:after="0"/>
        <w:tabs>
          <w:tab w:leader="none" w:pos="38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 and Terms</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ind w:right="640" w:firstLine="382"/>
        <w:spacing w:after="0" w:line="25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Specific Terms</w:t>
      </w:r>
      <w:r>
        <w:rPr>
          <w:rFonts w:ascii="Times New Roman" w:cs="Times New Roman" w:eastAsia="Times New Roman" w:hAnsi="Times New Roman"/>
          <w:sz w:val="22"/>
          <w:szCs w:val="22"/>
          <w:color w:val="auto"/>
        </w:rPr>
        <w:t>. The following words and phrases shall have the following meanings, unless a different meaning is plainly required by the context:</w:t>
      </w:r>
    </w:p>
    <w:p>
      <w:pPr>
        <w:spacing w:after="0" w:line="157" w:lineRule="exact"/>
        <w:rPr>
          <w:sz w:val="20"/>
          <w:szCs w:val="20"/>
          <w:color w:val="auto"/>
        </w:rPr>
      </w:pPr>
    </w:p>
    <w:p>
      <w:pPr>
        <w:ind w:right="400" w:firstLine="899"/>
        <w:spacing w:after="0" w:line="258" w:lineRule="auto"/>
        <w:tabs>
          <w:tab w:leader="none" w:pos="118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Award” means an award under this Plan of a conditional opportunity for a Participant to receive a cash payment if the applicable Performance Targets are satisfied for the applicable Performance Period.</w:t>
      </w:r>
    </w:p>
    <w:p>
      <w:pPr>
        <w:spacing w:after="0" w:line="157" w:lineRule="exact"/>
        <w:rPr>
          <w:rFonts w:ascii="Times New Roman" w:cs="Times New Roman" w:eastAsia="Times New Roman" w:hAnsi="Times New Roman"/>
          <w:sz w:val="22"/>
          <w:szCs w:val="22"/>
          <w:color w:val="auto"/>
        </w:rPr>
      </w:pPr>
    </w:p>
    <w:p>
      <w:pPr>
        <w:jc w:val="both"/>
        <w:ind w:right="240" w:firstLine="899"/>
        <w:spacing w:after="0" w:line="239" w:lineRule="auto"/>
        <w:tabs>
          <w:tab w:leader="none" w:pos="119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of a Participant (if used in determining the amount of an Annual Award for a Performance Period) means the annual rate of base pay in effect for such Participant on the first day of such Performance Period, or in effect on such other date (no later than the date on which the Annual Award is granted) as the Committee may specify by action taken at the time of grant of an Annual Award.</w:t>
      </w:r>
    </w:p>
    <w:p>
      <w:pPr>
        <w:spacing w:after="0" w:line="178" w:lineRule="exact"/>
        <w:rPr>
          <w:rFonts w:ascii="Times New Roman" w:cs="Times New Roman" w:eastAsia="Times New Roman" w:hAnsi="Times New Roman"/>
          <w:sz w:val="22"/>
          <w:szCs w:val="22"/>
          <w:color w:val="auto"/>
        </w:rPr>
      </w:pPr>
    </w:p>
    <w:p>
      <w:pPr>
        <w:ind w:left="1200" w:hanging="301"/>
        <w:spacing w:after="0"/>
        <w:tabs>
          <w:tab w:leader="none" w:pos="12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CVB Financial Corp.</w:t>
      </w:r>
    </w:p>
    <w:p>
      <w:pPr>
        <w:spacing w:after="0" w:line="205" w:lineRule="exact"/>
        <w:rPr>
          <w:rFonts w:ascii="Times New Roman" w:cs="Times New Roman" w:eastAsia="Times New Roman" w:hAnsi="Times New Roman"/>
          <w:sz w:val="22"/>
          <w:szCs w:val="22"/>
          <w:color w:val="auto"/>
        </w:rPr>
      </w:pPr>
    </w:p>
    <w:p>
      <w:pPr>
        <w:ind w:right="60" w:firstLine="899"/>
        <w:spacing w:after="0" w:line="231" w:lineRule="auto"/>
        <w:tabs>
          <w:tab w:leader="none" w:pos="119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Criteria” means any one or any combination of the following objectively determinable criteria: total revenue, deposit growth, average demand deposits, earnings, earnings growth, earnings per share, expenses, operating expenses, specific categories of expenses, stock price, cash flow, efficiency ratio, fee income, noninterest income, investment services earnings, investment services revenue, wealth management earnings, wealth management revenue, loan growth, average total loans, loan charge offs, net income or net profits after tax, new trust assets, new trust fees, delinquencies or delinquent loans, nonperforming assets to assets or nonperforming assets to total loans ratios, properties acquired as a result of default or foreclosure, return on assets, return on equity, return on common equity, return on tangible common equity, total deposits, total loans, assets under management, trust earnings, trust growth, trust revenue, recruiting metrics, employee turnover metrics, customer satisfaction metrics and organizational metrics. The Business Criteria utilized may differ from Participant to Participant and from Annual Award to Annual Award. Any Business Criteria, or any combination thereof, may be used to measure the performance of the Company as a whole or any business unit or other subdivision of the Company, as the Committee deems appropriate. Business Criteria may be (i) measured in absolute terms, (ii) measured in relative terms (including, but not limited to compared to another company or companies, to a “peer group” of companies utilized by the Committee for compensation comparison purposes, or to a published or special index of</w:t>
      </w:r>
    </w:p>
    <w:p>
      <w:pPr>
        <w:spacing w:after="0" w:line="13" w:lineRule="exact"/>
        <w:rPr>
          <w:rFonts w:ascii="Times New Roman" w:cs="Times New Roman" w:eastAsia="Times New Roman" w:hAnsi="Times New Roman"/>
          <w:sz w:val="22"/>
          <w:szCs w:val="22"/>
          <w:color w:val="auto"/>
        </w:rPr>
      </w:pP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3" w:name="page144"/>
    <w:bookmarkEnd w:id="143"/>
    <w:p>
      <w:pPr>
        <w:ind w:right="640"/>
        <w:spacing w:after="0" w:line="258" w:lineRule="auto"/>
        <w:rPr>
          <w:sz w:val="20"/>
          <w:szCs w:val="20"/>
          <w:color w:val="auto"/>
        </w:rPr>
      </w:pPr>
      <w:r>
        <w:rPr>
          <w:rFonts w:ascii="Times New Roman" w:cs="Times New Roman" w:eastAsia="Times New Roman" w:hAnsi="Times New Roman"/>
          <w:sz w:val="22"/>
          <w:szCs w:val="22"/>
          <w:color w:val="auto"/>
        </w:rPr>
        <w:t>companies that the Committee deems appropriate), (iii) measured against the performance of the Company as a whole or a segment of the Company, (iv) measured on a gross or net basis, and/or (v) measured on a pre-tax or post-tax basis.</w:t>
      </w:r>
    </w:p>
    <w:p>
      <w:pPr>
        <w:spacing w:after="0" w:line="157" w:lineRule="exact"/>
        <w:rPr>
          <w:sz w:val="20"/>
          <w:szCs w:val="20"/>
          <w:color w:val="auto"/>
        </w:rPr>
      </w:pPr>
    </w:p>
    <w:p>
      <w:pPr>
        <w:ind w:firstLine="899"/>
        <w:spacing w:after="0" w:line="257" w:lineRule="auto"/>
        <w:tabs>
          <w:tab w:leader="none" w:pos="118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as such term relates to the termination of any person’s status as an employee or other service provider of the Company, means the occurrence of one or more of the following: (i) such person is convicted of, pleads guilty to, or confesses to any felony or any act of fraud, misappropriation or embezzlement which has an immediate and materially adverse effect on the Company, as determined by the Board in good faith in its sole discretion; (ii) such person engages in a fraudulent act to the material damage or prejudice of the Company or in conduct or activities materially damaging to the property, business or reputation of the Company, all as determined by the Board in good faith in its sole discretion; (iii) any material act or omission by such person involving malfeasance or negligence in the performance of such person’s duties to the Company to the material detriment of the Company, as determined by the Board in good faith in its sole discretion, which has not been corrected by such person to the satisfaction of the Board within 30 days after written notice from the Company of any such act or omission; (iv) failure by such person to comply in any material respect with the terms of his employment agreement, if any, or any written policies or directives of the Board as determined by the Board in good faith in its sole discretion, which has not been corrected by such person to the satisfaction of the Board within 30 days after written notice from the Company of such failure; or (v) material breach by such person of any other agreement with the Company, as determined by the Board in good faith in its sole discretion.</w:t>
      </w:r>
    </w:p>
    <w:p>
      <w:pPr>
        <w:spacing w:after="0" w:line="169" w:lineRule="exact"/>
        <w:rPr>
          <w:rFonts w:ascii="Times New Roman" w:cs="Times New Roman" w:eastAsia="Times New Roman" w:hAnsi="Times New Roman"/>
          <w:sz w:val="20"/>
          <w:szCs w:val="20"/>
          <w:color w:val="auto"/>
        </w:rPr>
      </w:pPr>
    </w:p>
    <w:p>
      <w:pPr>
        <w:ind w:left="1160" w:hanging="261"/>
        <w:spacing w:after="0"/>
        <w:tabs>
          <w:tab w:leader="none" w:pos="11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means the Compensation Committee of the Board. The Committee shall consist solely of at least three</w:t>
      </w:r>
    </w:p>
    <w:p>
      <w:pPr>
        <w:spacing w:after="0" w:line="36" w:lineRule="exact"/>
        <w:rPr>
          <w:rFonts w:ascii="Times New Roman" w:cs="Times New Roman" w:eastAsia="Times New Roman" w:hAnsi="Times New Roman"/>
          <w:sz w:val="20"/>
          <w:szCs w:val="20"/>
          <w:color w:val="auto"/>
        </w:rPr>
      </w:pPr>
    </w:p>
    <w:p>
      <w:pPr>
        <w:ind w:right="420" w:firstLine="8"/>
        <w:spacing w:after="0" w:line="237" w:lineRule="auto"/>
        <w:tabs>
          <w:tab w:leader="none" w:pos="30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Board, all of whom are “independent directors” within the meaning of the listing standards of the Nasdaq Stock Market LLC (“Nasdaq”).</w:t>
      </w:r>
    </w:p>
    <w:p>
      <w:pPr>
        <w:spacing w:after="0" w:line="177" w:lineRule="exact"/>
        <w:rPr>
          <w:rFonts w:ascii="Times New Roman" w:cs="Times New Roman" w:eastAsia="Times New Roman" w:hAnsi="Times New Roman"/>
          <w:sz w:val="22"/>
          <w:szCs w:val="22"/>
          <w:color w:val="auto"/>
        </w:rPr>
      </w:pPr>
    </w:p>
    <w:p>
      <w:pPr>
        <w:ind w:left="1200" w:hanging="301"/>
        <w:spacing w:after="0"/>
        <w:tabs>
          <w:tab w:leader="none" w:pos="120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CVB Financial Corp. and all of its subsidiaries, including Citizens Business Bank.</w:t>
      </w:r>
    </w:p>
    <w:p>
      <w:pPr>
        <w:spacing w:after="0" w:line="205" w:lineRule="exact"/>
        <w:rPr>
          <w:rFonts w:ascii="Times New Roman" w:cs="Times New Roman" w:eastAsia="Times New Roman" w:hAnsi="Times New Roman"/>
          <w:sz w:val="22"/>
          <w:szCs w:val="22"/>
          <w:color w:val="auto"/>
        </w:rPr>
      </w:pPr>
    </w:p>
    <w:p>
      <w:pPr>
        <w:ind w:right="280" w:firstLine="899"/>
        <w:spacing w:after="0" w:line="258" w:lineRule="auto"/>
        <w:tabs>
          <w:tab w:leader="none" w:pos="1197"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means an employee (including any officer) of the Company who holds one or more of the following corporate titles or management committee designations:</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President and/or Chief Executive Officer;</w:t>
      </w:r>
    </w:p>
    <w:p>
      <w:pPr>
        <w:spacing w:after="0" w:line="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Executive Vice President; and</w:t>
      </w:r>
    </w:p>
    <w:p>
      <w:pPr>
        <w:ind w:left="1500" w:right="380"/>
        <w:spacing w:after="0" w:line="237" w:lineRule="auto"/>
        <w:rPr>
          <w:sz w:val="20"/>
          <w:szCs w:val="20"/>
          <w:color w:val="auto"/>
        </w:rPr>
      </w:pPr>
      <w:r>
        <w:rPr>
          <w:rFonts w:ascii="Times New Roman" w:cs="Times New Roman" w:eastAsia="Times New Roman" w:hAnsi="Times New Roman"/>
          <w:sz w:val="22"/>
          <w:szCs w:val="22"/>
          <w:color w:val="auto"/>
        </w:rPr>
        <w:t>Other Senior Officers (nominated for Plan participation by the President and/or Chief Executive Officer and approved by the Committee.)</w:t>
      </w:r>
    </w:p>
    <w:p>
      <w:pPr>
        <w:spacing w:after="0" w:line="178" w:lineRule="exact"/>
        <w:rPr>
          <w:sz w:val="20"/>
          <w:szCs w:val="20"/>
          <w:color w:val="auto"/>
        </w:rPr>
      </w:pPr>
    </w:p>
    <w:p>
      <w:pPr>
        <w:ind w:left="1160" w:hanging="254"/>
        <w:spacing w:after="0"/>
        <w:tabs>
          <w:tab w:leader="none" w:pos="11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means an Executive selected to participate in the Plan by the Committee.</w:t>
      </w:r>
    </w:p>
    <w:p>
      <w:pPr>
        <w:spacing w:after="0" w:line="205" w:lineRule="exact"/>
        <w:rPr>
          <w:rFonts w:ascii="Times New Roman" w:cs="Times New Roman" w:eastAsia="Times New Roman" w:hAnsi="Times New Roman"/>
          <w:sz w:val="22"/>
          <w:szCs w:val="22"/>
          <w:color w:val="auto"/>
        </w:rPr>
      </w:pPr>
    </w:p>
    <w:p>
      <w:pPr>
        <w:ind w:right="140" w:firstLine="906"/>
        <w:spacing w:after="0" w:line="258" w:lineRule="auto"/>
        <w:tabs>
          <w:tab w:leader="none" w:pos="11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Period” means the Year or Years (or portions thereof) with respect to which the Performance Targets are set by the Committee.</w:t>
      </w:r>
    </w:p>
    <w:p>
      <w:pPr>
        <w:spacing w:after="0" w:line="157" w:lineRule="exact"/>
        <w:rPr>
          <w:rFonts w:ascii="Times New Roman" w:cs="Times New Roman" w:eastAsia="Times New Roman" w:hAnsi="Times New Roman"/>
          <w:sz w:val="22"/>
          <w:szCs w:val="22"/>
          <w:color w:val="auto"/>
        </w:rPr>
      </w:pPr>
    </w:p>
    <w:p>
      <w:pPr>
        <w:ind w:right="440" w:firstLine="906"/>
        <w:spacing w:after="0" w:line="265" w:lineRule="auto"/>
        <w:tabs>
          <w:tab w:leader="none" w:pos="12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Targets” means the specific objective goals that are set in writing by the Committee pursuant to Section 4.2 for each Participant for the applicable Performance Period in respect of any one or more of the Business Criteria.</w:t>
      </w:r>
    </w:p>
    <w:p>
      <w:pPr>
        <w:spacing w:after="0" w:line="1" w:lineRule="exact"/>
        <w:rPr>
          <w:rFonts w:ascii="Times New Roman" w:cs="Times New Roman" w:eastAsia="Times New Roman" w:hAnsi="Times New Roman"/>
          <w:sz w:val="20"/>
          <w:szCs w:val="20"/>
          <w:color w:val="auto"/>
        </w:rPr>
      </w:pPr>
    </w:p>
    <w:p>
      <w:pPr>
        <w:ind w:left="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44" w:name="page145"/>
    <w:bookmarkEnd w:id="144"/>
    <w:p>
      <w:pPr>
        <w:ind w:right="360" w:firstLine="906"/>
        <w:spacing w:after="0" w:line="258" w:lineRule="auto"/>
        <w:tabs>
          <w:tab w:leader="none" w:pos="115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means this 2023 Executive Incentive Plan, which amends and restates the 2015 Executive Incentive Plan previously adopted by the Company, as amended from time to time.</w:t>
      </w:r>
    </w:p>
    <w:p>
      <w:pPr>
        <w:spacing w:after="0" w:line="157" w:lineRule="exact"/>
        <w:rPr>
          <w:rFonts w:ascii="Times New Roman" w:cs="Times New Roman" w:eastAsia="Times New Roman" w:hAnsi="Times New Roman"/>
          <w:sz w:val="22"/>
          <w:szCs w:val="22"/>
          <w:color w:val="auto"/>
        </w:rPr>
      </w:pPr>
    </w:p>
    <w:p>
      <w:pPr>
        <w:ind w:right="380" w:firstLine="906"/>
        <w:spacing w:after="0" w:line="258" w:lineRule="auto"/>
        <w:tabs>
          <w:tab w:leader="none" w:pos="1264"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 means a fiscal year of the Company commencing on or after January 1 that constitutes all or part of the applicable Performance Period and ends no later than the next succeeding December 31.</w:t>
      </w:r>
    </w:p>
    <w:p>
      <w:pPr>
        <w:spacing w:after="0" w:line="193" w:lineRule="exact"/>
        <w:rPr>
          <w:rFonts w:ascii="Times New Roman" w:cs="Times New Roman" w:eastAsia="Times New Roman" w:hAnsi="Times New Roman"/>
          <w:sz w:val="22"/>
          <w:szCs w:val="22"/>
          <w:color w:val="auto"/>
        </w:rPr>
      </w:pPr>
    </w:p>
    <w:p>
      <w:pPr>
        <w:ind w:left="380" w:hanging="359"/>
        <w:spacing w:after="0"/>
        <w:tabs>
          <w:tab w:leader="none" w:pos="38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of the Plan</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ind w:right="380" w:firstLine="382"/>
        <w:spacing w:after="0" w:line="25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The Committee</w:t>
      </w:r>
      <w:r>
        <w:rPr>
          <w:rFonts w:ascii="Times New Roman" w:cs="Times New Roman" w:eastAsia="Times New Roman" w:hAnsi="Times New Roman"/>
          <w:sz w:val="22"/>
          <w:szCs w:val="22"/>
          <w:color w:val="auto"/>
        </w:rPr>
        <w:t>. The Plan shall be administered by the Committee. The Board shall have the authority to appoint and remove members of the Committee.</w:t>
      </w:r>
    </w:p>
    <w:p>
      <w:pPr>
        <w:spacing w:after="0" w:line="157" w:lineRule="exact"/>
        <w:rPr>
          <w:sz w:val="20"/>
          <w:szCs w:val="20"/>
          <w:color w:val="auto"/>
        </w:rPr>
      </w:pPr>
    </w:p>
    <w:p>
      <w:pPr>
        <w:ind w:right="140" w:firstLine="382"/>
        <w:spacing w:after="0" w:line="23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Powers of the Committee</w:t>
      </w:r>
      <w:r>
        <w:rPr>
          <w:rFonts w:ascii="Times New Roman" w:cs="Times New Roman" w:eastAsia="Times New Roman" w:hAnsi="Times New Roman"/>
          <w:sz w:val="22"/>
          <w:szCs w:val="22"/>
          <w:color w:val="auto"/>
        </w:rPr>
        <w:t>. The Committee shall have the sole authority to establish and administer the Business Criteria and Performance Targets and the responsibility of determining from among the Executives those persons who are to be Participants in and receive Annual Awards under the Plan and the time or times at which and the form and manner in which Annual Awards will be paid, and shall otherwise be responsible for the administration of the Plan, in accordance with its terms. The Committee shall have the authority to construe and interpret the Plan (except as otherwise provided herein) and any agreement or other document relating to any Annual Awards under the Plan, may adopt rules and regulations governing the administration of the Plan, and shall exercise all other duties and powers conferred on it by the Plan, or which are incidental or ancillary thereto.</w:t>
      </w:r>
    </w:p>
    <w:p>
      <w:pPr>
        <w:spacing w:after="0" w:line="184" w:lineRule="exact"/>
        <w:rPr>
          <w:sz w:val="20"/>
          <w:szCs w:val="20"/>
          <w:color w:val="auto"/>
        </w:rPr>
      </w:pPr>
    </w:p>
    <w:p>
      <w:pPr>
        <w:ind w:right="20" w:firstLine="382"/>
        <w:spacing w:after="0" w:line="24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Requisite Action</w:t>
      </w:r>
      <w:r>
        <w:rPr>
          <w:rFonts w:ascii="Times New Roman" w:cs="Times New Roman" w:eastAsia="Times New Roman" w:hAnsi="Times New Roman"/>
          <w:sz w:val="22"/>
          <w:szCs w:val="22"/>
          <w:color w:val="auto"/>
        </w:rPr>
        <w:t>. A majority of the members of the Committee shall constitute a quorum. The vote of a majority of those present at a meeting at which a quorum is present or the unanimous written consent of the Committee shall constitute action by the Committee.</w:t>
      </w:r>
    </w:p>
    <w:p>
      <w:pPr>
        <w:spacing w:after="0" w:line="209" w:lineRule="exact"/>
        <w:rPr>
          <w:sz w:val="20"/>
          <w:szCs w:val="20"/>
          <w:color w:val="auto"/>
        </w:rPr>
      </w:pPr>
    </w:p>
    <w:p>
      <w:pPr>
        <w:ind w:left="380" w:hanging="359"/>
        <w:spacing w:after="0"/>
        <w:tabs>
          <w:tab w:leader="none" w:pos="38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Annual Awards</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ind w:firstLine="382"/>
        <w:spacing w:after="0" w:line="23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Provision for Annual Awards</w:t>
      </w:r>
      <w:r>
        <w:rPr>
          <w:rFonts w:ascii="Times New Roman" w:cs="Times New Roman" w:eastAsia="Times New Roman" w:hAnsi="Times New Roman"/>
          <w:sz w:val="22"/>
          <w:szCs w:val="22"/>
          <w:color w:val="auto"/>
        </w:rPr>
        <w:t>. Each Participant may receive an Annual Award if the Performance Targets, relative to the applicable Business Criteria, are attained in the Performance Period. The applicable Performance Period and Performance Targets shall be determined by the Committee consistent with the terms of the Plan. Notwithstanding the fact that the Performance Targets have been attained or not attained, the Company may pay an Annual Award of more than or less than the amount determined by the formula or standard established pursuant to Section 4.2 or may pay no Annual Award at all, unless the Committee otherwise expressly provides by written contract or other written commitment.</w:t>
      </w:r>
    </w:p>
    <w:p>
      <w:pPr>
        <w:spacing w:after="0" w:line="179" w:lineRule="exact"/>
        <w:rPr>
          <w:sz w:val="20"/>
          <w:szCs w:val="20"/>
          <w:color w:val="auto"/>
        </w:rPr>
      </w:pPr>
    </w:p>
    <w:p>
      <w:pPr>
        <w:ind w:right="140" w:firstLine="382"/>
        <w:spacing w:after="0" w:line="23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Selection of Performance Targets</w:t>
      </w:r>
      <w:r>
        <w:rPr>
          <w:rFonts w:ascii="Times New Roman" w:cs="Times New Roman" w:eastAsia="Times New Roman" w:hAnsi="Times New Roman"/>
          <w:sz w:val="22"/>
          <w:szCs w:val="22"/>
          <w:color w:val="auto"/>
        </w:rPr>
        <w:t>. The specific Performance Targets with respect to the Business Criteria should be established by the Committee at a sufficiently early point during the Performance Period when (x) the achievement of the applicable Performance Targets remains substantially uncertain and (y) there is a reasonable period of time for the Participant to be able to meaningfully influence the achievement of the applicable Performance Targets. By way of example only, for Annual Awards where the relevant Performance Period is a Year, the Committee shall endeavor to establish the applicable Performance Targets on or prior to March 31 of such Year. Notwithstanding the foregoing, the Committee, in its discretion, may adjust or modify the calculation of Performance Targets for a Performance Period in order to prevent the dilution or enlargement of the rights of Participants (i) in the event of, or in anticipation of, any</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45" w:name="page146"/>
    <w:bookmarkEnd w:id="145"/>
    <w:p>
      <w:pPr>
        <w:ind w:right="100"/>
        <w:spacing w:after="0" w:line="235" w:lineRule="auto"/>
        <w:rPr>
          <w:sz w:val="20"/>
          <w:szCs w:val="20"/>
          <w:color w:val="auto"/>
        </w:rPr>
      </w:pPr>
      <w:r>
        <w:rPr>
          <w:rFonts w:ascii="Times New Roman" w:cs="Times New Roman" w:eastAsia="Times New Roman" w:hAnsi="Times New Roman"/>
          <w:sz w:val="22"/>
          <w:szCs w:val="22"/>
          <w:color w:val="auto"/>
        </w:rPr>
        <w:t>unusual or extraordinary corporate item, transaction, event, or development, or (ii) in recognition of, or in anticipation of, any other unusual or nonrecurring events affecting the Company, or the financial statements of the Company, or in response to, or in anticipation of, changes in applicable laws, regulations, accounting principles, or business conditions. At the time the Performance Targets are selected, the Committee shall provide, in terms of an objective formula or standard for each Participant, and for any person who may become a Participant after the Performance Targets are set, the method of computing the specific amount that will represent the maximum amount of Annual Award payable to the Participant if the Performance Targets are attained, subject to Sections 4.1, 4.3, 4.6, 5.1 and 6.9.</w:t>
      </w:r>
    </w:p>
    <w:p>
      <w:pPr>
        <w:spacing w:after="0" w:line="181" w:lineRule="exact"/>
        <w:rPr>
          <w:sz w:val="20"/>
          <w:szCs w:val="20"/>
          <w:color w:val="auto"/>
        </w:rPr>
      </w:pPr>
    </w:p>
    <w:p>
      <w:pPr>
        <w:ind w:right="120" w:firstLine="382"/>
        <w:spacing w:after="0" w:line="24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Percentage Ranges of Annual Award Relative to Base Salary</w:t>
      </w:r>
      <w:r>
        <w:rPr>
          <w:rFonts w:ascii="Times New Roman" w:cs="Times New Roman" w:eastAsia="Times New Roman" w:hAnsi="Times New Roman"/>
          <w:sz w:val="22"/>
          <w:szCs w:val="22"/>
          <w:color w:val="auto"/>
        </w:rPr>
        <w:t>. For any Participant in the Plan, an aggregate Annual Award shall be structured so that it provides for payment at threshold performance that is not less than 10% of such Participant’s Base Salary and at maximum performance that is not more than 200% of such Participant’s Base Salary.</w:t>
      </w:r>
    </w:p>
    <w:p>
      <w:pPr>
        <w:spacing w:after="0" w:line="172" w:lineRule="exact"/>
        <w:rPr>
          <w:sz w:val="20"/>
          <w:szCs w:val="20"/>
          <w:color w:val="auto"/>
        </w:rPr>
      </w:pPr>
    </w:p>
    <w:p>
      <w:pPr>
        <w:ind w:right="140" w:firstLine="382"/>
        <w:spacing w:after="0" w:line="25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Selection of Participants</w:t>
      </w:r>
      <w:r>
        <w:rPr>
          <w:rFonts w:ascii="Times New Roman" w:cs="Times New Roman" w:eastAsia="Times New Roman" w:hAnsi="Times New Roman"/>
          <w:sz w:val="22"/>
          <w:szCs w:val="22"/>
          <w:color w:val="auto"/>
        </w:rPr>
        <w:t>. For each Performance Period, the Committee shall determine, at the time the Business Criteria and the Performance Targets are set, those Executives who will participate in the Plan.</w:t>
      </w:r>
    </w:p>
    <w:p>
      <w:pPr>
        <w:spacing w:after="0" w:line="157" w:lineRule="exact"/>
        <w:rPr>
          <w:sz w:val="20"/>
          <w:szCs w:val="20"/>
          <w:color w:val="auto"/>
        </w:rPr>
      </w:pPr>
    </w:p>
    <w:p>
      <w:pPr>
        <w:ind w:firstLine="382"/>
        <w:spacing w:after="0" w:line="237"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Effect of Mid-Year Change in Executive Status</w:t>
      </w:r>
      <w:r>
        <w:rPr>
          <w:rFonts w:ascii="Times New Roman" w:cs="Times New Roman" w:eastAsia="Times New Roman" w:hAnsi="Times New Roman"/>
          <w:sz w:val="22"/>
          <w:szCs w:val="22"/>
          <w:color w:val="auto"/>
        </w:rPr>
        <w:t>. If services as an Executive cease after the commencement of a Performance Period, but the Participant remains employed with the Company, the Committee may award an Annual Award that is proportionately adjusted based on the period of time during the Performance Period that the Executive is a Participant. In order to be eligible to participate in the Plan, the Executive must be employed in an Executive position for at least 90 days during the Performance Period.</w:t>
      </w:r>
    </w:p>
    <w:p>
      <w:pPr>
        <w:spacing w:after="0" w:line="180"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Committee Discretion to Determine Annual Awards</w:t>
      </w:r>
      <w:r>
        <w:rPr>
          <w:rFonts w:ascii="Times New Roman" w:cs="Times New Roman" w:eastAsia="Times New Roman" w:hAnsi="Times New Roman"/>
          <w:sz w:val="20"/>
          <w:szCs w:val="20"/>
          <w:color w:val="auto"/>
        </w:rPr>
        <w:t>. The Committee has the sole discretion to determine the standard or formula pursuant to which each Participant’s Annual Award shall be calculated (in accordance with Sections 4.1 and 4.2), whether all or any portion of the amount so calculated will be paid, and the specific amount (if any) to be paid to each Participant, subject in all cases to the terms, conditions, and limits of the Plan and of any other written commitment authorized by the Committee. The Committee has the sole discretion to increase or reduce an Executive’s Annual Award. The Committee may not, however, increase an Executive’s Annual Award based upon the reduction of another Executive’s Annual Award. To this same extent, the Committee may at any time establish (and, once established, rescind, waive, or amend) additional conditions and terms of payment of Annual Awards (including but not limited to the achievement of other financial, strategic or individual goals or performance measures, which may be objective or subjective) as it may deem desirable in carrying out the purposes of the Plan and may take into account such other factors as it deems appropriate in administering any aspect of the Plan.</w:t>
      </w:r>
    </w:p>
    <w:p>
      <w:pPr>
        <w:spacing w:after="0" w:line="161" w:lineRule="exact"/>
        <w:rPr>
          <w:sz w:val="20"/>
          <w:szCs w:val="20"/>
          <w:color w:val="auto"/>
        </w:rPr>
      </w:pPr>
    </w:p>
    <w:p>
      <w:pPr>
        <w:jc w:val="both"/>
        <w:ind w:right="160" w:firstLine="382"/>
        <w:spacing w:after="0" w:line="239"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Committee Certification</w:t>
      </w:r>
      <w:r>
        <w:rPr>
          <w:rFonts w:ascii="Times New Roman" w:cs="Times New Roman" w:eastAsia="Times New Roman" w:hAnsi="Times New Roman"/>
          <w:sz w:val="22"/>
          <w:szCs w:val="22"/>
          <w:color w:val="auto"/>
        </w:rPr>
        <w:t>. No Executive shall receive any payment under the Plan unless the Committee has certified, by resolution or other appropriate action in writing, that the amount thereof has been accurately determined in accordance with the terms, conditions and limits of the Plan and that the Performance Targets and any other material terms previously established by the Committee or set forth in the Plan were in fact satisfied.</w:t>
      </w:r>
    </w:p>
    <w:p>
      <w:pPr>
        <w:spacing w:after="0" w:line="179" w:lineRule="exact"/>
        <w:rPr>
          <w:sz w:val="20"/>
          <w:szCs w:val="20"/>
          <w:color w:val="auto"/>
        </w:rPr>
      </w:pPr>
    </w:p>
    <w:p>
      <w:pPr>
        <w:ind w:right="40" w:firstLine="382"/>
        <w:spacing w:after="0" w:line="241"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Time of Payment</w:t>
      </w:r>
      <w:r>
        <w:rPr>
          <w:rFonts w:ascii="Times New Roman" w:cs="Times New Roman" w:eastAsia="Times New Roman" w:hAnsi="Times New Roman"/>
          <w:sz w:val="22"/>
          <w:szCs w:val="22"/>
          <w:color w:val="auto"/>
        </w:rPr>
        <w:t>. Subject to the provisions of any separate written deferred compensation plan or agreement that may be applicable to a Participant, any Annual Awards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46" w:name="page147"/>
    <w:bookmarkEnd w:id="146"/>
    <w:p>
      <w:pPr>
        <w:ind w:right="60"/>
        <w:spacing w:after="0" w:line="271" w:lineRule="auto"/>
        <w:rPr>
          <w:sz w:val="20"/>
          <w:szCs w:val="20"/>
          <w:color w:val="auto"/>
        </w:rPr>
      </w:pPr>
      <w:r>
        <w:rPr>
          <w:rFonts w:ascii="Times New Roman" w:cs="Times New Roman" w:eastAsia="Times New Roman" w:hAnsi="Times New Roman"/>
          <w:sz w:val="20"/>
          <w:szCs w:val="20"/>
          <w:color w:val="auto"/>
        </w:rPr>
        <w:t>awarded by the Committee under the Plan shall be paid as soon as practicable following the Committee’s determinations under this Section 4 and the certification of the Committee’s findings under Section 4.7, but in no event later than March 15 of the Year following the Year in which the Performance Period ends. Any such payment shall be in such form on such payment date as the Committee may approve or require, subject to applicable tax withholding requirements (as provided in Section 4.9).</w:t>
      </w:r>
    </w:p>
    <w:p>
      <w:pPr>
        <w:spacing w:after="0" w:line="148" w:lineRule="exact"/>
        <w:rPr>
          <w:sz w:val="20"/>
          <w:szCs w:val="20"/>
          <w:color w:val="auto"/>
        </w:rPr>
      </w:pPr>
    </w:p>
    <w:p>
      <w:pPr>
        <w:ind w:right="340" w:firstLine="382"/>
        <w:spacing w:after="0" w:line="244"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shall withhold from any amounts payable under this Plan, or from any other compensation payable to the Participant, any and all federal, state and local income taxes, the Participant’s share of FICA and other employment taxes, and any other taxes that are required to be withheld from such payment under applicable law.</w:t>
      </w:r>
    </w:p>
    <w:p>
      <w:pPr>
        <w:spacing w:after="0" w:line="209" w:lineRule="exact"/>
        <w:rPr>
          <w:sz w:val="20"/>
          <w:szCs w:val="20"/>
          <w:color w:val="auto"/>
        </w:rPr>
      </w:pPr>
    </w:p>
    <w:p>
      <w:pPr>
        <w:ind w:left="380" w:hanging="359"/>
        <w:spacing w:after="0"/>
        <w:tabs>
          <w:tab w:leader="none" w:pos="38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 and Termination of Annual Awards</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ind w:firstLine="382"/>
        <w:spacing w:after="0" w:line="239"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Vesting or Termination</w:t>
      </w:r>
      <w:r>
        <w:rPr>
          <w:rFonts w:ascii="Times New Roman" w:cs="Times New Roman" w:eastAsia="Times New Roman" w:hAnsi="Times New Roman"/>
          <w:sz w:val="22"/>
          <w:szCs w:val="22"/>
          <w:color w:val="auto"/>
        </w:rPr>
        <w:t>. Except as otherwise set forth in the Plan, in the event of Participant’s termination of employment with the Company during a Performance Period or thereafter prior to payment of Annual Awards relating thereto, each Annual Award shall be vested or shall terminate on such terms and conditions as the Committee shall establish with respect to the Annual Award.</w:t>
      </w:r>
    </w:p>
    <w:p>
      <w:pPr>
        <w:spacing w:after="0" w:line="179" w:lineRule="exact"/>
        <w:rPr>
          <w:sz w:val="20"/>
          <w:szCs w:val="20"/>
          <w:color w:val="auto"/>
        </w:rPr>
      </w:pPr>
    </w:p>
    <w:p>
      <w:pPr>
        <w:ind w:right="40" w:firstLine="382"/>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Termination of Employment for Cause</w:t>
      </w:r>
      <w:r>
        <w:rPr>
          <w:rFonts w:ascii="Times New Roman" w:cs="Times New Roman" w:eastAsia="Times New Roman" w:hAnsi="Times New Roman"/>
          <w:sz w:val="22"/>
          <w:szCs w:val="22"/>
          <w:color w:val="auto"/>
        </w:rPr>
        <w:t>. If a Participant’s employment with the Company is terminated for Cause or if a Participant engages in misconduct defined as Cause either before voluntary termination of employment or after termination of employment, then any Annual Award for such Participant shall terminate immediately upon the Company giving notice to the Participant either of Participant’s termination of employment for Cause or that the Participant has engaged in misconduct defined as Cause. The Committee shall be the sole judge of whether the Participant’s termination of employment for Cause or the Participant has engaged in misconduct defined as Cause.</w:t>
      </w:r>
    </w:p>
    <w:p>
      <w:pPr>
        <w:spacing w:after="0" w:line="216" w:lineRule="exact"/>
        <w:rPr>
          <w:sz w:val="20"/>
          <w:szCs w:val="20"/>
          <w:color w:val="auto"/>
        </w:rPr>
      </w:pPr>
    </w:p>
    <w:p>
      <w:pPr>
        <w:ind w:left="380" w:hanging="359"/>
        <w:spacing w:after="0"/>
        <w:tabs>
          <w:tab w:leader="none" w:pos="38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23" w:lineRule="exact"/>
        <w:rPr>
          <w:sz w:val="20"/>
          <w:szCs w:val="20"/>
          <w:color w:val="auto"/>
        </w:rPr>
      </w:pPr>
    </w:p>
    <w:p>
      <w:pPr>
        <w:ind w:firstLine="382"/>
        <w:spacing w:after="0" w:line="23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No Right to Annual Awards or Continued Employment</w:t>
      </w:r>
      <w:r>
        <w:rPr>
          <w:rFonts w:ascii="Times New Roman" w:cs="Times New Roman" w:eastAsia="Times New Roman" w:hAnsi="Times New Roman"/>
          <w:sz w:val="22"/>
          <w:szCs w:val="22"/>
          <w:color w:val="auto"/>
        </w:rPr>
        <w:t>. Neither the establishment of the Plan nor the provision for or payment of any amounts hereunder nor any action of the Company (including, for purposes of this Section 6.1, any predecessor plan), the Board, or the Committee in respect of the Plan shall be held or construed to confer upon any person any legal right to receive, or any interest in, an Annual Award or any other benefit under the Plan, or any legal right to be continued in the employ of the Company. The Company expressly reserves any and all rights to discharge an Executive in its sole discretion, without liability of any person, entity, or governing body under the Plan or otherwise. Nothing in this Section 6.1, however, is intended to adversely affect any express independent right of any person under a separate employment agreement. Notwithstanding any other provision hereof and notwithstanding the fact that the Performance Targets have been attained and/or the individual maximum amounts hereunder have been calculated, the Company shall have no obligation to pay any Annual Award hereunder nor to pay the maximum amount so calculated or any prorated amount based on service during the period, unless the Committee otherwise expressly provides by written contract or other written commitment.</w:t>
      </w:r>
    </w:p>
    <w:p>
      <w:pPr>
        <w:spacing w:after="0" w:line="184" w:lineRule="exact"/>
        <w:rPr>
          <w:sz w:val="20"/>
          <w:szCs w:val="20"/>
          <w:color w:val="auto"/>
        </w:rPr>
      </w:pPr>
    </w:p>
    <w:p>
      <w:pPr>
        <w:ind w:right="180" w:firstLine="382"/>
        <w:spacing w:after="0" w:line="241"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Discretion of Company, Board, and Committee</w:t>
      </w:r>
      <w:r>
        <w:rPr>
          <w:rFonts w:ascii="Times New Roman" w:cs="Times New Roman" w:eastAsia="Times New Roman" w:hAnsi="Times New Roman"/>
          <w:sz w:val="22"/>
          <w:szCs w:val="22"/>
          <w:color w:val="auto"/>
        </w:rPr>
        <w:t>. Any decision made or action taken by the Company or by the Board or by the Committee arising out of or in connection with the</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47" w:name="page148"/>
    <w:bookmarkEnd w:id="147"/>
    <w:p>
      <w:pPr>
        <w:spacing w:after="0" w:line="244" w:lineRule="auto"/>
        <w:rPr>
          <w:sz w:val="20"/>
          <w:szCs w:val="20"/>
          <w:color w:val="auto"/>
        </w:rPr>
      </w:pPr>
      <w:r>
        <w:rPr>
          <w:rFonts w:ascii="Times New Roman" w:cs="Times New Roman" w:eastAsia="Times New Roman" w:hAnsi="Times New Roman"/>
          <w:sz w:val="22"/>
          <w:szCs w:val="22"/>
          <w:color w:val="auto"/>
        </w:rPr>
        <w:t>creation, amendment, construction, administration, interpretation, and effect of the Plan shall be within the absolute discretion of such entity and shall be conclusive and binding upon all persons. No member of the Committee shall have any liability for actions taken or omitted under the Plan by the member or any other person.</w:t>
      </w:r>
    </w:p>
    <w:p>
      <w:pPr>
        <w:spacing w:after="0" w:line="172"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xml:space="preserve">. All claims, disputes, controversies and other matters in question, however significant, arising out of or relating to this Plan, including any Annual Award under this Plan, (including the validity, scope and enforceability of this arbitration clause), to the fullest extent authorized by applicable law, will be referred to and finally determined by binding arbitration before a sole neutral arbitrator selected by mutual agreement of the parties (or, absent such mutual agreement, in accordance with the rules of JAMS), selected by the mutual agreement of the parties, from the Judicial Arbitration and Mediation Services, Inc. (“JAMS”), in Ontario, California . In the event JAMS is unable or unwilling to conduct the arbitration provided for under the terms of this paragraph, or has discontinued its business, the parties agree that an arbitrator, selected by the mutual agreement of the parties, from the American Arbitration Association (“AAA”), in Ontario, California, shall conduct the binding arbitration referred to in this paragraph. Notice of the demand for arbitration shall be filed in writing with the other party to the dispute and with JAMS (or AAA, if necessary). In no event shall the demand for arbitration be made after the date when institution of legal or equitable proceedings based on such claim, dispute or other matter in question would be barred by the applicable statute of limitations. The arbitration shall conducted by JAMS pursuant to its Employment Arbitration Rules and Procedures, which are available at </w:t>
      </w:r>
      <w:r>
        <w:rPr>
          <w:rFonts w:ascii="Times New Roman" w:cs="Times New Roman" w:eastAsia="Times New Roman" w:hAnsi="Times New Roman"/>
          <w:sz w:val="20"/>
          <w:szCs w:val="20"/>
          <w:u w:val="single" w:color="auto"/>
          <w:color w:val="0000FF"/>
        </w:rPr>
        <w:t>www.jamsadr.com</w:t>
      </w:r>
      <w:r>
        <w:rPr>
          <w:rFonts w:ascii="Times New Roman" w:cs="Times New Roman" w:eastAsia="Times New Roman" w:hAnsi="Times New Roman"/>
          <w:sz w:val="20"/>
          <w:szCs w:val="20"/>
          <w:color w:val="auto"/>
        </w:rPr>
        <w:t>, or if by AAA, pursuant to its Employment Arbitration Rules and Mediation Procedures, which are available at https://www.adr.org/employment. The arbitration shall provide for (i) written discovery and depositions adequate to give the parties access to documents and witnesses that are essential to the dispute and (ii) a written decision by the arbitrator that includes the essential findings and conclusions upon which the decision is based. Each party shall be entitled to all types of remedies and relief otherwise available in a court of law. The parties to an arbitration shall split equally the fees and administrative costs charged by the arbitrator and JAMS (or AAA) unless required otherwise by applicable law. To the extent required by applicable law, the fees of the arbitrator and all other costs that are unique to arbitration shall be paid by the Company, but if an Executive initiates a claim subject to arbitration, the Executive shall pay any filing fee up to the amount that the Executive would be required to pay if the Executive initiated such claim in court. Subject to Section 6.4 below, each party shall be solely responsible for paying its own further costs for the arbitration, including, but not limited to, its own attorneys’ fees and/or its own witnesses’ fees. Any award rendered by JAMS (or AAA) shall be final and binding upon the parties, and as applicable, their respective heirs, beneficiaries, legal representatives, agents, successors and assigns, and may be entered in any court having jurisdiction thereof. Any arbitration hereunder shall be conducted in Ontario, California, unless otherwise agreed to by the parties. By granting and accepting Annual Awards under the Plan, the parties expressly and irrevocably submit themselves to the personal jurisdiction of the Superior Court of the State of California (the “</w:t>
      </w:r>
      <w:r>
        <w:rPr>
          <w:rFonts w:ascii="Times New Roman" w:cs="Times New Roman" w:eastAsia="Times New Roman" w:hAnsi="Times New Roman"/>
          <w:sz w:val="20"/>
          <w:szCs w:val="20"/>
          <w:b w:val="1"/>
          <w:bCs w:val="1"/>
          <w:i w:val="1"/>
          <w:iCs w:val="1"/>
          <w:color w:val="auto"/>
        </w:rPr>
        <w:t>Superior Court</w:t>
      </w:r>
      <w:r>
        <w:rPr>
          <w:rFonts w:ascii="Times New Roman" w:cs="Times New Roman" w:eastAsia="Times New Roman" w:hAnsi="Times New Roman"/>
          <w:sz w:val="20"/>
          <w:szCs w:val="20"/>
          <w:color w:val="auto"/>
        </w:rPr>
        <w:t xml:space="preserve">”) for the purpose of compelling arbitration pursuant to this Section 6.3 and for the purpose of any judicial proceedings seeking to confirm, modify or vacate any arbitration award. </w:t>
      </w:r>
      <w:r>
        <w:rPr>
          <w:rFonts w:ascii="Times New Roman" w:cs="Times New Roman" w:eastAsia="Times New Roman" w:hAnsi="Times New Roman"/>
          <w:sz w:val="20"/>
          <w:szCs w:val="20"/>
          <w:b w:val="1"/>
          <w:bCs w:val="1"/>
          <w:color w:val="auto"/>
        </w:rPr>
        <w:t>This Section 6.3 is governed by the Federal Arbitration Act.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right="260"/>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WAIVER OF TRIAL BY JURY OR COURT: </w:t>
      </w:r>
      <w:r>
        <w:rPr>
          <w:rFonts w:ascii="Times New Roman" w:cs="Times New Roman" w:eastAsia="Times New Roman" w:hAnsi="Times New Roman"/>
          <w:sz w:val="22"/>
          <w:szCs w:val="22"/>
          <w:color w:val="auto"/>
        </w:rPr>
        <w:t>EXECUTIVES AND THE COMPANY UNDERSTAND THAT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GRANTING AND ACCEPTING ANNUAL AWARDS UNDER THE PLAN AND THEREBY AGREEING TO ARBITRATE ALL</w:t>
      </w: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8" w:name="page149"/>
    <w:bookmarkEnd w:id="148"/>
    <w:p>
      <w:pPr>
        <w:ind w:left="760" w:right="260"/>
        <w:spacing w:after="0" w:line="271" w:lineRule="auto"/>
        <w:rPr>
          <w:sz w:val="20"/>
          <w:szCs w:val="20"/>
          <w:color w:val="auto"/>
        </w:rPr>
      </w:pPr>
      <w:r>
        <w:rPr>
          <w:rFonts w:ascii="Times New Roman" w:cs="Times New Roman" w:eastAsia="Times New Roman" w:hAnsi="Times New Roman"/>
          <w:sz w:val="20"/>
          <w:szCs w:val="20"/>
          <w:color w:val="auto"/>
        </w:rPr>
        <w:t>CLAIMS, DISPUTES, CONTROVERSIES AND OTHER MATTERS ARISING OUT OF OR RELATING TO THE PLAN, THEY WILL NOT HAVE THE RIGHT TO HAVE ANY SUCH CLAIM, DISPUTE, CONTROVERSY AND/OR OTHER MATTER DECIDED BY A JURY OR A COURT, BUT SHALL INSTEAD HAVE ANY SUCH CLAIM, DISPUTE, CONTROVERSY AND/OR OTHER MATTER DECIDED THROUGH ARBITRATION.</w:t>
      </w:r>
    </w:p>
    <w:p>
      <w:pPr>
        <w:spacing w:after="0" w:line="148"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If any part of this Section 6.3 is deemed unenforceable, it is entirely severable from the rest and shall not affect or limit the validity or enforceability of the remainder of the provision, or the Plan.</w:t>
      </w:r>
    </w:p>
    <w:p>
      <w:pPr>
        <w:spacing w:after="0" w:line="157" w:lineRule="exact"/>
        <w:rPr>
          <w:sz w:val="20"/>
          <w:szCs w:val="20"/>
          <w:color w:val="auto"/>
        </w:rPr>
      </w:pPr>
    </w:p>
    <w:p>
      <w:pPr>
        <w:ind w:firstLine="382"/>
        <w:spacing w:after="0" w:line="266"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the event of any arbitration or litigation concerning any controversy, claim, or dispute arising out of or relating to this Plan, the prevailing party shall be entitled to recover from the non-prevailing party reasonable expenses, attorneys’ fees, and costs incurred in connection therewith or in the enforcement or collection of any judgment or award rendered therein. The “prevailing party” means the party determined by the arbitrator(s) or court, as the case may be, to have most nearly prevailed, even if such party did not prevail in all matters, not necessarily the one in whose favor a judgment is rendered.</w:t>
      </w:r>
    </w:p>
    <w:p>
      <w:pPr>
        <w:spacing w:after="0" w:line="155" w:lineRule="exact"/>
        <w:rPr>
          <w:sz w:val="20"/>
          <w:szCs w:val="20"/>
          <w:color w:val="auto"/>
        </w:rPr>
      </w:pPr>
    </w:p>
    <w:p>
      <w:pPr>
        <w:ind w:right="80" w:firstLine="382"/>
        <w:spacing w:after="0" w:line="237"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No Funding of Plan</w:t>
      </w:r>
      <w:r>
        <w:rPr>
          <w:rFonts w:ascii="Times New Roman" w:cs="Times New Roman" w:eastAsia="Times New Roman" w:hAnsi="Times New Roman"/>
          <w:sz w:val="22"/>
          <w:szCs w:val="22"/>
          <w:color w:val="auto"/>
        </w:rPr>
        <w:t>. The Company shall not be required to fund or otherwise segregate any cash or any other assets, which may at any time be paid to Participants under the Plan. The Plan shall constitute an “unfunded” plan of the Company. The Company shall not, by any provisions of the Plan, be deemed to be a trustee of any property, and any rights of any Participant or former Participant shall be no greater than those of a general unsecured creditor or shareholder of the Company, as the case may be.</w:t>
      </w:r>
    </w:p>
    <w:p>
      <w:pPr>
        <w:spacing w:after="0" w:line="180" w:lineRule="exact"/>
        <w:rPr>
          <w:sz w:val="20"/>
          <w:szCs w:val="20"/>
          <w:color w:val="auto"/>
        </w:rPr>
      </w:pPr>
    </w:p>
    <w:p>
      <w:pPr>
        <w:ind w:right="40" w:firstLine="382"/>
        <w:spacing w:after="0" w:line="236"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Non-Transferability of Benefits and Interests</w:t>
      </w:r>
      <w:r>
        <w:rPr>
          <w:rFonts w:ascii="Times New Roman" w:cs="Times New Roman" w:eastAsia="Times New Roman" w:hAnsi="Times New Roman"/>
          <w:sz w:val="22"/>
          <w:szCs w:val="22"/>
          <w:color w:val="auto"/>
        </w:rPr>
        <w:t>. Except as expressly provided by the Committee, no benefit payable under the Plan shall be subject in any manner to anticipation, alienation, sale, transfer, assignment, pledge, encumbrance or charge, and any such attempted action shall be void and no such benefit shall be in any manner liable for or subject to debts, contracts, liabilities, engagements or torts of any Participant or former Participant. This Section 6.6 shall not apply to an assignment of a contingency or payment due (i) after the death of a Participant to the deceased Participant’s legal representative or beneficiary or (ii) after the disability of a Participant to the disabled Participant’s personal representative.</w:t>
      </w:r>
    </w:p>
    <w:p>
      <w:pPr>
        <w:spacing w:after="0" w:line="179" w:lineRule="exact"/>
        <w:rPr>
          <w:sz w:val="20"/>
          <w:szCs w:val="20"/>
          <w:color w:val="auto"/>
        </w:rPr>
      </w:pPr>
    </w:p>
    <w:p>
      <w:pPr>
        <w:ind w:right="140" w:firstLine="382"/>
        <w:spacing w:after="0" w:line="258"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Law to Govern</w:t>
      </w:r>
      <w:r>
        <w:rPr>
          <w:rFonts w:ascii="Times New Roman" w:cs="Times New Roman" w:eastAsia="Times New Roman" w:hAnsi="Times New Roman"/>
          <w:sz w:val="22"/>
          <w:szCs w:val="22"/>
          <w:color w:val="auto"/>
        </w:rPr>
        <w:t>. All questions pertaining to the construction, regulation, validity, and effect of the provisions of the Plan shall be determined in accordance with the laws of the State of California.</w:t>
      </w:r>
    </w:p>
    <w:p>
      <w:pPr>
        <w:spacing w:after="0" w:line="157"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Non-Exclusivity</w:t>
      </w:r>
      <w:r>
        <w:rPr>
          <w:rFonts w:ascii="Times New Roman" w:cs="Times New Roman" w:eastAsia="Times New Roman" w:hAnsi="Times New Roman"/>
          <w:sz w:val="22"/>
          <w:szCs w:val="22"/>
          <w:color w:val="auto"/>
        </w:rPr>
        <w:t>. The Plan does not limit the authority of the Company, the Board, or the Committee, to grant awards or authorize any other compensation to any person under any other plan or authority.</w:t>
      </w:r>
    </w:p>
    <w:p>
      <w:pPr>
        <w:spacing w:after="0" w:line="157" w:lineRule="exact"/>
        <w:rPr>
          <w:sz w:val="20"/>
          <w:szCs w:val="20"/>
          <w:color w:val="auto"/>
        </w:rPr>
      </w:pPr>
    </w:p>
    <w:p>
      <w:pPr>
        <w:ind w:right="360" w:firstLine="382"/>
        <w:spacing w:after="0" w:line="234"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Compliance with Executive Compensation Claw-back Laws</w:t>
      </w:r>
      <w:r>
        <w:rPr>
          <w:rFonts w:ascii="Times New Roman" w:cs="Times New Roman" w:eastAsia="Times New Roman" w:hAnsi="Times New Roman"/>
          <w:sz w:val="22"/>
          <w:szCs w:val="22"/>
          <w:color w:val="auto"/>
        </w:rPr>
        <w:t>. The Company has adopted an executive compensation recoupment policy providing that the Company reserves the right, where permitted or required in accordance with applicable federal or state laws and regulations, to recoup any Annual Awards made pursuant to this Plan, if the affected Participant’s Annual Award was paid or would be payable on the basis of erroneous financial or operational information, including but not limited to the Business Criteria, with respect to any Performance</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49" w:name="page150"/>
    <w:bookmarkEnd w:id="149"/>
    <w:p>
      <w:pPr>
        <w:spacing w:after="0" w:line="262" w:lineRule="auto"/>
        <w:rPr>
          <w:sz w:val="20"/>
          <w:szCs w:val="20"/>
          <w:color w:val="auto"/>
        </w:rPr>
      </w:pPr>
      <w:r>
        <w:rPr>
          <w:rFonts w:ascii="Times New Roman" w:cs="Times New Roman" w:eastAsia="Times New Roman" w:hAnsi="Times New Roman"/>
          <w:sz w:val="20"/>
          <w:szCs w:val="20"/>
          <w:color w:val="auto"/>
        </w:rPr>
        <w:t>Period during which erroneous financial or business information was used to calculate any Performance Targets or Annual Awards provided hereunder. In addition, pursuant to the Dodd-Frank Wall Street Reform and Consumer Protection Act (the “Dodd-Frank Act”), every publicly-traded company will be required to adopt a policy whereby, in the event of a restatement, the Company will recover from current and former Executives any incentive-based compensation, for the three years preceding the restatement, that would not have been awarded under the restated financial statements. Notwithstanding anything contained herein to the contrary, when this provision of the Dodd-Frank Act becomes effective, the Annual Awards of all executive officers of the Company shall be subject to the revised executive compensation recoupment policy to be adopted by the Committee.</w:t>
      </w:r>
    </w:p>
    <w:p>
      <w:pPr>
        <w:spacing w:after="0" w:line="153" w:lineRule="exact"/>
        <w:rPr>
          <w:sz w:val="20"/>
          <w:szCs w:val="20"/>
          <w:color w:val="auto"/>
        </w:rPr>
      </w:pPr>
    </w:p>
    <w:p>
      <w:pPr>
        <w:ind w:right="100" w:firstLine="8"/>
        <w:spacing w:after="0" w:line="243" w:lineRule="auto"/>
        <w:tabs>
          <w:tab w:leader="none" w:pos="216"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Suspension or Termination of Plan</w:t>
      </w:r>
      <w:r>
        <w:rPr>
          <w:rFonts w:ascii="Times New Roman" w:cs="Times New Roman" w:eastAsia="Times New Roman" w:hAnsi="Times New Roman"/>
          <w:sz w:val="22"/>
          <w:szCs w:val="22"/>
          <w:color w:val="auto"/>
        </w:rPr>
        <w:t>. The Board or the Committee may from time to time amend, suspend,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in whole or in part, and if suspended or terminated, may reinstate, any or all of the provisions of the Plan.</w:t>
      </w:r>
    </w:p>
    <w:p>
      <w:pPr>
        <w:spacing w:after="0" w:line="1" w:lineRule="exact"/>
        <w:rPr>
          <w:rFonts w:ascii="Times New Roman" w:cs="Times New Roman" w:eastAsia="Times New Roman" w:hAnsi="Times New Roman"/>
          <w:sz w:val="22"/>
          <w:szCs w:val="22"/>
          <w:b w:val="1"/>
          <w:bCs w:val="1"/>
          <w:color w:val="auto"/>
        </w:rPr>
      </w:pPr>
    </w:p>
    <w:p>
      <w:pPr>
        <w:ind w:left="4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8" w:right="419" w:bottom="1440" w:gutter="0" w:footer="0" w:header="0"/>
        </w:sectPr>
      </w:pPr>
    </w:p>
    <w:bookmarkStart w:id="150" w:name="page151"/>
    <w:bookmarkEnd w:id="150"/>
    <w:p>
      <w:pPr>
        <w:ind w:left="1040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78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Subsidiaries of the Registrant</w:t>
            </w:r>
          </w:p>
        </w:tc>
        <w:tc>
          <w:tcPr>
            <w:tcW w:w="20" w:type="dxa"/>
            <w:vAlign w:val="bottom"/>
          </w:tcPr>
          <w:p>
            <w:pPr>
              <w:spacing w:after="0"/>
              <w:rPr>
                <w:sz w:val="20"/>
                <w:szCs w:val="20"/>
                <w:color w:val="auto"/>
              </w:rPr>
            </w:pPr>
          </w:p>
        </w:tc>
      </w:tr>
      <w:tr>
        <w:trPr>
          <w:trHeight w:val="688"/>
        </w:trPr>
        <w:tc>
          <w:tcPr>
            <w:tcW w:w="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6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Citizens Business Bank</w:t>
            </w:r>
          </w:p>
        </w:tc>
        <w:tc>
          <w:tcPr>
            <w:tcW w:w="2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Chino Valley Bancorp (Inactive)</w:t>
            </w:r>
          </w:p>
        </w:tc>
        <w:tc>
          <w:tcPr>
            <w:tcW w:w="2360" w:type="dxa"/>
            <w:vAlign w:val="bottom"/>
          </w:tcPr>
          <w:p>
            <w:pPr>
              <w:spacing w:after="0"/>
              <w:rPr>
                <w:sz w:val="21"/>
                <w:szCs w:val="21"/>
                <w:color w:val="auto"/>
              </w:rPr>
            </w:pP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21"/>
                <w:szCs w:val="21"/>
                <w:color w:val="auto"/>
              </w:rPr>
            </w:pPr>
          </w:p>
        </w:tc>
      </w:tr>
      <w:tr>
        <w:trPr>
          <w:trHeight w:val="357"/>
        </w:trPr>
        <w:tc>
          <w:tcPr>
            <w:tcW w:w="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333-151755, 333-150016, and 333-225173) on Form S-8 of CVB Financial Corp. (the Company) of our reports dated February 28, 2023, with respect to the consolidated financial statements of CVB Financial Corp. and the effectiveness of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color w:val="auto"/>
        </w:rPr>
        <w:t>Exhibit 31.1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 David A. Brager, certify that:</w:t>
      </w:r>
    </w:p>
    <w:p>
      <w:pPr>
        <w:spacing w:after="0" w:line="21"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CVB Financial Corp.;</w:t>
      </w:r>
    </w:p>
    <w:p>
      <w:pPr>
        <w:jc w:val="both"/>
        <w:ind w:left="380" w:hanging="372"/>
        <w:spacing w:after="0" w:line="239" w:lineRule="auto"/>
        <w:tabs>
          <w:tab w:leader="none" w:pos="3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80" w:hanging="372"/>
        <w:spacing w:after="0" w:line="239" w:lineRule="auto"/>
        <w:tabs>
          <w:tab w:leader="none" w:pos="3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80" w:hanging="372"/>
        <w:spacing w:after="0" w:line="251" w:lineRule="auto"/>
        <w:tabs>
          <w:tab w:leader="none" w:pos="38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9"/>
          <w:szCs w:val="19"/>
          <w:color w:val="auto"/>
        </w:rPr>
      </w:pP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jc w:val="both"/>
        <w:ind w:left="1140" w:hanging="383"/>
        <w:spacing w:after="0" w:line="239" w:lineRule="auto"/>
        <w:tabs>
          <w:tab w:leader="none" w:pos="11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140" w:hanging="383"/>
        <w:spacing w:after="0" w:line="239" w:lineRule="auto"/>
        <w:tabs>
          <w:tab w:leader="none" w:pos="11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140" w:right="20" w:hanging="383"/>
        <w:spacing w:after="0" w:line="239" w:lineRule="auto"/>
        <w:tabs>
          <w:tab w:leader="none" w:pos="11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40" w:hanging="383"/>
        <w:spacing w:after="0" w:line="239" w:lineRule="auto"/>
        <w:tabs>
          <w:tab w:leader="none" w:pos="11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jc w:val="both"/>
        <w:ind w:left="380" w:hanging="372"/>
        <w:spacing w:after="0" w:line="239" w:lineRule="auto"/>
        <w:tabs>
          <w:tab w:leader="none" w:pos="3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jc w:val="both"/>
        <w:ind w:left="1140" w:hanging="383"/>
        <w:spacing w:after="0" w:line="239" w:lineRule="auto"/>
        <w:tabs>
          <w:tab w:leader="none" w:pos="11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20" w:hanging="383"/>
        <w:spacing w:after="0" w:line="245" w:lineRule="auto"/>
        <w:tabs>
          <w:tab w:leader="none" w:pos="11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2023</w:t>
            </w:r>
          </w:p>
        </w:tc>
        <w:tc>
          <w:tcPr>
            <w:tcW w:w="7800" w:type="dxa"/>
            <w:vAlign w:val="bottom"/>
            <w:gridSpan w:val="3"/>
          </w:tcPr>
          <w:p>
            <w:pPr>
              <w:ind w:left="1460"/>
              <w:spacing w:after="0"/>
              <w:rPr>
                <w:sz w:val="20"/>
                <w:szCs w:val="20"/>
                <w:color w:val="auto"/>
              </w:rPr>
            </w:pPr>
            <w:r>
              <w:rPr>
                <w:rFonts w:ascii="Times New Roman" w:cs="Times New Roman" w:eastAsia="Times New Roman" w:hAnsi="Times New Roman"/>
                <w:sz w:val="20"/>
                <w:szCs w:val="20"/>
                <w:color w:val="auto"/>
              </w:rPr>
              <w:t>By: /s/ David A. Brager</w:t>
            </w:r>
          </w:p>
        </w:tc>
      </w:tr>
      <w:tr>
        <w:trPr>
          <w:trHeight w:val="20"/>
        </w:trPr>
        <w:tc>
          <w:tcPr>
            <w:tcW w:w="3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27"/>
        </w:trPr>
        <w:tc>
          <w:tcPr>
            <w:tcW w:w="3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960" w:type="dxa"/>
            <w:vAlign w:val="bottom"/>
            <w:gridSpan w:val="2"/>
          </w:tcPr>
          <w:p>
            <w:pPr>
              <w:ind w:left="700"/>
              <w:spacing w:after="0" w:line="227" w:lineRule="exact"/>
              <w:rPr>
                <w:sz w:val="20"/>
                <w:szCs w:val="20"/>
                <w:color w:val="auto"/>
              </w:rPr>
            </w:pPr>
            <w:r>
              <w:rPr>
                <w:rFonts w:ascii="Times New Roman" w:cs="Times New Roman" w:eastAsia="Times New Roman" w:hAnsi="Times New Roman"/>
                <w:sz w:val="20"/>
                <w:szCs w:val="20"/>
                <w:color w:val="auto"/>
              </w:rPr>
              <w:t>David A. Brager</w:t>
            </w:r>
          </w:p>
        </w:tc>
      </w:tr>
      <w:tr>
        <w:trPr>
          <w:trHeight w:val="258"/>
        </w:trPr>
        <w:tc>
          <w:tcPr>
            <w:tcW w:w="3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96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365"/>
        </w:trPr>
        <w:tc>
          <w:tcPr>
            <w:tcW w:w="34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Exhibit 31.2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 E. Allen Nicholson, certify that:</w:t>
      </w:r>
    </w:p>
    <w:p>
      <w:pPr>
        <w:spacing w:after="0" w:line="21" w:lineRule="exact"/>
        <w:rPr>
          <w:sz w:val="20"/>
          <w:szCs w:val="20"/>
          <w:color w:val="auto"/>
        </w:rPr>
      </w:pPr>
    </w:p>
    <w:p>
      <w:pPr>
        <w:ind w:left="380" w:hanging="372"/>
        <w:spacing w:after="0"/>
        <w:tabs>
          <w:tab w:leader="none" w:pos="3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CVB Financial Corp.;</w:t>
      </w:r>
    </w:p>
    <w:p>
      <w:pPr>
        <w:jc w:val="both"/>
        <w:ind w:left="380" w:hanging="372"/>
        <w:spacing w:after="0" w:line="239" w:lineRule="auto"/>
        <w:tabs>
          <w:tab w:leader="none" w:pos="3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80" w:hanging="372"/>
        <w:spacing w:after="0" w:line="239" w:lineRule="auto"/>
        <w:tabs>
          <w:tab w:leader="none" w:pos="3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80" w:hanging="372"/>
        <w:spacing w:after="0" w:line="251" w:lineRule="auto"/>
        <w:tabs>
          <w:tab w:leader="none" w:pos="38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9"/>
          <w:szCs w:val="19"/>
          <w:color w:val="auto"/>
        </w:rPr>
      </w:pP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jc w:val="both"/>
        <w:ind w:left="1140" w:hanging="383"/>
        <w:spacing w:after="0" w:line="239" w:lineRule="auto"/>
        <w:tabs>
          <w:tab w:leader="none" w:pos="11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140" w:hanging="383"/>
        <w:spacing w:after="0" w:line="239" w:lineRule="auto"/>
        <w:tabs>
          <w:tab w:leader="none" w:pos="11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140" w:right="20" w:hanging="383"/>
        <w:spacing w:after="0" w:line="239" w:lineRule="auto"/>
        <w:tabs>
          <w:tab w:leader="none" w:pos="11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40" w:hanging="383"/>
        <w:spacing w:after="0" w:line="239" w:lineRule="auto"/>
        <w:tabs>
          <w:tab w:leader="none" w:pos="11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jc w:val="both"/>
        <w:ind w:left="380" w:hanging="372"/>
        <w:spacing w:after="0" w:line="239" w:lineRule="auto"/>
        <w:tabs>
          <w:tab w:leader="none" w:pos="3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jc w:val="both"/>
        <w:ind w:left="1140" w:hanging="383"/>
        <w:spacing w:after="0" w:line="239" w:lineRule="auto"/>
        <w:tabs>
          <w:tab w:leader="none" w:pos="11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20" w:hanging="383"/>
        <w:spacing w:after="0" w:line="245" w:lineRule="auto"/>
        <w:tabs>
          <w:tab w:leader="none" w:pos="11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2023</w:t>
            </w:r>
          </w:p>
        </w:tc>
        <w:tc>
          <w:tcPr>
            <w:tcW w:w="784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By: /s/ E. Allen Nicholson</w:t>
            </w:r>
          </w:p>
        </w:tc>
      </w:tr>
      <w:tr>
        <w:trPr>
          <w:trHeight w:val="227"/>
        </w:trPr>
        <w:tc>
          <w:tcPr>
            <w:tcW w:w="3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60" w:type="dxa"/>
            <w:vAlign w:val="bottom"/>
            <w:tcBorders>
              <w:top w:val="single" w:sz="8" w:color="auto"/>
            </w:tcBorders>
          </w:tcPr>
          <w:p>
            <w:pPr>
              <w:spacing w:after="0" w:line="227" w:lineRule="exact"/>
              <w:rPr>
                <w:sz w:val="20"/>
                <w:szCs w:val="20"/>
                <w:color w:val="auto"/>
              </w:rPr>
            </w:pPr>
            <w:r>
              <w:rPr>
                <w:rFonts w:ascii="Times New Roman" w:cs="Times New Roman" w:eastAsia="Times New Roman" w:hAnsi="Times New Roman"/>
                <w:sz w:val="20"/>
                <w:szCs w:val="20"/>
                <w:color w:val="auto"/>
              </w:rPr>
              <w:t>E. Allen Nicholson</w:t>
            </w:r>
          </w:p>
        </w:tc>
        <w:tc>
          <w:tcPr>
            <w:tcW w:w="4340" w:type="dxa"/>
            <w:vAlign w:val="bottom"/>
          </w:tcPr>
          <w:p>
            <w:pPr>
              <w:spacing w:after="0"/>
              <w:rPr>
                <w:sz w:val="19"/>
                <w:szCs w:val="19"/>
                <w:color w:val="auto"/>
              </w:rPr>
            </w:pPr>
          </w:p>
        </w:tc>
      </w:tr>
      <w:tr>
        <w:trPr>
          <w:trHeight w:val="258"/>
        </w:trPr>
        <w:tc>
          <w:tcPr>
            <w:tcW w:w="34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65"/>
        </w:trPr>
        <w:tc>
          <w:tcPr>
            <w:tcW w:w="3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Exhibit 32.1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 U.S.C. SECTION 1350,</w:t>
      </w:r>
    </w:p>
    <w:p>
      <w:pPr>
        <w:spacing w:after="0"/>
        <w:rPr>
          <w:sz w:val="20"/>
          <w:szCs w:val="20"/>
          <w:color w:val="auto"/>
        </w:rPr>
      </w:pPr>
      <w:r>
        <w:rPr>
          <w:rFonts w:ascii="Times New Roman" w:cs="Times New Roman" w:eastAsia="Times New Roman" w:hAnsi="Times New Roman"/>
          <w:sz w:val="20"/>
          <w:szCs w:val="20"/>
          <w:color w:val="auto"/>
        </w:rPr>
        <w:t>AS ADOPTED PURSUANT TO</w:t>
      </w:r>
    </w:p>
    <w:p>
      <w:pP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6"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CVB Financial Corp. (the “Company”) on Form 10-K for the fiscal year ended December 31, 2022, as filed with the Securities and Exchange Commission on the date hereof (the “Report”), I, David A. Brager, President and Chief Executive Officer of the Company, certify, pursuant to 18 U.S.C. § 1350, as adopted pursuant to § 906 of the Sarbanes-Oxley Act of 2002, to the best of my knowledge that:</w:t>
      </w:r>
    </w:p>
    <w:p>
      <w:pPr>
        <w:spacing w:after="0" w:line="192" w:lineRule="exact"/>
        <w:rPr>
          <w:sz w:val="20"/>
          <w:szCs w:val="20"/>
          <w:color w:val="auto"/>
        </w:rPr>
      </w:pPr>
    </w:p>
    <w:p>
      <w:pPr>
        <w:ind w:left="960" w:hanging="563"/>
        <w:spacing w:after="0"/>
        <w:tabs>
          <w:tab w:leader="none" w:pos="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8" w:lineRule="exact"/>
        <w:rPr>
          <w:rFonts w:ascii="Times New Roman" w:cs="Times New Roman" w:eastAsia="Times New Roman" w:hAnsi="Times New Roman"/>
          <w:sz w:val="20"/>
          <w:szCs w:val="20"/>
          <w:color w:val="auto"/>
        </w:rPr>
      </w:pPr>
    </w:p>
    <w:p>
      <w:pPr>
        <w:ind w:left="960" w:hanging="563"/>
        <w:spacing w:after="0" w:line="268" w:lineRule="auto"/>
        <w:tabs>
          <w:tab w:leader="none" w:pos="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2023</w:t>
            </w:r>
          </w:p>
        </w:tc>
        <w:tc>
          <w:tcPr>
            <w:tcW w:w="8040" w:type="dxa"/>
            <w:vAlign w:val="bottom"/>
            <w:gridSpan w:val="3"/>
          </w:tcPr>
          <w:p>
            <w:pPr>
              <w:ind w:left="1200"/>
              <w:spacing w:after="0"/>
              <w:rPr>
                <w:sz w:val="20"/>
                <w:szCs w:val="20"/>
                <w:color w:val="auto"/>
              </w:rPr>
            </w:pPr>
            <w:r>
              <w:rPr>
                <w:rFonts w:ascii="Times New Roman" w:cs="Times New Roman" w:eastAsia="Times New Roman" w:hAnsi="Times New Roman"/>
                <w:sz w:val="20"/>
                <w:szCs w:val="20"/>
                <w:color w:val="auto"/>
              </w:rPr>
              <w:t>By: /s/ David A. Brager</w:t>
            </w:r>
          </w:p>
        </w:tc>
      </w:tr>
      <w:tr>
        <w:trPr>
          <w:trHeight w:val="20"/>
        </w:trPr>
        <w:tc>
          <w:tcPr>
            <w:tcW w:w="3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27"/>
        </w:trPr>
        <w:tc>
          <w:tcPr>
            <w:tcW w:w="3200" w:type="dxa"/>
            <w:vAlign w:val="bottom"/>
          </w:tcPr>
          <w:p>
            <w:pPr>
              <w:spacing w:after="0"/>
              <w:rPr>
                <w:sz w:val="19"/>
                <w:szCs w:val="19"/>
                <w:color w:val="auto"/>
              </w:rPr>
            </w:pPr>
          </w:p>
        </w:tc>
        <w:tc>
          <w:tcPr>
            <w:tcW w:w="8040" w:type="dxa"/>
            <w:vAlign w:val="bottom"/>
            <w:gridSpan w:val="3"/>
          </w:tcPr>
          <w:p>
            <w:pPr>
              <w:ind w:left="1500"/>
              <w:spacing w:after="0" w:line="227" w:lineRule="exact"/>
              <w:rPr>
                <w:sz w:val="20"/>
                <w:szCs w:val="20"/>
                <w:color w:val="auto"/>
              </w:rPr>
            </w:pPr>
            <w:r>
              <w:rPr>
                <w:rFonts w:ascii="Times New Roman" w:cs="Times New Roman" w:eastAsia="Times New Roman" w:hAnsi="Times New Roman"/>
                <w:sz w:val="20"/>
                <w:szCs w:val="20"/>
                <w:color w:val="auto"/>
              </w:rPr>
              <w:t>David A. Brager</w:t>
            </w:r>
          </w:p>
        </w:tc>
      </w:tr>
      <w:tr>
        <w:trPr>
          <w:trHeight w:val="258"/>
        </w:trPr>
        <w:tc>
          <w:tcPr>
            <w:tcW w:w="3200" w:type="dxa"/>
            <w:vAlign w:val="bottom"/>
          </w:tcPr>
          <w:p>
            <w:pPr>
              <w:spacing w:after="0"/>
              <w:rPr>
                <w:sz w:val="22"/>
                <w:szCs w:val="22"/>
                <w:color w:val="auto"/>
              </w:rPr>
            </w:pPr>
          </w:p>
        </w:tc>
        <w:tc>
          <w:tcPr>
            <w:tcW w:w="8040" w:type="dxa"/>
            <w:vAlign w:val="bottom"/>
            <w:gridSpan w:val="3"/>
          </w:tcPr>
          <w:p>
            <w:pPr>
              <w:ind w:left="150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149"/>
        </w:trPr>
        <w:tc>
          <w:tcPr>
            <w:tcW w:w="3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49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color w:val="auto"/>
        </w:rPr>
        <w:t>Exhibit 32.2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 U.S.C. SECTION 1350,</w:t>
      </w:r>
    </w:p>
    <w:p>
      <w:pPr>
        <w:spacing w:after="0"/>
        <w:rPr>
          <w:sz w:val="20"/>
          <w:szCs w:val="20"/>
          <w:color w:val="auto"/>
        </w:rPr>
      </w:pPr>
      <w:r>
        <w:rPr>
          <w:rFonts w:ascii="Times New Roman" w:cs="Times New Roman" w:eastAsia="Times New Roman" w:hAnsi="Times New Roman"/>
          <w:sz w:val="20"/>
          <w:szCs w:val="20"/>
          <w:color w:val="auto"/>
        </w:rPr>
        <w:t>AS ADOPTED PURSUANT TO</w:t>
      </w:r>
    </w:p>
    <w:p>
      <w:pP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6"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CVB Financial Corp. (the “Company”) on Form 10-K for the fiscal year ended December 31, 2022,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92" w:lineRule="exact"/>
        <w:rPr>
          <w:sz w:val="20"/>
          <w:szCs w:val="20"/>
          <w:color w:val="auto"/>
        </w:rPr>
      </w:pPr>
    </w:p>
    <w:p>
      <w:pPr>
        <w:ind w:left="960" w:hanging="563"/>
        <w:spacing w:after="0"/>
        <w:tabs>
          <w:tab w:leader="none" w:pos="9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8" w:lineRule="exact"/>
        <w:rPr>
          <w:rFonts w:ascii="Times New Roman" w:cs="Times New Roman" w:eastAsia="Times New Roman" w:hAnsi="Times New Roman"/>
          <w:sz w:val="20"/>
          <w:szCs w:val="20"/>
          <w:color w:val="auto"/>
        </w:rPr>
      </w:pPr>
    </w:p>
    <w:p>
      <w:pPr>
        <w:ind w:left="960" w:hanging="563"/>
        <w:spacing w:after="0" w:line="268" w:lineRule="auto"/>
        <w:tabs>
          <w:tab w:leader="none" w:pos="9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28, 2023</w:t>
            </w:r>
          </w:p>
        </w:tc>
        <w:tc>
          <w:tcPr>
            <w:tcW w:w="7780" w:type="dxa"/>
            <w:vAlign w:val="bottom"/>
            <w:gridSpan w:val="3"/>
          </w:tcPr>
          <w:p>
            <w:pPr>
              <w:ind w:left="1480"/>
              <w:spacing w:after="0"/>
              <w:rPr>
                <w:sz w:val="20"/>
                <w:szCs w:val="20"/>
                <w:color w:val="auto"/>
              </w:rPr>
            </w:pPr>
            <w:r>
              <w:rPr>
                <w:rFonts w:ascii="Times New Roman" w:cs="Times New Roman" w:eastAsia="Times New Roman" w:hAnsi="Times New Roman"/>
                <w:sz w:val="20"/>
                <w:szCs w:val="20"/>
                <w:color w:val="auto"/>
              </w:rPr>
              <w:t>By:/s/ E. Allen Nicholson</w:t>
            </w:r>
          </w:p>
        </w:tc>
      </w:tr>
      <w:tr>
        <w:trPr>
          <w:trHeight w:val="20"/>
        </w:trPr>
        <w:tc>
          <w:tcPr>
            <w:tcW w:w="3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27"/>
        </w:trPr>
        <w:tc>
          <w:tcPr>
            <w:tcW w:w="3460" w:type="dxa"/>
            <w:vAlign w:val="bottom"/>
          </w:tcPr>
          <w:p>
            <w:pPr>
              <w:spacing w:after="0"/>
              <w:rPr>
                <w:sz w:val="19"/>
                <w:szCs w:val="19"/>
                <w:color w:val="auto"/>
              </w:rPr>
            </w:pPr>
          </w:p>
        </w:tc>
        <w:tc>
          <w:tcPr>
            <w:tcW w:w="7780" w:type="dxa"/>
            <w:vAlign w:val="bottom"/>
            <w:gridSpan w:val="3"/>
          </w:tcPr>
          <w:p>
            <w:pPr>
              <w:ind w:left="1780"/>
              <w:spacing w:after="0" w:line="227" w:lineRule="exact"/>
              <w:rPr>
                <w:sz w:val="20"/>
                <w:szCs w:val="20"/>
                <w:color w:val="auto"/>
              </w:rPr>
            </w:pPr>
            <w:r>
              <w:rPr>
                <w:rFonts w:ascii="Times New Roman" w:cs="Times New Roman" w:eastAsia="Times New Roman" w:hAnsi="Times New Roman"/>
                <w:sz w:val="20"/>
                <w:szCs w:val="20"/>
                <w:color w:val="auto"/>
              </w:rPr>
              <w:t>E. Allen Nicholson</w:t>
            </w:r>
          </w:p>
        </w:tc>
      </w:tr>
      <w:tr>
        <w:trPr>
          <w:trHeight w:val="258"/>
        </w:trPr>
        <w:tc>
          <w:tcPr>
            <w:tcW w:w="3460" w:type="dxa"/>
            <w:vAlign w:val="bottom"/>
          </w:tcPr>
          <w:p>
            <w:pPr>
              <w:spacing w:after="0"/>
              <w:rPr>
                <w:sz w:val="22"/>
                <w:szCs w:val="22"/>
                <w:color w:val="auto"/>
              </w:rPr>
            </w:pPr>
          </w:p>
        </w:tc>
        <w:tc>
          <w:tcPr>
            <w:tcW w:w="7780" w:type="dxa"/>
            <w:vAlign w:val="bottom"/>
            <w:gridSpan w:val="3"/>
          </w:tcPr>
          <w:p>
            <w:pPr>
              <w:ind w:left="17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65"/>
        </w:trPr>
        <w:tc>
          <w:tcPr>
            <w:tcW w:w="34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1)"/>
      <w:numFmt w:val="lowerRoman"/>
      <w:start w:val="3"/>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2"/>
    </w:lvl>
  </w:abstractNum>
  <w:abstractNum w:abstractNumId="26">
    <w:nsid w:val="70C6A529"/>
    <w:multiLevelType w:val="hybridMultilevel"/>
    <w:lvl w:ilvl="0">
      <w:lvlJc w:val="left"/>
      <w:lvlText w:val="%1)"/>
      <w:numFmt w:val="decimal"/>
      <w:start w:val="3"/>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lowerLetter"/>
      <w:start w:val="1"/>
    </w:lvl>
    <w:lvl w:ilvl="1">
      <w:lvlJc w:val="left"/>
      <w:lvlText w:val="(%2)"/>
      <w:numFmt w:val="decimal"/>
      <w:start w:val="2"/>
    </w:lvl>
  </w:abstractNum>
  <w:abstractNum w:abstractNumId="29">
    <w:nsid w:val="4F4EF005"/>
    <w:multiLevelType w:val="hybridMultilevel"/>
    <w:lvl w:ilvl="0">
      <w:lvlJc w:val="left"/>
      <w:lvlText w:val="(%1)"/>
      <w:numFmt w:val="lowerLetter"/>
      <w:start w:val="2"/>
    </w:lvl>
    <w:lvl w:ilvl="1">
      <w:lvlJc w:val="left"/>
      <w:lvlText w:val="%2"/>
      <w:numFmt w:val="decimal"/>
      <w:start w:val="1"/>
    </w:lvl>
  </w:abstractNum>
  <w:abstractNum w:abstractNumId="30">
    <w:nsid w:val="23F9C13C"/>
    <w:multiLevelType w:val="hybridMultilevel"/>
    <w:lvl w:ilvl="0">
      <w:lvlJc w:val="left"/>
      <w:lvlText w:val="%1"/>
      <w:numFmt w:val="decimal"/>
      <w:start w:val="21"/>
    </w:lvl>
  </w:abstractNum>
  <w:abstractNum w:abstractNumId="31">
    <w:nsid w:val="649BB77C"/>
    <w:multiLevelType w:val="hybridMultilevel"/>
    <w:lvl w:ilvl="0">
      <w:lvlJc w:val="left"/>
      <w:lvlText w:val="%1"/>
      <w:numFmt w:val="decimal"/>
      <w:start w:val="23"/>
    </w:lvl>
  </w:abstractNum>
  <w:abstractNum w:abstractNumId="32">
    <w:nsid w:val="275AC794"/>
    <w:multiLevelType w:val="hybridMultilevel"/>
    <w:lvl w:ilvl="0">
      <w:lvlJc w:val="left"/>
      <w:lvlText w:val="*"/>
      <w:numFmt w:val="bullet"/>
      <w:start w:val="1"/>
    </w:lvl>
    <w:lvl w:ilvl="1">
      <w:lvlJc w:val="left"/>
      <w:lvlText w:val="%2"/>
      <w:numFmt w:val="decimal"/>
      <w:start w:val="104"/>
    </w:lvl>
  </w:abstractNum>
  <w:abstractNum w:abstractNumId="33">
    <w:nsid w:val="39386575"/>
    <w:multiLevelType w:val="hybridMultilevel"/>
    <w:lvl w:ilvl="0">
      <w:lvlJc w:val="left"/>
      <w:lvlText w:val="**"/>
      <w:numFmt w:val="bullet"/>
      <w:start w:val="1"/>
    </w:lvl>
    <w:lvl w:ilvl="1">
      <w:lvlJc w:val="left"/>
      <w:lvlText w:val="%2"/>
      <w:numFmt w:val="decimal"/>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2"/>
    </w:lvl>
  </w:abstractNum>
  <w:abstractNum w:abstractNumId="39">
    <w:nsid w:val="15B5AF5C"/>
    <w:multiLevelType w:val="hybridMultilevel"/>
    <w:lvl w:ilvl="0">
      <w:lvlJc w:val="left"/>
      <w:lvlText w:val="%1."/>
      <w:numFmt w:val="decimal"/>
      <w:start w:val="3"/>
    </w:lvl>
  </w:abstractNum>
  <w:abstractNum w:abstractNumId="40">
    <w:nsid w:val="741226BB"/>
    <w:multiLevelType w:val="hybridMultilevel"/>
    <w:lvl w:ilvl="0">
      <w:lvlJc w:val="left"/>
      <w:lvlText w:val="(%1)"/>
      <w:numFmt w:val="lowerRoman"/>
      <w:start w:val="2"/>
    </w:lvl>
  </w:abstractNum>
  <w:abstractNum w:abstractNumId="41">
    <w:nsid w:val="D34B6A8"/>
    <w:multiLevelType w:val="hybridMultilevel"/>
    <w:lvl w:ilvl="0">
      <w:lvlJc w:val="left"/>
      <w:lvlText w:val="%1."/>
      <w:numFmt w:val="decimal"/>
      <w:start w:val="1"/>
    </w:lvl>
    <w:lvl w:ilvl="1">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decimal"/>
      <w:start w:val="4"/>
    </w:lvl>
  </w:abstractNum>
  <w:abstractNum w:abstractNumId="45">
    <w:nsid w:val="7E0C57B1"/>
    <w:multiLevelType w:val="hybridMultilevel"/>
    <w:lvl w:ilvl="0">
      <w:lvlJc w:val="left"/>
      <w:lvlText w:val="%1."/>
      <w:numFmt w:val="decimal"/>
      <w:start w:val="5"/>
    </w:lvl>
  </w:abstractNum>
  <w:abstractNum w:abstractNumId="46">
    <w:nsid w:val="77AE35EB"/>
    <w:multiLevelType w:val="hybridMultilevel"/>
    <w:lvl w:ilvl="0">
      <w:lvlJc w:val="left"/>
      <w:lvlText w:val="%1."/>
      <w:numFmt w:val="decimal"/>
      <w:start w:val="6"/>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decimal"/>
      <w:start w:val="2"/>
    </w:lvl>
  </w:abstractNum>
  <w:abstractNum w:abstractNumId="53">
    <w:nsid w:val="4AD084E9"/>
    <w:multiLevelType w:val="hybridMultilevel"/>
    <w:lvl w:ilvl="0">
      <w:lvlJc w:val="left"/>
      <w:lvlText w:val="%1."/>
      <w:numFmt w:val="decimal"/>
      <w:start w:val="8"/>
    </w:lvl>
  </w:abstractNum>
  <w:abstractNum w:abstractNumId="54">
    <w:nsid w:val="1F48EAA1"/>
    <w:multiLevelType w:val="hybridMultilevel"/>
    <w:lvl w:ilvl="0">
      <w:lvlJc w:val="left"/>
      <w:lvlText w:val="%1."/>
      <w:numFmt w:val="decimal"/>
      <w:start w:val="10"/>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26"/>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decimal"/>
      <w:start w:val="2"/>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decimal"/>
      <w:start w:val="1"/>
    </w:lvl>
    <w:lvl w:ilvl="1">
      <w:lvlJc w:val="left"/>
      <w:lvlText w:val="(%2)"/>
      <w:numFmt w:val="lowerLetter"/>
      <w:start w:val="5"/>
    </w:lvl>
  </w:abstractNum>
  <w:abstractNum w:abstractNumId="67">
    <w:nsid w:val="661E3F1E"/>
    <w:multiLevelType w:val="hybridMultilevel"/>
    <w:lvl w:ilvl="0">
      <w:lvlJc w:val="left"/>
      <w:lvlText w:val="(%1)"/>
      <w:numFmt w:val="decimal"/>
      <w:start w:val="3"/>
    </w:lvl>
    <w:lvl w:ilvl="1">
      <w:lvlJc w:val="left"/>
      <w:lvlText w:val="(%2)"/>
      <w:numFmt w:val="lowerLetter"/>
      <w:start w:val="7"/>
    </w:lvl>
  </w:abstractNum>
  <w:abstractNum w:abstractNumId="68">
    <w:nsid w:val="5DC79EA8"/>
    <w:multiLevelType w:val="hybridMultilevel"/>
    <w:lvl w:ilvl="0">
      <w:lvlJc w:val="left"/>
      <w:lvlText w:val="(%1)"/>
      <w:numFmt w:val="lowerLetter"/>
      <w:start w:val="9"/>
    </w:lvl>
  </w:abstractNum>
  <w:abstractNum w:abstractNumId="69">
    <w:nsid w:val="540A471C"/>
    <w:multiLevelType w:val="hybridMultilevel"/>
    <w:lvl w:ilvl="0">
      <w:lvlJc w:val="left"/>
      <w:lvlText w:val="%1"/>
      <w:numFmt w:val="decimal"/>
      <w:start w:val="1"/>
    </w:lvl>
    <w:lvl w:ilvl="1">
      <w:lvlJc w:val="left"/>
      <w:lvlText w:val="(%2)"/>
      <w:numFmt w:val="lowerLetter"/>
      <w:start w:val="12"/>
    </w:lvl>
  </w:abstractNum>
  <w:abstractNum w:abstractNumId="70">
    <w:nsid w:val="7BD3EE7B"/>
    <w:multiLevelType w:val="hybridMultilevel"/>
    <w:lvl w:ilvl="0">
      <w:lvlJc w:val="left"/>
      <w:lvlText w:val="%1."/>
      <w:numFmt w:val="decimal"/>
      <w:start w:val="3"/>
    </w:lvl>
    <w:lvl w:ilvl="1">
      <w:lvlJc w:val="left"/>
      <w:lvlText w:val="%2"/>
      <w:numFmt w:val="lowerLetter"/>
      <w:start w:val="1"/>
    </w:lvl>
  </w:abstractNum>
  <w:abstractNum w:abstractNumId="71">
    <w:nsid w:val="51D9C564"/>
    <w:multiLevelType w:val="hybridMultilevel"/>
    <w:lvl w:ilvl="0">
      <w:lvlJc w:val="left"/>
      <w:lvlText w:val="%1."/>
      <w:numFmt w:val="decimal"/>
      <w:start w:val="4"/>
    </w:lvl>
  </w:abstractNum>
  <w:abstractNum w:abstractNumId="72">
    <w:nsid w:val="613EFDC5"/>
    <w:multiLevelType w:val="hybridMultilevel"/>
    <w:lvl w:ilvl="0">
      <w:lvlJc w:val="left"/>
      <w:lvlText w:val="%1."/>
      <w:numFmt w:val="decimal"/>
      <w:start w:val="5"/>
    </w:lvl>
  </w:abstractNum>
  <w:abstractNum w:abstractNumId="73">
    <w:nsid w:val="BF72B14"/>
    <w:multiLevelType w:val="hybridMultilevel"/>
    <w:lvl w:ilvl="0">
      <w:lvlJc w:val="left"/>
      <w:lvlText w:val="%1."/>
      <w:numFmt w:val="decimal"/>
      <w:start w:val="6"/>
    </w:lvl>
  </w:abstractNum>
  <w:abstractNum w:abstractNumId="74">
    <w:nsid w:val="11447B73"/>
    <w:multiLevelType w:val="hybridMultilevel"/>
    <w:lvl w:ilvl="0">
      <w:lvlJc w:val="left"/>
      <w:lvlText w:val="%1."/>
      <w:numFmt w:val="decimal"/>
      <w:start w:val="7"/>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566"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pn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73" Type="http://schemas.openxmlformats.org/officeDocument/2006/relationships/image" Target="media/image539.png"/><Relationship Id="rId574" Type="http://schemas.openxmlformats.org/officeDocument/2006/relationships/image" Target="media/image540.png"/><Relationship Id="rId575" Type="http://schemas.openxmlformats.org/officeDocument/2006/relationships/image" Target="media/image541.png"/><Relationship Id="rId576"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png"/><Relationship Id="rId584" Type="http://schemas.openxmlformats.org/officeDocument/2006/relationships/image" Target="media/image550.pn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png"/><Relationship Id="rId590" Type="http://schemas.openxmlformats.org/officeDocument/2006/relationships/image" Target="media/image556.png"/><Relationship Id="rId591" Type="http://schemas.openxmlformats.org/officeDocument/2006/relationships/image" Target="media/image557.png"/><Relationship Id="rId592"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609" Type="http://schemas.openxmlformats.org/officeDocument/2006/relationships/image" Target="media/image575.png"/><Relationship Id="rId610" Type="http://schemas.openxmlformats.org/officeDocument/2006/relationships/image" Target="media/image576.png"/><Relationship Id="rId611" Type="http://schemas.openxmlformats.org/officeDocument/2006/relationships/image" Target="media/image577.png"/><Relationship Id="rId612" Type="http://schemas.openxmlformats.org/officeDocument/2006/relationships/image" Target="media/image578.png"/><Relationship Id="rId613" Type="http://schemas.openxmlformats.org/officeDocument/2006/relationships/image" Target="media/image579.png"/><Relationship Id="rId614" Type="http://schemas.openxmlformats.org/officeDocument/2006/relationships/image" Target="media/image580.png"/><Relationship Id="rId615" Type="http://schemas.openxmlformats.org/officeDocument/2006/relationships/image" Target="media/image581.png"/><Relationship Id="rId616" Type="http://schemas.openxmlformats.org/officeDocument/2006/relationships/image" Target="media/image582.png"/><Relationship Id="rId617" Type="http://schemas.openxmlformats.org/officeDocument/2006/relationships/image" Target="media/image583.png"/><Relationship Id="rId618" Type="http://schemas.openxmlformats.org/officeDocument/2006/relationships/image" Target="media/image584.png"/><Relationship Id="rId619" Type="http://schemas.openxmlformats.org/officeDocument/2006/relationships/image" Target="media/image585.png"/><Relationship Id="rId620" Type="http://schemas.openxmlformats.org/officeDocument/2006/relationships/image" Target="media/image586.png"/><Relationship Id="rId621" Type="http://schemas.openxmlformats.org/officeDocument/2006/relationships/image" Target="media/image587.png"/><Relationship Id="rId622" Type="http://schemas.openxmlformats.org/officeDocument/2006/relationships/image" Target="media/image588.png"/><Relationship Id="rId623" Type="http://schemas.openxmlformats.org/officeDocument/2006/relationships/image" Target="media/image589.png"/><Relationship Id="rId624" Type="http://schemas.openxmlformats.org/officeDocument/2006/relationships/image" Target="media/image590.png"/><Relationship Id="rId625" Type="http://schemas.openxmlformats.org/officeDocument/2006/relationships/image" Target="media/image591.png"/><Relationship Id="rId626" Type="http://schemas.openxmlformats.org/officeDocument/2006/relationships/image" Target="media/image592.png"/><Relationship Id="rId627" Type="http://schemas.openxmlformats.org/officeDocument/2006/relationships/image" Target="media/image593.png"/><Relationship Id="rId628" Type="http://schemas.openxmlformats.org/officeDocument/2006/relationships/image" Target="media/image594.png"/><Relationship Id="rId629" Type="http://schemas.openxmlformats.org/officeDocument/2006/relationships/image" Target="media/image595.png"/><Relationship Id="rId630" Type="http://schemas.openxmlformats.org/officeDocument/2006/relationships/image" Target="media/image596.png"/><Relationship Id="rId631" Type="http://schemas.openxmlformats.org/officeDocument/2006/relationships/image" Target="media/image597.png"/><Relationship Id="rId632" Type="http://schemas.openxmlformats.org/officeDocument/2006/relationships/image" Target="media/image598.png"/><Relationship Id="rId633" Type="http://schemas.openxmlformats.org/officeDocument/2006/relationships/image" Target="media/image599.png"/><Relationship Id="rId634" Type="http://schemas.openxmlformats.org/officeDocument/2006/relationships/image" Target="media/image600.png"/><Relationship Id="rId635" Type="http://schemas.openxmlformats.org/officeDocument/2006/relationships/image" Target="media/image601.png"/><Relationship Id="rId636" Type="http://schemas.openxmlformats.org/officeDocument/2006/relationships/image" Target="media/image602.png"/><Relationship Id="rId637" Type="http://schemas.openxmlformats.org/officeDocument/2006/relationships/image" Target="media/image603.png"/><Relationship Id="rId638" Type="http://schemas.openxmlformats.org/officeDocument/2006/relationships/image" Target="media/image604.png"/><Relationship Id="rId639" Type="http://schemas.openxmlformats.org/officeDocument/2006/relationships/image" Target="media/image605.png"/><Relationship Id="rId640" Type="http://schemas.openxmlformats.org/officeDocument/2006/relationships/image" Target="media/image606.png"/><Relationship Id="rId641" Type="http://schemas.openxmlformats.org/officeDocument/2006/relationships/image" Target="media/image607.png"/><Relationship Id="rId642" Type="http://schemas.openxmlformats.org/officeDocument/2006/relationships/image" Target="media/image608.png"/><Relationship Id="rId643" Type="http://schemas.openxmlformats.org/officeDocument/2006/relationships/image" Target="media/image609.png"/><Relationship Id="rId644" Type="http://schemas.openxmlformats.org/officeDocument/2006/relationships/image" Target="media/image610.png"/><Relationship Id="rId645" Type="http://schemas.openxmlformats.org/officeDocument/2006/relationships/image" Target="media/image611.png"/><Relationship Id="rId646" Type="http://schemas.openxmlformats.org/officeDocument/2006/relationships/image" Target="media/image612.png"/><Relationship Id="rId647" Type="http://schemas.openxmlformats.org/officeDocument/2006/relationships/image" Target="media/image613.png"/><Relationship Id="rId648" Type="http://schemas.openxmlformats.org/officeDocument/2006/relationships/image" Target="media/image614.png"/><Relationship Id="rId649" Type="http://schemas.openxmlformats.org/officeDocument/2006/relationships/image" Target="media/image615.png"/><Relationship Id="rId650" Type="http://schemas.openxmlformats.org/officeDocument/2006/relationships/image" Target="media/image616.png"/><Relationship Id="rId651" Type="http://schemas.openxmlformats.org/officeDocument/2006/relationships/image" Target="media/image617.png"/><Relationship Id="rId652" Type="http://schemas.openxmlformats.org/officeDocument/2006/relationships/image" Target="media/image618.png"/><Relationship Id="rId653" Type="http://schemas.openxmlformats.org/officeDocument/2006/relationships/image" Target="media/image619.png"/><Relationship Id="rId654" Type="http://schemas.openxmlformats.org/officeDocument/2006/relationships/image" Target="media/image620.png"/><Relationship Id="rId655" Type="http://schemas.openxmlformats.org/officeDocument/2006/relationships/image" Target="media/image621.png"/><Relationship Id="rId656" Type="http://schemas.openxmlformats.org/officeDocument/2006/relationships/image" Target="media/image622.png"/><Relationship Id="rId657" Type="http://schemas.openxmlformats.org/officeDocument/2006/relationships/image" Target="media/image623.png"/><Relationship Id="rId658" Type="http://schemas.openxmlformats.org/officeDocument/2006/relationships/image" Target="media/image624.png"/><Relationship Id="rId659" Type="http://schemas.openxmlformats.org/officeDocument/2006/relationships/image" Target="media/image625.png"/><Relationship Id="rId660" Type="http://schemas.openxmlformats.org/officeDocument/2006/relationships/image" Target="media/image626.png"/><Relationship Id="rId661" Type="http://schemas.openxmlformats.org/officeDocument/2006/relationships/image" Target="media/image627.png"/><Relationship Id="rId662" Type="http://schemas.openxmlformats.org/officeDocument/2006/relationships/image" Target="media/image628.png"/><Relationship Id="rId663" Type="http://schemas.openxmlformats.org/officeDocument/2006/relationships/image" Target="media/image629.png"/><Relationship Id="rId664" Type="http://schemas.openxmlformats.org/officeDocument/2006/relationships/image" Target="media/image630.png"/><Relationship Id="rId665" Type="http://schemas.openxmlformats.org/officeDocument/2006/relationships/image" Target="media/image631.png"/><Relationship Id="rId666" Type="http://schemas.openxmlformats.org/officeDocument/2006/relationships/image" Target="media/image632.png"/><Relationship Id="rId667" Type="http://schemas.openxmlformats.org/officeDocument/2006/relationships/image" Target="media/image633.png"/><Relationship Id="rId668" Type="http://schemas.openxmlformats.org/officeDocument/2006/relationships/image" Target="media/image634.png"/><Relationship Id="rId669" Type="http://schemas.openxmlformats.org/officeDocument/2006/relationships/image" Target="media/image635.png"/><Relationship Id="rId670" Type="http://schemas.openxmlformats.org/officeDocument/2006/relationships/image" Target="media/image636.png"/><Relationship Id="rId671" Type="http://schemas.openxmlformats.org/officeDocument/2006/relationships/image" Target="media/image637.png"/><Relationship Id="rId672" Type="http://schemas.openxmlformats.org/officeDocument/2006/relationships/image" Target="media/image638.png"/><Relationship Id="rId673" Type="http://schemas.openxmlformats.org/officeDocument/2006/relationships/image" Target="media/image639.png"/><Relationship Id="rId674" Type="http://schemas.openxmlformats.org/officeDocument/2006/relationships/image" Target="media/image640.png"/><Relationship Id="rId675" Type="http://schemas.openxmlformats.org/officeDocument/2006/relationships/image" Target="media/image641.png"/><Relationship Id="rId676" Type="http://schemas.openxmlformats.org/officeDocument/2006/relationships/image" Target="media/image642.png"/><Relationship Id="rId677" Type="http://schemas.openxmlformats.org/officeDocument/2006/relationships/image" Target="media/image643.png"/><Relationship Id="rId678" Type="http://schemas.openxmlformats.org/officeDocument/2006/relationships/image" Target="media/image644.png"/><Relationship Id="rId679" Type="http://schemas.openxmlformats.org/officeDocument/2006/relationships/image" Target="media/image645.png"/><Relationship Id="rId680" Type="http://schemas.openxmlformats.org/officeDocument/2006/relationships/image" Target="media/image646.png"/><Relationship Id="rId681" Type="http://schemas.openxmlformats.org/officeDocument/2006/relationships/image" Target="media/image647.png"/><Relationship Id="rId682" Type="http://schemas.openxmlformats.org/officeDocument/2006/relationships/image" Target="media/image648.png"/><Relationship Id="rId683" Type="http://schemas.openxmlformats.org/officeDocument/2006/relationships/image" Target="media/image649.png"/><Relationship Id="rId684" Type="http://schemas.openxmlformats.org/officeDocument/2006/relationships/image" Target="media/image650.png"/><Relationship Id="rId685" Type="http://schemas.openxmlformats.org/officeDocument/2006/relationships/image" Target="media/image651.png"/><Relationship Id="rId686" Type="http://schemas.openxmlformats.org/officeDocument/2006/relationships/image" Target="media/image652.png"/><Relationship Id="rId687" Type="http://schemas.openxmlformats.org/officeDocument/2006/relationships/image" Target="media/image653.png"/><Relationship Id="rId688" Type="http://schemas.openxmlformats.org/officeDocument/2006/relationships/image" Target="media/image654.png"/><Relationship Id="rId689" Type="http://schemas.openxmlformats.org/officeDocument/2006/relationships/image" Target="media/image655.png"/><Relationship Id="rId690" Type="http://schemas.openxmlformats.org/officeDocument/2006/relationships/image" Target="media/image656.png"/><Relationship Id="rId691" Type="http://schemas.openxmlformats.org/officeDocument/2006/relationships/image" Target="media/image657.png"/><Relationship Id="rId692" Type="http://schemas.openxmlformats.org/officeDocument/2006/relationships/image" Target="media/image658.png"/><Relationship Id="rId693" Type="http://schemas.openxmlformats.org/officeDocument/2006/relationships/image" Target="media/image659.png"/><Relationship Id="rId694" Type="http://schemas.openxmlformats.org/officeDocument/2006/relationships/image" Target="media/image660.png"/><Relationship Id="rId695" Type="http://schemas.openxmlformats.org/officeDocument/2006/relationships/image" Target="media/image661.png"/><Relationship Id="rId696" Type="http://schemas.openxmlformats.org/officeDocument/2006/relationships/image" Target="media/image662.png"/><Relationship Id="rId697" Type="http://schemas.openxmlformats.org/officeDocument/2006/relationships/image" Target="media/image663.png"/><Relationship Id="rId698" Type="http://schemas.openxmlformats.org/officeDocument/2006/relationships/image" Target="media/image664.png"/><Relationship Id="rId699" Type="http://schemas.openxmlformats.org/officeDocument/2006/relationships/image" Target="media/image665.png"/><Relationship Id="rId700" Type="http://schemas.openxmlformats.org/officeDocument/2006/relationships/image" Target="media/image666.png"/><Relationship Id="rId701" Type="http://schemas.openxmlformats.org/officeDocument/2006/relationships/image" Target="media/image667.png"/><Relationship Id="rId702" Type="http://schemas.openxmlformats.org/officeDocument/2006/relationships/image" Target="media/image668.png"/><Relationship Id="rId703" Type="http://schemas.openxmlformats.org/officeDocument/2006/relationships/image" Target="media/image669.png"/><Relationship Id="rId704" Type="http://schemas.openxmlformats.org/officeDocument/2006/relationships/image" Target="media/image670.png"/><Relationship Id="rId705" Type="http://schemas.openxmlformats.org/officeDocument/2006/relationships/image" Target="media/image671.png"/><Relationship Id="rId706" Type="http://schemas.openxmlformats.org/officeDocument/2006/relationships/image" Target="media/image672.png"/><Relationship Id="rId707" Type="http://schemas.openxmlformats.org/officeDocument/2006/relationships/image" Target="media/image673.png"/><Relationship Id="rId708" Type="http://schemas.openxmlformats.org/officeDocument/2006/relationships/image" Target="media/image674.png"/><Relationship Id="rId709" Type="http://schemas.openxmlformats.org/officeDocument/2006/relationships/image" Target="media/image675.png"/><Relationship Id="rId710" Type="http://schemas.openxmlformats.org/officeDocument/2006/relationships/image" Target="media/image676.png"/><Relationship Id="rId711" Type="http://schemas.openxmlformats.org/officeDocument/2006/relationships/image" Target="media/image677.png"/><Relationship Id="rId712" Type="http://schemas.openxmlformats.org/officeDocument/2006/relationships/image" Target="media/image678.png"/><Relationship Id="rId713" Type="http://schemas.openxmlformats.org/officeDocument/2006/relationships/image" Target="media/image679.png"/><Relationship Id="rId714" Type="http://schemas.openxmlformats.org/officeDocument/2006/relationships/image" Target="media/image680.png"/><Relationship Id="rId715" Type="http://schemas.openxmlformats.org/officeDocument/2006/relationships/image" Target="media/image681.png"/><Relationship Id="rId716" Type="http://schemas.openxmlformats.org/officeDocument/2006/relationships/image" Target="media/image682.png"/><Relationship Id="rId717" Type="http://schemas.openxmlformats.org/officeDocument/2006/relationships/image" Target="media/image683.png"/><Relationship Id="rId718" Type="http://schemas.openxmlformats.org/officeDocument/2006/relationships/image" Target="media/image684.png"/><Relationship Id="rId719" Type="http://schemas.openxmlformats.org/officeDocument/2006/relationships/image" Target="media/image685.png"/><Relationship Id="rId720" Type="http://schemas.openxmlformats.org/officeDocument/2006/relationships/image" Target="media/image686.png"/><Relationship Id="rId721" Type="http://schemas.openxmlformats.org/officeDocument/2006/relationships/image" Target="media/image687.png"/><Relationship Id="rId722" Type="http://schemas.openxmlformats.org/officeDocument/2006/relationships/image" Target="media/image688.png"/><Relationship Id="rId723" Type="http://schemas.openxmlformats.org/officeDocument/2006/relationships/image" Target="media/image689.png"/><Relationship Id="rId724" Type="http://schemas.openxmlformats.org/officeDocument/2006/relationships/image" Target="media/image690.png"/><Relationship Id="rId725" Type="http://schemas.openxmlformats.org/officeDocument/2006/relationships/image" Target="media/image691.png"/><Relationship Id="rId726" Type="http://schemas.openxmlformats.org/officeDocument/2006/relationships/image" Target="media/image692.png"/><Relationship Id="rId727" Type="http://schemas.openxmlformats.org/officeDocument/2006/relationships/image" Target="media/image693.png"/><Relationship Id="rId728" Type="http://schemas.openxmlformats.org/officeDocument/2006/relationships/image" Target="media/image694.png"/><Relationship Id="rId729" Type="http://schemas.openxmlformats.org/officeDocument/2006/relationships/image" Target="media/image695.png"/><Relationship Id="rId730" Type="http://schemas.openxmlformats.org/officeDocument/2006/relationships/image" Target="media/image696.png"/><Relationship Id="rId731" Type="http://schemas.openxmlformats.org/officeDocument/2006/relationships/image" Target="media/image697.png"/><Relationship Id="rId732" Type="http://schemas.openxmlformats.org/officeDocument/2006/relationships/image" Target="media/image698.png"/><Relationship Id="rId733" Type="http://schemas.openxmlformats.org/officeDocument/2006/relationships/image" Target="media/image699.png"/><Relationship Id="rId734" Type="http://schemas.openxmlformats.org/officeDocument/2006/relationships/image" Target="media/image700.png"/><Relationship Id="rId735" Type="http://schemas.openxmlformats.org/officeDocument/2006/relationships/image" Target="media/image701.png"/><Relationship Id="rId736" Type="http://schemas.openxmlformats.org/officeDocument/2006/relationships/image" Target="media/image702.png"/><Relationship Id="rId737" Type="http://schemas.openxmlformats.org/officeDocument/2006/relationships/image" Target="media/image703.png"/><Relationship Id="rId738" Type="http://schemas.openxmlformats.org/officeDocument/2006/relationships/image" Target="media/image704.png"/><Relationship Id="rId739" Type="http://schemas.openxmlformats.org/officeDocument/2006/relationships/image" Target="media/image705.png"/><Relationship Id="rId740" Type="http://schemas.openxmlformats.org/officeDocument/2006/relationships/image" Target="media/image706.png"/><Relationship Id="rId741" Type="http://schemas.openxmlformats.org/officeDocument/2006/relationships/image" Target="media/image707.png"/><Relationship Id="rId742" Type="http://schemas.openxmlformats.org/officeDocument/2006/relationships/image" Target="media/image708.png"/><Relationship Id="rId743" Type="http://schemas.openxmlformats.org/officeDocument/2006/relationships/image" Target="media/image709.png"/><Relationship Id="rId744" Type="http://schemas.openxmlformats.org/officeDocument/2006/relationships/image" Target="media/image710.png"/><Relationship Id="rId745" Type="http://schemas.openxmlformats.org/officeDocument/2006/relationships/image" Target="media/image711.png"/><Relationship Id="rId746" Type="http://schemas.openxmlformats.org/officeDocument/2006/relationships/image" Target="media/image712.png"/><Relationship Id="rId747" Type="http://schemas.openxmlformats.org/officeDocument/2006/relationships/image" Target="media/image713.png"/><Relationship Id="rId748" Type="http://schemas.openxmlformats.org/officeDocument/2006/relationships/image" Target="media/image714.png"/><Relationship Id="rId749" Type="http://schemas.openxmlformats.org/officeDocument/2006/relationships/image" Target="media/image715.png"/><Relationship Id="rId750" Type="http://schemas.openxmlformats.org/officeDocument/2006/relationships/image" Target="media/image716.png"/><Relationship Id="rId751" Type="http://schemas.openxmlformats.org/officeDocument/2006/relationships/image" Target="media/image717.png"/><Relationship Id="rId752" Type="http://schemas.openxmlformats.org/officeDocument/2006/relationships/image" Target="media/image718.png"/><Relationship Id="rId753" Type="http://schemas.openxmlformats.org/officeDocument/2006/relationships/image" Target="media/image719.png"/><Relationship Id="rId754" Type="http://schemas.openxmlformats.org/officeDocument/2006/relationships/image" Target="media/image720.png"/><Relationship Id="rId755" Type="http://schemas.openxmlformats.org/officeDocument/2006/relationships/image" Target="media/image721.png"/><Relationship Id="rId756" Type="http://schemas.openxmlformats.org/officeDocument/2006/relationships/image" Target="media/image722.png"/><Relationship Id="rId757" Type="http://schemas.openxmlformats.org/officeDocument/2006/relationships/image" Target="media/image723.png"/><Relationship Id="rId758" Type="http://schemas.openxmlformats.org/officeDocument/2006/relationships/image" Target="media/image724.png"/><Relationship Id="rId759" Type="http://schemas.openxmlformats.org/officeDocument/2006/relationships/image" Target="media/image725.png"/><Relationship Id="rId760" Type="http://schemas.openxmlformats.org/officeDocument/2006/relationships/image" Target="media/image726.png"/><Relationship Id="rId761" Type="http://schemas.openxmlformats.org/officeDocument/2006/relationships/image" Target="media/image727.png"/><Relationship Id="rId762" Type="http://schemas.openxmlformats.org/officeDocument/2006/relationships/image" Target="media/image728.png"/><Relationship Id="rId763" Type="http://schemas.openxmlformats.org/officeDocument/2006/relationships/image" Target="media/image729.png"/><Relationship Id="rId764" Type="http://schemas.openxmlformats.org/officeDocument/2006/relationships/image" Target="media/image730.png"/><Relationship Id="rId765" Type="http://schemas.openxmlformats.org/officeDocument/2006/relationships/image" Target="media/image731.png"/><Relationship Id="rId766" Type="http://schemas.openxmlformats.org/officeDocument/2006/relationships/image" Target="media/image732.png"/><Relationship Id="rId767" Type="http://schemas.openxmlformats.org/officeDocument/2006/relationships/image" Target="media/image733.png"/><Relationship Id="rId768" Type="http://schemas.openxmlformats.org/officeDocument/2006/relationships/image" Target="media/image734.png"/><Relationship Id="rId769" Type="http://schemas.openxmlformats.org/officeDocument/2006/relationships/image" Target="media/image735.png"/><Relationship Id="rId770" Type="http://schemas.openxmlformats.org/officeDocument/2006/relationships/image" Target="media/image736.png"/><Relationship Id="rId771" Type="http://schemas.openxmlformats.org/officeDocument/2006/relationships/image" Target="media/image737.png"/><Relationship Id="rId772" Type="http://schemas.openxmlformats.org/officeDocument/2006/relationships/image" Target="media/image738.png"/><Relationship Id="rId773" Type="http://schemas.openxmlformats.org/officeDocument/2006/relationships/image" Target="media/image739.png"/><Relationship Id="rId774" Type="http://schemas.openxmlformats.org/officeDocument/2006/relationships/image" Target="media/image740.png"/><Relationship Id="rId775" Type="http://schemas.openxmlformats.org/officeDocument/2006/relationships/image" Target="media/image741.png"/><Relationship Id="rId776" Type="http://schemas.openxmlformats.org/officeDocument/2006/relationships/image" Target="media/image742.png"/><Relationship Id="rId777" Type="http://schemas.openxmlformats.org/officeDocument/2006/relationships/image" Target="media/image743.png"/><Relationship Id="rId778" Type="http://schemas.openxmlformats.org/officeDocument/2006/relationships/image" Target="media/image744.png"/><Relationship Id="rId779" Type="http://schemas.openxmlformats.org/officeDocument/2006/relationships/image" Target="media/image745.png"/><Relationship Id="rId780" Type="http://schemas.openxmlformats.org/officeDocument/2006/relationships/image" Target="media/image746.png"/><Relationship Id="rId781" Type="http://schemas.openxmlformats.org/officeDocument/2006/relationships/image" Target="media/image747.png"/><Relationship Id="rId782" Type="http://schemas.openxmlformats.org/officeDocument/2006/relationships/image" Target="media/image748.png"/><Relationship Id="rId783" Type="http://schemas.openxmlformats.org/officeDocument/2006/relationships/image" Target="media/image749.png"/><Relationship Id="rId784" Type="http://schemas.openxmlformats.org/officeDocument/2006/relationships/image" Target="media/image750.png"/><Relationship Id="rId785" Type="http://schemas.openxmlformats.org/officeDocument/2006/relationships/image" Target="media/image751.png"/><Relationship Id="rId786" Type="http://schemas.openxmlformats.org/officeDocument/2006/relationships/image" Target="media/image752.png"/><Relationship Id="rId787" Type="http://schemas.openxmlformats.org/officeDocument/2006/relationships/image" Target="media/image753.png"/><Relationship Id="rId788" Type="http://schemas.openxmlformats.org/officeDocument/2006/relationships/image" Target="media/image754.png"/><Relationship Id="rId789" Type="http://schemas.openxmlformats.org/officeDocument/2006/relationships/image" Target="media/image755.png"/><Relationship Id="rId790" Type="http://schemas.openxmlformats.org/officeDocument/2006/relationships/image" Target="media/image756.png"/><Relationship Id="rId791" Type="http://schemas.openxmlformats.org/officeDocument/2006/relationships/image" Target="media/image757.png"/><Relationship Id="rId792" Type="http://schemas.openxmlformats.org/officeDocument/2006/relationships/image" Target="media/image758.png"/><Relationship Id="rId793" Type="http://schemas.openxmlformats.org/officeDocument/2006/relationships/image" Target="media/image759.png"/><Relationship Id="rId794" Type="http://schemas.openxmlformats.org/officeDocument/2006/relationships/image" Target="media/image760.png"/><Relationship Id="rId795" Type="http://schemas.openxmlformats.org/officeDocument/2006/relationships/image" Target="media/image761.png"/><Relationship Id="rId796" Type="http://schemas.openxmlformats.org/officeDocument/2006/relationships/image" Target="media/image762.png"/><Relationship Id="rId797" Type="http://schemas.openxmlformats.org/officeDocument/2006/relationships/image" Target="media/image763.png"/><Relationship Id="rId798" Type="http://schemas.openxmlformats.org/officeDocument/2006/relationships/image" Target="media/image764.png"/><Relationship Id="rId799" Type="http://schemas.openxmlformats.org/officeDocument/2006/relationships/image" Target="media/image765.png"/><Relationship Id="rId800" Type="http://schemas.openxmlformats.org/officeDocument/2006/relationships/image" Target="media/image766.png"/><Relationship Id="rId801" Type="http://schemas.openxmlformats.org/officeDocument/2006/relationships/image" Target="media/image767.png"/><Relationship Id="rId802" Type="http://schemas.openxmlformats.org/officeDocument/2006/relationships/image" Target="media/image768.png"/><Relationship Id="rId803" Type="http://schemas.openxmlformats.org/officeDocument/2006/relationships/image" Target="media/image769.png"/><Relationship Id="rId804" Type="http://schemas.openxmlformats.org/officeDocument/2006/relationships/image" Target="media/image770.png"/><Relationship Id="rId805" Type="http://schemas.openxmlformats.org/officeDocument/2006/relationships/image" Target="media/image771.png"/><Relationship Id="rId806" Type="http://schemas.openxmlformats.org/officeDocument/2006/relationships/image" Target="media/image772.png"/><Relationship Id="rId807" Type="http://schemas.openxmlformats.org/officeDocument/2006/relationships/image" Target="media/image773.png"/><Relationship Id="rId808" Type="http://schemas.openxmlformats.org/officeDocument/2006/relationships/image" Target="media/image774.png"/><Relationship Id="rId809" Type="http://schemas.openxmlformats.org/officeDocument/2006/relationships/image" Target="media/image775.png"/><Relationship Id="rId810" Type="http://schemas.openxmlformats.org/officeDocument/2006/relationships/image" Target="media/image776.png"/><Relationship Id="rId811" Type="http://schemas.openxmlformats.org/officeDocument/2006/relationships/image" Target="media/image777.png"/><Relationship Id="rId812" Type="http://schemas.openxmlformats.org/officeDocument/2006/relationships/image" Target="media/image778.png"/><Relationship Id="rId813" Type="http://schemas.openxmlformats.org/officeDocument/2006/relationships/image" Target="media/image779.png"/><Relationship Id="rId814" Type="http://schemas.openxmlformats.org/officeDocument/2006/relationships/image" Target="media/image780.png"/><Relationship Id="rId815" Type="http://schemas.openxmlformats.org/officeDocument/2006/relationships/image" Target="media/image781.png"/><Relationship Id="rId816" Type="http://schemas.openxmlformats.org/officeDocument/2006/relationships/image" Target="media/image782.png"/><Relationship Id="rId817" Type="http://schemas.openxmlformats.org/officeDocument/2006/relationships/image" Target="media/image783.png"/><Relationship Id="rId818" Type="http://schemas.openxmlformats.org/officeDocument/2006/relationships/image" Target="media/image784.png"/><Relationship Id="rId819" Type="http://schemas.openxmlformats.org/officeDocument/2006/relationships/image" Target="media/image785.png"/><Relationship Id="rId820" Type="http://schemas.openxmlformats.org/officeDocument/2006/relationships/image" Target="media/image786.png"/><Relationship Id="rId821" Type="http://schemas.openxmlformats.org/officeDocument/2006/relationships/image" Target="media/image787.png"/><Relationship Id="rId822" Type="http://schemas.openxmlformats.org/officeDocument/2006/relationships/image" Target="media/image788.png"/><Relationship Id="rId823" Type="http://schemas.openxmlformats.org/officeDocument/2006/relationships/image" Target="media/image789.png"/><Relationship Id="rId824" Type="http://schemas.openxmlformats.org/officeDocument/2006/relationships/image" Target="media/image790.png"/><Relationship Id="rId825" Type="http://schemas.openxmlformats.org/officeDocument/2006/relationships/image" Target="media/image791.png"/><Relationship Id="rId826" Type="http://schemas.openxmlformats.org/officeDocument/2006/relationships/image" Target="media/image792.png"/><Relationship Id="rId827" Type="http://schemas.openxmlformats.org/officeDocument/2006/relationships/image" Target="media/image793.png"/><Relationship Id="rId828" Type="http://schemas.openxmlformats.org/officeDocument/2006/relationships/image" Target="media/image794.png"/><Relationship Id="rId829" Type="http://schemas.openxmlformats.org/officeDocument/2006/relationships/image" Target="media/image795.png"/><Relationship Id="rId830" Type="http://schemas.openxmlformats.org/officeDocument/2006/relationships/image" Target="media/image796.png"/><Relationship Id="rId831" Type="http://schemas.openxmlformats.org/officeDocument/2006/relationships/image" Target="media/image797.png"/><Relationship Id="rId832" Type="http://schemas.openxmlformats.org/officeDocument/2006/relationships/image" Target="media/image798.png"/><Relationship Id="rId833" Type="http://schemas.openxmlformats.org/officeDocument/2006/relationships/image" Target="media/image799.png"/><Relationship Id="rId834" Type="http://schemas.openxmlformats.org/officeDocument/2006/relationships/image" Target="media/image800.png"/><Relationship Id="rId835" Type="http://schemas.openxmlformats.org/officeDocument/2006/relationships/image" Target="media/image801.png"/><Relationship Id="rId836" Type="http://schemas.openxmlformats.org/officeDocument/2006/relationships/image" Target="media/image802.png"/><Relationship Id="rId837" Type="http://schemas.openxmlformats.org/officeDocument/2006/relationships/image" Target="media/image803.png"/><Relationship Id="rId838" Type="http://schemas.openxmlformats.org/officeDocument/2006/relationships/image" Target="media/image804.png"/><Relationship Id="rId839" Type="http://schemas.openxmlformats.org/officeDocument/2006/relationships/image" Target="media/image805.png"/><Relationship Id="rId840" Type="http://schemas.openxmlformats.org/officeDocument/2006/relationships/image" Target="media/image806.png"/><Relationship Id="rId841" Type="http://schemas.openxmlformats.org/officeDocument/2006/relationships/image" Target="media/image807.png"/><Relationship Id="rId842" Type="http://schemas.openxmlformats.org/officeDocument/2006/relationships/image" Target="media/image808.png"/><Relationship Id="rId843" Type="http://schemas.openxmlformats.org/officeDocument/2006/relationships/image" Target="media/image809.png"/><Relationship Id="rId844" Type="http://schemas.openxmlformats.org/officeDocument/2006/relationships/image" Target="media/image810.png"/><Relationship Id="rId845" Type="http://schemas.openxmlformats.org/officeDocument/2006/relationships/image" Target="media/image811.png"/><Relationship Id="rId846" Type="http://schemas.openxmlformats.org/officeDocument/2006/relationships/image" Target="media/image812.png"/><Relationship Id="rId847" Type="http://schemas.openxmlformats.org/officeDocument/2006/relationships/image" Target="media/image813.png"/><Relationship Id="rId848" Type="http://schemas.openxmlformats.org/officeDocument/2006/relationships/image" Target="media/image814.png"/><Relationship Id="rId849" Type="http://schemas.openxmlformats.org/officeDocument/2006/relationships/image" Target="media/image815.png"/><Relationship Id="rId850" Type="http://schemas.openxmlformats.org/officeDocument/2006/relationships/image" Target="media/image816.png"/><Relationship Id="rId851" Type="http://schemas.openxmlformats.org/officeDocument/2006/relationships/image" Target="media/image817.png"/><Relationship Id="rId852" Type="http://schemas.openxmlformats.org/officeDocument/2006/relationships/image" Target="media/image818.png"/><Relationship Id="rId853" Type="http://schemas.openxmlformats.org/officeDocument/2006/relationships/image" Target="media/image819.png"/><Relationship Id="rId854" Type="http://schemas.openxmlformats.org/officeDocument/2006/relationships/image" Target="media/image820.png"/><Relationship Id="rId855" Type="http://schemas.openxmlformats.org/officeDocument/2006/relationships/image" Target="media/image821.png"/><Relationship Id="rId856" Type="http://schemas.openxmlformats.org/officeDocument/2006/relationships/image" Target="media/image822.png"/><Relationship Id="rId857" Type="http://schemas.openxmlformats.org/officeDocument/2006/relationships/image" Target="media/image823.png"/><Relationship Id="rId858" Type="http://schemas.openxmlformats.org/officeDocument/2006/relationships/image" Target="media/image824.png"/><Relationship Id="rId859" Type="http://schemas.openxmlformats.org/officeDocument/2006/relationships/image" Target="media/image825.png"/><Relationship Id="rId860" Type="http://schemas.openxmlformats.org/officeDocument/2006/relationships/image" Target="media/image826.png"/><Relationship Id="rId861" Type="http://schemas.openxmlformats.org/officeDocument/2006/relationships/image" Target="media/image827.png"/><Relationship Id="rId862" Type="http://schemas.openxmlformats.org/officeDocument/2006/relationships/image" Target="media/image828.png"/><Relationship Id="rId863" Type="http://schemas.openxmlformats.org/officeDocument/2006/relationships/image" Target="media/image829.png"/><Relationship Id="rId864" Type="http://schemas.openxmlformats.org/officeDocument/2006/relationships/image" Target="media/image830.png"/><Relationship Id="rId865" Type="http://schemas.openxmlformats.org/officeDocument/2006/relationships/image" Target="media/image831.png"/><Relationship Id="rId866" Type="http://schemas.openxmlformats.org/officeDocument/2006/relationships/image" Target="media/image832.png"/><Relationship Id="rId867" Type="http://schemas.openxmlformats.org/officeDocument/2006/relationships/image" Target="media/image833.png"/><Relationship Id="rId868" Type="http://schemas.openxmlformats.org/officeDocument/2006/relationships/image" Target="media/image834.png"/><Relationship Id="rId869" Type="http://schemas.openxmlformats.org/officeDocument/2006/relationships/image" Target="media/image835.png"/><Relationship Id="rId870" Type="http://schemas.openxmlformats.org/officeDocument/2006/relationships/image" Target="media/image836.png"/><Relationship Id="rId871" Type="http://schemas.openxmlformats.org/officeDocument/2006/relationships/image" Target="media/image837.png"/><Relationship Id="rId872" Type="http://schemas.openxmlformats.org/officeDocument/2006/relationships/image" Target="media/image838.png"/><Relationship Id="rId873" Type="http://schemas.openxmlformats.org/officeDocument/2006/relationships/image" Target="media/image839.png"/><Relationship Id="rId874" Type="http://schemas.openxmlformats.org/officeDocument/2006/relationships/image" Target="media/image840.png"/><Relationship Id="rId875" Type="http://schemas.openxmlformats.org/officeDocument/2006/relationships/image" Target="media/image841.png"/><Relationship Id="rId876" Type="http://schemas.openxmlformats.org/officeDocument/2006/relationships/image" Target="media/image842.png"/><Relationship Id="rId877" Type="http://schemas.openxmlformats.org/officeDocument/2006/relationships/image" Target="media/image843.png"/><Relationship Id="rId878" Type="http://schemas.openxmlformats.org/officeDocument/2006/relationships/image" Target="media/image844.png"/><Relationship Id="rId879" Type="http://schemas.openxmlformats.org/officeDocument/2006/relationships/image" Target="media/image845.png"/><Relationship Id="rId880" Type="http://schemas.openxmlformats.org/officeDocument/2006/relationships/image" Target="media/image846.png"/><Relationship Id="rId881" Type="http://schemas.openxmlformats.org/officeDocument/2006/relationships/image" Target="media/image847.png"/><Relationship Id="rId882" Type="http://schemas.openxmlformats.org/officeDocument/2006/relationships/image" Target="media/image848.png"/><Relationship Id="rId883" Type="http://schemas.openxmlformats.org/officeDocument/2006/relationships/image" Target="media/image849.png"/><Relationship Id="rId884" Type="http://schemas.openxmlformats.org/officeDocument/2006/relationships/image" Target="media/image850.png"/><Relationship Id="rId885" Type="http://schemas.openxmlformats.org/officeDocument/2006/relationships/image" Target="media/image851.png"/><Relationship Id="rId886" Type="http://schemas.openxmlformats.org/officeDocument/2006/relationships/image" Target="media/image852.png"/><Relationship Id="rId887" Type="http://schemas.openxmlformats.org/officeDocument/2006/relationships/image" Target="media/image853.png"/><Relationship Id="rId888" Type="http://schemas.openxmlformats.org/officeDocument/2006/relationships/image" Target="media/image854.png"/><Relationship Id="rId889" Type="http://schemas.openxmlformats.org/officeDocument/2006/relationships/image" Target="media/image855.png"/><Relationship Id="rId890" Type="http://schemas.openxmlformats.org/officeDocument/2006/relationships/image" Target="media/image856.png"/><Relationship Id="rId891" Type="http://schemas.openxmlformats.org/officeDocument/2006/relationships/image" Target="media/image857.png"/><Relationship Id="rId892" Type="http://schemas.openxmlformats.org/officeDocument/2006/relationships/image" Target="media/image858.png"/><Relationship Id="rId893" Type="http://schemas.openxmlformats.org/officeDocument/2006/relationships/image" Target="media/image859.png"/><Relationship Id="rId894" Type="http://schemas.openxmlformats.org/officeDocument/2006/relationships/image" Target="media/image860.png"/><Relationship Id="rId895" Type="http://schemas.openxmlformats.org/officeDocument/2006/relationships/image" Target="media/image861.png"/><Relationship Id="rId896" Type="http://schemas.openxmlformats.org/officeDocument/2006/relationships/image" Target="media/image862.png"/><Relationship Id="rId897" Type="http://schemas.openxmlformats.org/officeDocument/2006/relationships/image" Target="media/image863.png"/><Relationship Id="rId898" Type="http://schemas.openxmlformats.org/officeDocument/2006/relationships/image" Target="media/image864.png"/><Relationship Id="rId899" Type="http://schemas.openxmlformats.org/officeDocument/2006/relationships/image" Target="media/image865.png"/><Relationship Id="rId900" Type="http://schemas.openxmlformats.org/officeDocument/2006/relationships/image" Target="media/image866.png"/><Relationship Id="rId901" Type="http://schemas.openxmlformats.org/officeDocument/2006/relationships/image" Target="media/image867.png"/><Relationship Id="rId902" Type="http://schemas.openxmlformats.org/officeDocument/2006/relationships/image" Target="media/image868.png"/><Relationship Id="rId903" Type="http://schemas.openxmlformats.org/officeDocument/2006/relationships/image" Target="media/image869.png"/><Relationship Id="rId904" Type="http://schemas.openxmlformats.org/officeDocument/2006/relationships/image" Target="media/image870.png"/><Relationship Id="rId905" Type="http://schemas.openxmlformats.org/officeDocument/2006/relationships/image" Target="media/image871.png"/><Relationship Id="rId906" Type="http://schemas.openxmlformats.org/officeDocument/2006/relationships/image" Target="media/image872.png"/><Relationship Id="rId907" Type="http://schemas.openxmlformats.org/officeDocument/2006/relationships/image" Target="media/image873.png"/><Relationship Id="rId908" Type="http://schemas.openxmlformats.org/officeDocument/2006/relationships/image" Target="media/image874.png"/><Relationship Id="rId909" Type="http://schemas.openxmlformats.org/officeDocument/2006/relationships/image" Target="media/image875.png"/><Relationship Id="rId910" Type="http://schemas.openxmlformats.org/officeDocument/2006/relationships/image" Target="media/image876.png"/><Relationship Id="rId911" Type="http://schemas.openxmlformats.org/officeDocument/2006/relationships/image" Target="media/image877.png"/><Relationship Id="rId912" Type="http://schemas.openxmlformats.org/officeDocument/2006/relationships/image" Target="media/image878.png"/><Relationship Id="rId913" Type="http://schemas.openxmlformats.org/officeDocument/2006/relationships/image" Target="media/image879.png"/><Relationship Id="rId914" Type="http://schemas.openxmlformats.org/officeDocument/2006/relationships/image" Target="media/image880.png"/><Relationship Id="rId915" Type="http://schemas.openxmlformats.org/officeDocument/2006/relationships/image" Target="media/image881.png"/><Relationship Id="rId916" Type="http://schemas.openxmlformats.org/officeDocument/2006/relationships/image" Target="media/image882.png"/><Relationship Id="rId917" Type="http://schemas.openxmlformats.org/officeDocument/2006/relationships/image" Target="media/image883.png"/><Relationship Id="rId918" Type="http://schemas.openxmlformats.org/officeDocument/2006/relationships/image" Target="media/image884.png"/><Relationship Id="rId919" Type="http://schemas.openxmlformats.org/officeDocument/2006/relationships/image" Target="media/image885.png"/><Relationship Id="rId920" Type="http://schemas.openxmlformats.org/officeDocument/2006/relationships/image" Target="media/image886.png"/><Relationship Id="rId921" Type="http://schemas.openxmlformats.org/officeDocument/2006/relationships/image" Target="media/image887.png"/><Relationship Id="rId922" Type="http://schemas.openxmlformats.org/officeDocument/2006/relationships/image" Target="media/image888.png"/><Relationship Id="rId923" Type="http://schemas.openxmlformats.org/officeDocument/2006/relationships/image" Target="media/image889.png"/><Relationship Id="rId924" Type="http://schemas.openxmlformats.org/officeDocument/2006/relationships/image" Target="media/image890.png"/><Relationship Id="rId925" Type="http://schemas.openxmlformats.org/officeDocument/2006/relationships/image" Target="media/image891.png"/><Relationship Id="rId926" Type="http://schemas.openxmlformats.org/officeDocument/2006/relationships/image" Target="media/image892.png"/><Relationship Id="rId927" Type="http://schemas.openxmlformats.org/officeDocument/2006/relationships/image" Target="media/image893.png"/><Relationship Id="rId928" Type="http://schemas.openxmlformats.org/officeDocument/2006/relationships/image" Target="media/image894.png"/><Relationship Id="rId929" Type="http://schemas.openxmlformats.org/officeDocument/2006/relationships/image" Target="media/image895.png"/><Relationship Id="rId930" Type="http://schemas.openxmlformats.org/officeDocument/2006/relationships/image" Target="media/image896.png"/><Relationship Id="rId931" Type="http://schemas.openxmlformats.org/officeDocument/2006/relationships/image" Target="media/image897.png"/><Relationship Id="rId932" Type="http://schemas.openxmlformats.org/officeDocument/2006/relationships/image" Target="media/image898.png"/><Relationship Id="rId933" Type="http://schemas.openxmlformats.org/officeDocument/2006/relationships/image" Target="media/image899.png"/><Relationship Id="rId934" Type="http://schemas.openxmlformats.org/officeDocument/2006/relationships/image" Target="media/image900.png"/><Relationship Id="rId935" Type="http://schemas.openxmlformats.org/officeDocument/2006/relationships/image" Target="media/image901.png"/><Relationship Id="rId936" Type="http://schemas.openxmlformats.org/officeDocument/2006/relationships/image" Target="media/image902.png"/><Relationship Id="rId937" Type="http://schemas.openxmlformats.org/officeDocument/2006/relationships/image" Target="media/image903.png"/><Relationship Id="rId938" Type="http://schemas.openxmlformats.org/officeDocument/2006/relationships/image" Target="media/image904.png"/><Relationship Id="rId939" Type="http://schemas.openxmlformats.org/officeDocument/2006/relationships/image" Target="media/image905.png"/><Relationship Id="rId940" Type="http://schemas.openxmlformats.org/officeDocument/2006/relationships/image" Target="media/image906.png"/><Relationship Id="rId941" Type="http://schemas.openxmlformats.org/officeDocument/2006/relationships/image" Target="media/image907.png"/><Relationship Id="rId942" Type="http://schemas.openxmlformats.org/officeDocument/2006/relationships/image" Target="media/image908.png"/><Relationship Id="rId943" Type="http://schemas.openxmlformats.org/officeDocument/2006/relationships/image" Target="media/image909.png"/><Relationship Id="rId944" Type="http://schemas.openxmlformats.org/officeDocument/2006/relationships/image" Target="media/image910.png"/><Relationship Id="rId945" Type="http://schemas.openxmlformats.org/officeDocument/2006/relationships/image" Target="media/image911.png"/><Relationship Id="rId946" Type="http://schemas.openxmlformats.org/officeDocument/2006/relationships/image" Target="media/image912.png"/><Relationship Id="rId947" Type="http://schemas.openxmlformats.org/officeDocument/2006/relationships/image" Target="media/image913.png"/><Relationship Id="rId948" Type="http://schemas.openxmlformats.org/officeDocument/2006/relationships/image" Target="media/image914.png"/><Relationship Id="rId949" Type="http://schemas.openxmlformats.org/officeDocument/2006/relationships/image" Target="media/image915.png"/><Relationship Id="rId950" Type="http://schemas.openxmlformats.org/officeDocument/2006/relationships/image" Target="media/image916.png"/><Relationship Id="rId951" Type="http://schemas.openxmlformats.org/officeDocument/2006/relationships/image" Target="media/image917.png"/><Relationship Id="rId952" Type="http://schemas.openxmlformats.org/officeDocument/2006/relationships/image" Target="media/image918.png"/><Relationship Id="rId953" Type="http://schemas.openxmlformats.org/officeDocument/2006/relationships/image" Target="media/image919.png"/><Relationship Id="rId954" Type="http://schemas.openxmlformats.org/officeDocument/2006/relationships/image" Target="media/image920.png"/><Relationship Id="rId955" Type="http://schemas.openxmlformats.org/officeDocument/2006/relationships/image" Target="media/image921.png"/><Relationship Id="rId956" Type="http://schemas.openxmlformats.org/officeDocument/2006/relationships/image" Target="media/image922.png"/><Relationship Id="rId957" Type="http://schemas.openxmlformats.org/officeDocument/2006/relationships/image" Target="media/image923.png"/><Relationship Id="rId958" Type="http://schemas.openxmlformats.org/officeDocument/2006/relationships/image" Target="media/image924.png"/><Relationship Id="rId959" Type="http://schemas.openxmlformats.org/officeDocument/2006/relationships/image" Target="media/image925.png"/><Relationship Id="rId960" Type="http://schemas.openxmlformats.org/officeDocument/2006/relationships/image" Target="media/image926.png"/><Relationship Id="rId961" Type="http://schemas.openxmlformats.org/officeDocument/2006/relationships/image" Target="media/image927.png"/><Relationship Id="rId962" Type="http://schemas.openxmlformats.org/officeDocument/2006/relationships/image" Target="media/image928.png"/><Relationship Id="rId963" Type="http://schemas.openxmlformats.org/officeDocument/2006/relationships/image" Target="media/image929.png"/><Relationship Id="rId964" Type="http://schemas.openxmlformats.org/officeDocument/2006/relationships/image" Target="media/image930.png"/><Relationship Id="rId965" Type="http://schemas.openxmlformats.org/officeDocument/2006/relationships/image" Target="media/image931.png"/><Relationship Id="rId966" Type="http://schemas.openxmlformats.org/officeDocument/2006/relationships/image" Target="media/image932.png"/><Relationship Id="rId967" Type="http://schemas.openxmlformats.org/officeDocument/2006/relationships/image" Target="media/image933.png"/><Relationship Id="rId968" Type="http://schemas.openxmlformats.org/officeDocument/2006/relationships/image" Target="media/image934.png"/><Relationship Id="rId969" Type="http://schemas.openxmlformats.org/officeDocument/2006/relationships/image" Target="media/image935.png"/><Relationship Id="rId970" Type="http://schemas.openxmlformats.org/officeDocument/2006/relationships/image" Target="media/image936.png"/><Relationship Id="rId971" Type="http://schemas.openxmlformats.org/officeDocument/2006/relationships/image" Target="media/image937.png"/><Relationship Id="rId972" Type="http://schemas.openxmlformats.org/officeDocument/2006/relationships/image" Target="media/image938.png"/><Relationship Id="rId973" Type="http://schemas.openxmlformats.org/officeDocument/2006/relationships/image" Target="media/image939.png"/><Relationship Id="rId974" Type="http://schemas.openxmlformats.org/officeDocument/2006/relationships/image" Target="media/image940.png"/><Relationship Id="rId975" Type="http://schemas.openxmlformats.org/officeDocument/2006/relationships/image" Target="media/image941.png"/><Relationship Id="rId976" Type="http://schemas.openxmlformats.org/officeDocument/2006/relationships/image" Target="media/image942.png"/><Relationship Id="rId977" Type="http://schemas.openxmlformats.org/officeDocument/2006/relationships/image" Target="media/image943.png"/><Relationship Id="rId978" Type="http://schemas.openxmlformats.org/officeDocument/2006/relationships/image" Target="media/image944.png"/><Relationship Id="rId979" Type="http://schemas.openxmlformats.org/officeDocument/2006/relationships/image" Target="media/image945.png"/><Relationship Id="rId980" Type="http://schemas.openxmlformats.org/officeDocument/2006/relationships/image" Target="media/image946.png"/><Relationship Id="rId981" Type="http://schemas.openxmlformats.org/officeDocument/2006/relationships/image" Target="media/image947.png"/><Relationship Id="rId982" Type="http://schemas.openxmlformats.org/officeDocument/2006/relationships/image" Target="media/image948.png"/><Relationship Id="rId983" Type="http://schemas.openxmlformats.org/officeDocument/2006/relationships/image" Target="media/image949.png"/><Relationship Id="rId984" Type="http://schemas.openxmlformats.org/officeDocument/2006/relationships/image" Target="media/image950.png"/><Relationship Id="rId985" Type="http://schemas.openxmlformats.org/officeDocument/2006/relationships/image" Target="media/image951.png"/><Relationship Id="rId986" Type="http://schemas.openxmlformats.org/officeDocument/2006/relationships/image" Target="media/image952.png"/><Relationship Id="rId987" Type="http://schemas.openxmlformats.org/officeDocument/2006/relationships/image" Target="media/image953.png"/><Relationship Id="rId988" Type="http://schemas.openxmlformats.org/officeDocument/2006/relationships/image" Target="media/image954.png"/><Relationship Id="rId989" Type="http://schemas.openxmlformats.org/officeDocument/2006/relationships/image" Target="media/image955.png"/><Relationship Id="rId990" Type="http://schemas.openxmlformats.org/officeDocument/2006/relationships/image" Target="media/image956.png"/><Relationship Id="rId991" Type="http://schemas.openxmlformats.org/officeDocument/2006/relationships/image" Target="media/image957.png"/><Relationship Id="rId992" Type="http://schemas.openxmlformats.org/officeDocument/2006/relationships/image" Target="media/image958.png"/><Relationship Id="rId993" Type="http://schemas.openxmlformats.org/officeDocument/2006/relationships/image" Target="media/image959.png"/><Relationship Id="rId994" Type="http://schemas.openxmlformats.org/officeDocument/2006/relationships/image" Target="media/image960.png"/><Relationship Id="rId995" Type="http://schemas.openxmlformats.org/officeDocument/2006/relationships/image" Target="media/image961.png"/><Relationship Id="rId996" Type="http://schemas.openxmlformats.org/officeDocument/2006/relationships/image" Target="media/image962.png"/><Relationship Id="rId997" Type="http://schemas.openxmlformats.org/officeDocument/2006/relationships/image" Target="media/image963.png"/><Relationship Id="rId998" Type="http://schemas.openxmlformats.org/officeDocument/2006/relationships/image" Target="media/image964.png"/><Relationship Id="rId999" Type="http://schemas.openxmlformats.org/officeDocument/2006/relationships/image" Target="media/image965.png"/><Relationship Id="rId1000" Type="http://schemas.openxmlformats.org/officeDocument/2006/relationships/image" Target="media/image966.png"/><Relationship Id="rId1001" Type="http://schemas.openxmlformats.org/officeDocument/2006/relationships/image" Target="media/image967.png"/><Relationship Id="rId1002" Type="http://schemas.openxmlformats.org/officeDocument/2006/relationships/image" Target="media/image968.png"/><Relationship Id="rId1003" Type="http://schemas.openxmlformats.org/officeDocument/2006/relationships/image" Target="media/image969.png"/><Relationship Id="rId1004" Type="http://schemas.openxmlformats.org/officeDocument/2006/relationships/image" Target="media/image970.png"/><Relationship Id="rId1005" Type="http://schemas.openxmlformats.org/officeDocument/2006/relationships/image" Target="media/image971.png"/><Relationship Id="rId1006" Type="http://schemas.openxmlformats.org/officeDocument/2006/relationships/image" Target="media/image972.png"/><Relationship Id="rId1007" Type="http://schemas.openxmlformats.org/officeDocument/2006/relationships/image" Target="media/image973.png"/><Relationship Id="rId1008" Type="http://schemas.openxmlformats.org/officeDocument/2006/relationships/image" Target="media/image974.png"/><Relationship Id="rId1009" Type="http://schemas.openxmlformats.org/officeDocument/2006/relationships/image" Target="media/image975.png"/><Relationship Id="rId1010" Type="http://schemas.openxmlformats.org/officeDocument/2006/relationships/image" Target="media/image976.png"/><Relationship Id="rId1011" Type="http://schemas.openxmlformats.org/officeDocument/2006/relationships/image" Target="media/image977.png"/><Relationship Id="rId1012" Type="http://schemas.openxmlformats.org/officeDocument/2006/relationships/image" Target="media/image978.png"/><Relationship Id="rId1013" Type="http://schemas.openxmlformats.org/officeDocument/2006/relationships/image" Target="media/image979.png"/><Relationship Id="rId1014" Type="http://schemas.openxmlformats.org/officeDocument/2006/relationships/image" Target="media/image980.png"/><Relationship Id="rId1015" Type="http://schemas.openxmlformats.org/officeDocument/2006/relationships/image" Target="media/image981.png"/><Relationship Id="rId1016" Type="http://schemas.openxmlformats.org/officeDocument/2006/relationships/image" Target="media/image982.png"/><Relationship Id="rId1017" Type="http://schemas.openxmlformats.org/officeDocument/2006/relationships/image" Target="media/image983.png"/><Relationship Id="rId1018" Type="http://schemas.openxmlformats.org/officeDocument/2006/relationships/image" Target="media/image984.png"/><Relationship Id="rId1019" Type="http://schemas.openxmlformats.org/officeDocument/2006/relationships/image" Target="media/image985.png"/><Relationship Id="rId1020" Type="http://schemas.openxmlformats.org/officeDocument/2006/relationships/image" Target="media/image986.png"/><Relationship Id="rId1021" Type="http://schemas.openxmlformats.org/officeDocument/2006/relationships/image" Target="media/image987.png"/><Relationship Id="rId1022" Type="http://schemas.openxmlformats.org/officeDocument/2006/relationships/image" Target="media/image988.png"/><Relationship Id="rId1023" Type="http://schemas.openxmlformats.org/officeDocument/2006/relationships/image" Target="media/image989.png"/><Relationship Id="rId1024" Type="http://schemas.openxmlformats.org/officeDocument/2006/relationships/image" Target="media/image990.png"/><Relationship Id="rId1025" Type="http://schemas.openxmlformats.org/officeDocument/2006/relationships/image" Target="media/image991.png"/><Relationship Id="rId1026" Type="http://schemas.openxmlformats.org/officeDocument/2006/relationships/image" Target="media/image992.png"/><Relationship Id="rId1027" Type="http://schemas.openxmlformats.org/officeDocument/2006/relationships/image" Target="media/image993.png"/><Relationship Id="rId1028" Type="http://schemas.openxmlformats.org/officeDocument/2006/relationships/image" Target="media/image994.png"/><Relationship Id="rId1029" Type="http://schemas.openxmlformats.org/officeDocument/2006/relationships/image" Target="media/image995.png"/><Relationship Id="rId1030" Type="http://schemas.openxmlformats.org/officeDocument/2006/relationships/image" Target="media/image996.png"/><Relationship Id="rId1031" Type="http://schemas.openxmlformats.org/officeDocument/2006/relationships/image" Target="media/image997.png"/><Relationship Id="rId1032" Type="http://schemas.openxmlformats.org/officeDocument/2006/relationships/image" Target="media/image998.png"/><Relationship Id="rId1033" Type="http://schemas.openxmlformats.org/officeDocument/2006/relationships/image" Target="media/image999.png"/><Relationship Id="rId1034" Type="http://schemas.openxmlformats.org/officeDocument/2006/relationships/image" Target="media/image1000.png"/><Relationship Id="rId1035" Type="http://schemas.openxmlformats.org/officeDocument/2006/relationships/image" Target="media/image1001.png"/><Relationship Id="rId1036" Type="http://schemas.openxmlformats.org/officeDocument/2006/relationships/image" Target="media/image1002.png"/><Relationship Id="rId1037" Type="http://schemas.openxmlformats.org/officeDocument/2006/relationships/image" Target="media/image1003.png"/><Relationship Id="rId1038" Type="http://schemas.openxmlformats.org/officeDocument/2006/relationships/image" Target="media/image1004.png"/><Relationship Id="rId1039" Type="http://schemas.openxmlformats.org/officeDocument/2006/relationships/image" Target="media/image1005.png"/><Relationship Id="rId1040" Type="http://schemas.openxmlformats.org/officeDocument/2006/relationships/image" Target="media/image1006.png"/><Relationship Id="rId1041" Type="http://schemas.openxmlformats.org/officeDocument/2006/relationships/image" Target="media/image1007.png"/><Relationship Id="rId1042" Type="http://schemas.openxmlformats.org/officeDocument/2006/relationships/image" Target="media/image1008.png"/><Relationship Id="rId1043" Type="http://schemas.openxmlformats.org/officeDocument/2006/relationships/image" Target="media/image1009.png"/><Relationship Id="rId1044" Type="http://schemas.openxmlformats.org/officeDocument/2006/relationships/image" Target="media/image1010.png"/><Relationship Id="rId1045" Type="http://schemas.openxmlformats.org/officeDocument/2006/relationships/image" Target="media/image1011.png"/><Relationship Id="rId1046" Type="http://schemas.openxmlformats.org/officeDocument/2006/relationships/image" Target="media/image1012.png"/><Relationship Id="rId1047" Type="http://schemas.openxmlformats.org/officeDocument/2006/relationships/image" Target="media/image1013.png"/><Relationship Id="rId1048" Type="http://schemas.openxmlformats.org/officeDocument/2006/relationships/image" Target="media/image1014.png"/><Relationship Id="rId1049" Type="http://schemas.openxmlformats.org/officeDocument/2006/relationships/image" Target="media/image1015.png"/><Relationship Id="rId1050" Type="http://schemas.openxmlformats.org/officeDocument/2006/relationships/image" Target="media/image1016.png"/><Relationship Id="rId1051" Type="http://schemas.openxmlformats.org/officeDocument/2006/relationships/image" Target="media/image1017.png"/><Relationship Id="rId1052" Type="http://schemas.openxmlformats.org/officeDocument/2006/relationships/image" Target="media/image1018.png"/><Relationship Id="rId1053" Type="http://schemas.openxmlformats.org/officeDocument/2006/relationships/image" Target="media/image1019.png"/><Relationship Id="rId1054" Type="http://schemas.openxmlformats.org/officeDocument/2006/relationships/image" Target="media/image1020.png"/><Relationship Id="rId1055" Type="http://schemas.openxmlformats.org/officeDocument/2006/relationships/image" Target="media/image1021.png"/><Relationship Id="rId1056" Type="http://schemas.openxmlformats.org/officeDocument/2006/relationships/image" Target="media/image1022.png"/><Relationship Id="rId1057" Type="http://schemas.openxmlformats.org/officeDocument/2006/relationships/image" Target="media/image1023.png"/><Relationship Id="rId1058" Type="http://schemas.openxmlformats.org/officeDocument/2006/relationships/image" Target="media/image1024.png"/><Relationship Id="rId1059" Type="http://schemas.openxmlformats.org/officeDocument/2006/relationships/image" Target="media/image1025.png"/><Relationship Id="rId1060" Type="http://schemas.openxmlformats.org/officeDocument/2006/relationships/image" Target="media/image1026.png"/><Relationship Id="rId1061" Type="http://schemas.openxmlformats.org/officeDocument/2006/relationships/image" Target="media/image1027.png"/><Relationship Id="rId1062" Type="http://schemas.openxmlformats.org/officeDocument/2006/relationships/image" Target="media/image1028.png"/><Relationship Id="rId1063" Type="http://schemas.openxmlformats.org/officeDocument/2006/relationships/image" Target="media/image1029.png"/><Relationship Id="rId1064" Type="http://schemas.openxmlformats.org/officeDocument/2006/relationships/image" Target="media/image1030.png"/><Relationship Id="rId1065" Type="http://schemas.openxmlformats.org/officeDocument/2006/relationships/image" Target="media/image1031.png"/><Relationship Id="rId1066" Type="http://schemas.openxmlformats.org/officeDocument/2006/relationships/image" Target="media/image1032.png"/><Relationship Id="rId1067" Type="http://schemas.openxmlformats.org/officeDocument/2006/relationships/image" Target="media/image1033.png"/><Relationship Id="rId1068" Type="http://schemas.openxmlformats.org/officeDocument/2006/relationships/image" Target="media/image1034.png"/><Relationship Id="rId1069" Type="http://schemas.openxmlformats.org/officeDocument/2006/relationships/image" Target="media/image1035.png"/><Relationship Id="rId1070" Type="http://schemas.openxmlformats.org/officeDocument/2006/relationships/image" Target="media/image1036.png"/><Relationship Id="rId1071" Type="http://schemas.openxmlformats.org/officeDocument/2006/relationships/image" Target="media/image1037.png"/><Relationship Id="rId1072" Type="http://schemas.openxmlformats.org/officeDocument/2006/relationships/image" Target="media/image1038.png"/><Relationship Id="rId1073" Type="http://schemas.openxmlformats.org/officeDocument/2006/relationships/image" Target="media/image1039.png"/><Relationship Id="rId1074" Type="http://schemas.openxmlformats.org/officeDocument/2006/relationships/image" Target="media/image1040.png"/><Relationship Id="rId1075" Type="http://schemas.openxmlformats.org/officeDocument/2006/relationships/image" Target="media/image1041.png"/><Relationship Id="rId1076" Type="http://schemas.openxmlformats.org/officeDocument/2006/relationships/image" Target="media/image1042.png"/><Relationship Id="rId1077" Type="http://schemas.openxmlformats.org/officeDocument/2006/relationships/image" Target="media/image1043.png"/><Relationship Id="rId1078" Type="http://schemas.openxmlformats.org/officeDocument/2006/relationships/image" Target="media/image1044.png"/><Relationship Id="rId1079" Type="http://schemas.openxmlformats.org/officeDocument/2006/relationships/image" Target="media/image1045.png"/><Relationship Id="rId1080" Type="http://schemas.openxmlformats.org/officeDocument/2006/relationships/image" Target="media/image1046.png"/><Relationship Id="rId1081" Type="http://schemas.openxmlformats.org/officeDocument/2006/relationships/image" Target="media/image1047.png"/><Relationship Id="rId1082" Type="http://schemas.openxmlformats.org/officeDocument/2006/relationships/image" Target="media/image1048.png"/><Relationship Id="rId1083" Type="http://schemas.openxmlformats.org/officeDocument/2006/relationships/image" Target="media/image1049.png"/><Relationship Id="rId1084" Type="http://schemas.openxmlformats.org/officeDocument/2006/relationships/image" Target="media/image1050.png"/><Relationship Id="rId1085" Type="http://schemas.openxmlformats.org/officeDocument/2006/relationships/image" Target="media/image1051.png"/><Relationship Id="rId1086" Type="http://schemas.openxmlformats.org/officeDocument/2006/relationships/image" Target="media/image1052.png"/><Relationship Id="rId1087" Type="http://schemas.openxmlformats.org/officeDocument/2006/relationships/image" Target="media/image1053.png"/><Relationship Id="rId1088" Type="http://schemas.openxmlformats.org/officeDocument/2006/relationships/image" Target="media/image1054.png"/><Relationship Id="rId1089" Type="http://schemas.openxmlformats.org/officeDocument/2006/relationships/image" Target="media/image1055.png"/><Relationship Id="rId1090" Type="http://schemas.openxmlformats.org/officeDocument/2006/relationships/image" Target="media/image1056.png"/><Relationship Id="rId1091" Type="http://schemas.openxmlformats.org/officeDocument/2006/relationships/image" Target="media/image1057.png"/><Relationship Id="rId1092" Type="http://schemas.openxmlformats.org/officeDocument/2006/relationships/image" Target="media/image1058.png"/><Relationship Id="rId1093" Type="http://schemas.openxmlformats.org/officeDocument/2006/relationships/image" Target="media/image1059.png"/><Relationship Id="rId1094" Type="http://schemas.openxmlformats.org/officeDocument/2006/relationships/image" Target="media/image1060.png"/><Relationship Id="rId399" Type="http://schemas.openxmlformats.org/officeDocument/2006/relationships/hyperlink" Target="https://www.sec.gov/Archives/edgar/data/354647/000119312521226429/d173193dex21.htm" TargetMode="External"/><Relationship Id="rId400" Type="http://schemas.openxmlformats.org/officeDocument/2006/relationships/hyperlink" Target="https://www.sec.gov/Archives/edgar/data/354647/000095012310075006/c04112exv3w1.htm" TargetMode="External"/><Relationship Id="rId401" Type="http://schemas.openxmlformats.org/officeDocument/2006/relationships/hyperlink" Target="https://www.sec.gov/Archives/edgar/data/354647/000119312520012970/d875520dex31.htm" TargetMode="External"/><Relationship Id="rId402" Type="http://schemas.openxmlformats.org/officeDocument/2006/relationships/hyperlink" Target="https://www.sec.gov/Archives/edgar/data/354647/000035464701500005/stockcert.htm" TargetMode="External"/><Relationship Id="rId403" Type="http://schemas.openxmlformats.org/officeDocument/2006/relationships/hyperlink" Target="https://www.sec.gov/Archives/edgar/data/354647/000119312520059185/d872938dex42.htm" TargetMode="External"/><Relationship Id="rId404" Type="http://schemas.openxmlformats.org/officeDocument/2006/relationships/hyperlink" Target="https://www.sec.gov/Archives/edgar/data/354647/000119312516485748/d215042dex102.htm" TargetMode="External"/><Relationship Id="rId405" Type="http://schemas.openxmlformats.org/officeDocument/2006/relationships/hyperlink" Target="https://www.sec.gov/Archives/edgar/data/354647/000119312516636381/d218896dex101.htm" TargetMode="External"/><Relationship Id="rId406" Type="http://schemas.openxmlformats.org/officeDocument/2006/relationships/hyperlink" Target="https://www.sec.gov/Archives/edgar/data/354647/000114544308001268/d23099_def14a.htm" TargetMode="External"/><Relationship Id="rId407" Type="http://schemas.openxmlformats.org/officeDocument/2006/relationships/hyperlink" Target="https://www.sec.gov/Archives/edgar/data/354647/000095012309044833/c90333exv10w2.htm" TargetMode="External"/><Relationship Id="rId408" Type="http://schemas.openxmlformats.org/officeDocument/2006/relationships/hyperlink" Target="https://www.sec.gov/Archives/edgar/data/354647/000095012309065301/c93060exv10w1.htm" TargetMode="External"/><Relationship Id="rId409" Type="http://schemas.openxmlformats.org/officeDocument/2006/relationships/hyperlink" Target="https://www.sec.gov/Archives/edgar/data/354647/000119312514038673/d671576dex102.htm" TargetMode="External"/><Relationship Id="rId410" Type="http://schemas.openxmlformats.org/officeDocument/2006/relationships/hyperlink" Target="https://www.sec.gov/Archives/edgar/data/354647/000119312517165914/d364410dex101.htm" TargetMode="External"/><Relationship Id="rId411" Type="http://schemas.openxmlformats.org/officeDocument/2006/relationships/hyperlink" Target="https://www.sec.gov/Archives/edgar/data/354647/000119312517165914/d364410dex102.htm" TargetMode="External"/><Relationship Id="rId412" Type="http://schemas.openxmlformats.org/officeDocument/2006/relationships/hyperlink" Target="https://www.sec.gov/Archives/edgar/data/354647/000095012408002469/v41120exv10w2.htm" TargetMode="External"/><Relationship Id="rId413" Type="http://schemas.openxmlformats.org/officeDocument/2006/relationships/hyperlink" Target="https://www.sec.gov/Archives/edgar/data/354647/000095012408002469/v41120exv10w3.htm" TargetMode="External"/><Relationship Id="rId414" Type="http://schemas.openxmlformats.org/officeDocument/2006/relationships/hyperlink" Target="https://www.sec.gov/Archives/edgar/data/354647/000119312518107251/d512240ddef14a.htm" TargetMode="External"/><Relationship Id="rId415" Type="http://schemas.openxmlformats.org/officeDocument/2006/relationships/hyperlink" Target="https://www.sec.gov/Archives/edgar/data/354647/000119312518173710/d540797dex102.htm" TargetMode="External"/><Relationship Id="rId416" Type="http://schemas.openxmlformats.org/officeDocument/2006/relationships/hyperlink" Target="https://www.sec.gov/Archives/edgar/data/354647/000119312518173710/d540797dex103.htm" TargetMode="External"/><Relationship Id="rId417" Type="http://schemas.openxmlformats.org/officeDocument/2006/relationships/hyperlink" Target="https://www.sec.gov/Archives/edgar/data/354647/000119312518173710/d540797dex104.htm" TargetMode="External"/><Relationship Id="rId418" Type="http://schemas.openxmlformats.org/officeDocument/2006/relationships/hyperlink" Target="https://www.sec.gov/Archives/edgar/data/354647/000095013407004438/a27755exv10w26.htm" TargetMode="External"/><Relationship Id="rId419" Type="http://schemas.openxmlformats.org/officeDocument/2006/relationships/hyperlink" Target="https://www.sec.gov/Archives/edgar/data/354647/000119312521063327/d49468dex105b.htm" TargetMode="External"/><Relationship Id="rId420" Type="http://schemas.openxmlformats.org/officeDocument/2006/relationships/hyperlink" Target="https://www.sec.gov/Archives/edgar/data/354647/000119312515118263/d888708ddef14a.htm" TargetMode="External"/><Relationship Id="rId421" Type="http://schemas.openxmlformats.org/officeDocument/2006/relationships/hyperlink" Target="https://www.sec.gov/Archives/edgar/data/354647/000119312522199256/d382855dex101.htm" TargetMode="External"/><Relationship Id="rId422" Type="http://schemas.openxmlformats.org/officeDocument/2006/relationships/hyperlink" Target="https://www.sec.gov/Archives/edgar/data/354647/000095012310020728/v55365exv10w21xay.htm" TargetMode="External"/><Relationship Id="rId423" Type="http://schemas.openxmlformats.org/officeDocument/2006/relationships/hyperlink" Target="https://www.sec.gov/Archives/edgar/data/354647/000119312516579775/d125318dex101.htm" TargetMode="External"/><Relationship Id="rId424" Type="http://schemas.openxmlformats.org/officeDocument/2006/relationships/hyperlink" Target="https://www.sec.gov/Archives/edgar/data/354647/000119312516764447/d312376dex103.htm" TargetMode="External"/><Relationship Id="rId425" Type="http://schemas.openxmlformats.org/officeDocument/2006/relationships/hyperlink" Target="https://www.sec.gov/Archives/edgar/data/354647/000095017022002465/cvbf-ex10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2023-03-01T11:51:08Z</dcterms:created>
  <dcterms:modified xsi:type="dcterms:W3CDTF">2023-03-01T11:51:08Z</dcterms:modified>
</cp:coreProperties>
</file>