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 C. 20549</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85" w:lineRule="exact"/>
        <w:rPr>
          <w:sz w:val="24"/>
          <w:szCs w:val="24"/>
          <w:color w:val="auto"/>
        </w:rPr>
      </w:pPr>
    </w:p>
    <w:p>
      <w:pPr>
        <w:ind w:left="1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March 31, 2023</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19"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7"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For the transition period from _____ to _____</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000-10140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35"/>
          <w:szCs w:val="35"/>
          <w:b w:val="1"/>
          <w:bCs w:val="1"/>
          <w:color w:val="auto"/>
        </w:rPr>
        <w:t>CVB FINANCIAL CORP.</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40" w:orient="portrait"/>
          <w:cols w:equalWidth="0" w:num="1">
            <w:col w:w="10560"/>
          </w:cols>
          <w:pgMar w:left="660" w:top="778" w:right="680" w:bottom="1440" w:gutter="0" w:footer="0" w:header="0"/>
        </w:sectPr>
      </w:pPr>
    </w:p>
    <w:p>
      <w:pPr>
        <w:spacing w:after="0" w:line="181"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California</w:t>
      </w:r>
    </w:p>
    <w:p>
      <w:pPr>
        <w:spacing w:after="0" w:line="41" w:lineRule="exact"/>
        <w:rPr>
          <w:sz w:val="24"/>
          <w:szCs w:val="24"/>
          <w:color w:val="auto"/>
        </w:rPr>
      </w:pPr>
    </w:p>
    <w:p>
      <w:pPr>
        <w:ind w:left="1000"/>
        <w:spacing w:after="0"/>
        <w:rPr>
          <w:sz w:val="20"/>
          <w:szCs w:val="20"/>
          <w:color w:val="auto"/>
        </w:rPr>
      </w:pPr>
      <w:r>
        <w:rPr>
          <w:rFonts w:ascii="Arial" w:cs="Arial" w:eastAsia="Arial" w:hAnsi="Arial"/>
          <w:sz w:val="14"/>
          <w:szCs w:val="14"/>
          <w:color w:val="auto"/>
        </w:rPr>
        <w:t>(State or other jurisdiction of</w:t>
      </w:r>
    </w:p>
    <w:p>
      <w:pPr>
        <w:spacing w:after="0" w:line="15" w:lineRule="exact"/>
        <w:rPr>
          <w:sz w:val="24"/>
          <w:szCs w:val="24"/>
          <w:color w:val="auto"/>
        </w:rPr>
      </w:pPr>
    </w:p>
    <w:p>
      <w:pPr>
        <w:ind w:left="9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1320"/>
        <w:spacing w:after="0"/>
        <w:rPr>
          <w:sz w:val="20"/>
          <w:szCs w:val="20"/>
          <w:color w:val="auto"/>
        </w:rPr>
      </w:pPr>
      <w:r>
        <w:rPr>
          <w:rFonts w:ascii="Arial" w:cs="Arial" w:eastAsia="Arial" w:hAnsi="Arial"/>
          <w:sz w:val="14"/>
          <w:szCs w:val="14"/>
          <w:b w:val="1"/>
          <w:bCs w:val="1"/>
          <w:color w:val="auto"/>
        </w:rPr>
        <w:t>95-3629339</w:t>
      </w:r>
    </w:p>
    <w:p>
      <w:pPr>
        <w:spacing w:after="0" w:line="41"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(I.R.S. Employer</w:t>
      </w:r>
    </w:p>
    <w:p>
      <w:pPr>
        <w:spacing w:after="0" w:line="15"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40" w:orient="portrait"/>
          <w:cols w:equalWidth="0" w:num="2">
            <w:col w:w="7400" w:space="720"/>
            <w:col w:w="2440"/>
          </w:cols>
          <w:pgMar w:left="660" w:top="778" w:right="680" w:bottom="1440" w:gutter="0" w:footer="0" w:header="0"/>
          <w:type w:val="continuous"/>
        </w:sectPr>
      </w:pPr>
    </w:p>
    <w:p>
      <w:pPr>
        <w:spacing w:after="0" w:line="17" w:lineRule="exact"/>
        <w:rPr>
          <w:sz w:val="24"/>
          <w:szCs w:val="24"/>
          <w:color w:val="auto"/>
        </w:rPr>
      </w:pPr>
    </w:p>
    <w:p>
      <w:pPr>
        <w:jc w:val="center"/>
        <w:ind w:right="3960"/>
        <w:spacing w:after="0"/>
        <w:rPr>
          <w:sz w:val="20"/>
          <w:szCs w:val="20"/>
          <w:color w:val="auto"/>
        </w:rPr>
      </w:pPr>
      <w:r>
        <w:rPr>
          <w:rFonts w:ascii="Arial" w:cs="Arial" w:eastAsia="Arial" w:hAnsi="Arial"/>
          <w:sz w:val="14"/>
          <w:szCs w:val="14"/>
          <w:b w:val="1"/>
          <w:bCs w:val="1"/>
          <w:color w:val="auto"/>
        </w:rPr>
        <w:t>701 North Haven Ave., Suite 350</w:t>
      </w:r>
    </w:p>
    <w:p>
      <w:pPr>
        <w:spacing w:after="0" w:line="41" w:lineRule="exact"/>
        <w:rPr>
          <w:sz w:val="24"/>
          <w:szCs w:val="24"/>
          <w:color w:val="auto"/>
        </w:rPr>
      </w:pPr>
    </w:p>
    <w:p>
      <w:pPr>
        <w:jc w:val="center"/>
        <w:ind w:right="3940"/>
        <w:spacing w:after="0"/>
        <w:rPr>
          <w:sz w:val="20"/>
          <w:szCs w:val="20"/>
          <w:color w:val="auto"/>
        </w:rPr>
      </w:pPr>
      <w:r>
        <w:rPr>
          <w:rFonts w:ascii="Arial" w:cs="Arial" w:eastAsia="Arial" w:hAnsi="Arial"/>
          <w:sz w:val="14"/>
          <w:szCs w:val="14"/>
          <w:b w:val="1"/>
          <w:bCs w:val="1"/>
          <w:color w:val="auto"/>
        </w:rPr>
        <w:t>Ontario, California</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91764</w:t>
      </w:r>
    </w:p>
    <w:p>
      <w:pPr>
        <w:spacing w:after="0" w:line="41" w:lineRule="exact"/>
        <w:rPr>
          <w:sz w:val="24"/>
          <w:szCs w:val="24"/>
          <w:color w:val="auto"/>
        </w:rPr>
      </w:pPr>
    </w:p>
    <w:p>
      <w:pPr>
        <w:sectPr>
          <w:pgSz w:w="11900" w:h="16840" w:orient="portrait"/>
          <w:cols w:equalWidth="0" w:num="2">
            <w:col w:w="7760" w:space="720"/>
            <w:col w:w="2080"/>
          </w:cols>
          <w:pgMar w:left="660" w:top="778" w:right="680" w:bottom="1440" w:gutter="0" w:footer="0" w:header="0"/>
          <w:type w:val="continuous"/>
        </w:sectPr>
      </w:pPr>
    </w:p>
    <w:p>
      <w:pPr>
        <w:ind w:left="68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40" w:orient="portrait"/>
          <w:cols w:equalWidth="0" w:num="2">
            <w:col w:w="7620" w:space="720"/>
            <w:col w:w="2220"/>
          </w:cols>
          <w:pgMar w:left="660" w:top="778" w:right="680" w:bottom="1440" w:gutter="0" w:footer="0" w:header="0"/>
          <w:type w:val="continuous"/>
        </w:sectPr>
      </w:pP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(909) 980-4030</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including area code)</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40" w:orient="portrait"/>
          <w:cols w:equalWidth="0" w:num="1">
            <w:col w:w="10560"/>
          </w:cols>
          <w:pgMar w:left="660" w:top="778" w:right="680" w:bottom="1440" w:gutter="0" w:footer="0" w:header="0"/>
          <w:type w:val="continuous"/>
        </w:sectPr>
      </w:pPr>
    </w:p>
    <w:p>
      <w:pPr>
        <w:spacing w:after="0" w:line="43" w:lineRule="exact"/>
        <w:rPr>
          <w:sz w:val="24"/>
          <w:szCs w:val="24"/>
          <w:color w:val="auto"/>
        </w:rPr>
      </w:pPr>
    </w:p>
    <w:p>
      <w:pPr>
        <w:ind w:left="120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1" w:lineRule="exact"/>
        <w:rPr>
          <w:sz w:val="24"/>
          <w:szCs w:val="24"/>
          <w:color w:val="auto"/>
        </w:rPr>
      </w:pPr>
    </w:p>
    <w:p>
      <w:pPr>
        <w:sectPr>
          <w:pgSz w:w="11900" w:h="16840" w:orient="portrait"/>
          <w:cols w:equalWidth="0" w:num="3">
            <w:col w:w="3480" w:space="720"/>
            <w:col w:w="1960" w:space="720"/>
            <w:col w:w="3680"/>
          </w:cols>
          <w:pgMar w:left="660" w:top="778" w:right="680" w:bottom="1440" w:gutter="0" w:footer="0" w:header="0"/>
          <w:type w:val="continuous"/>
        </w:sectPr>
      </w:pPr>
    </w:p>
    <w:p>
      <w:pPr>
        <w:ind w:left="820"/>
        <w:spacing w:after="0"/>
        <w:rPr>
          <w:sz w:val="20"/>
          <w:szCs w:val="20"/>
          <w:color w:val="auto"/>
        </w:rPr>
      </w:pPr>
      <w:r>
        <w:rPr>
          <w:rFonts w:ascii="Arial" w:cs="Arial" w:eastAsia="Arial" w:hAnsi="Arial"/>
          <w:sz w:val="14"/>
          <w:szCs w:val="14"/>
          <w:color w:val="auto"/>
        </w:rPr>
        <w:t>Common Stock, No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CVBF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187" w:lineRule="exact"/>
        <w:rPr>
          <w:sz w:val="24"/>
          <w:szCs w:val="24"/>
          <w:color w:val="auto"/>
        </w:rPr>
      </w:pPr>
    </w:p>
    <w:p>
      <w:pPr>
        <w:sectPr>
          <w:pgSz w:w="11900" w:h="16840" w:orient="portrait"/>
          <w:cols w:equalWidth="0" w:num="3">
            <w:col w:w="3880" w:space="720"/>
            <w:col w:w="1980" w:space="720"/>
            <w:col w:w="3260"/>
          </w:cols>
          <w:pgMar w:left="660" w:top="778" w:right="680" w:bottom="1440" w:gutter="0" w:footer="0" w:header="0"/>
          <w:type w:val="continuous"/>
        </w:sectPr>
      </w:pPr>
    </w:p>
    <w:p>
      <w:pPr>
        <w:ind w:right="80"/>
        <w:spacing w:after="0" w:line="268"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5"/>
          <w:szCs w:val="15"/>
          <w:color w:val="auto"/>
        </w:rPr>
        <w:t>Yes No</w:t>
      </w:r>
    </w:p>
    <w:p>
      <w:pPr>
        <w:spacing w:after="0" w:line="132"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5"/>
          <w:szCs w:val="15"/>
          <w:color w:val="auto"/>
        </w:rPr>
        <w:t>Yes No</w:t>
      </w:r>
    </w:p>
    <w:p>
      <w:pPr>
        <w:spacing w:after="0" w:line="120" w:lineRule="exact"/>
        <w:rPr>
          <w:sz w:val="24"/>
          <w:szCs w:val="24"/>
          <w:color w:val="auto"/>
        </w:rPr>
      </w:pPr>
    </w:p>
    <w:p>
      <w:pPr>
        <w:ind w:right="16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ectPr>
          <w:pgSz w:w="11900" w:h="16840" w:orient="portrait"/>
          <w:cols w:equalWidth="0" w:num="1">
            <w:col w:w="10560"/>
          </w:cols>
          <w:pgMar w:left="660" w:top="778" w:right="680" w:bottom="1440" w:gutter="0" w:footer="0" w:header="0"/>
          <w:type w:val="continuous"/>
        </w:sectPr>
      </w:pPr>
    </w:p>
    <w:p>
      <w:pPr>
        <w:spacing w:after="0" w:line="173" w:lineRule="exact"/>
        <w:rPr>
          <w:sz w:val="24"/>
          <w:szCs w:val="24"/>
          <w:color w:val="auto"/>
        </w:rPr>
      </w:pPr>
    </w:p>
    <w:p>
      <w:pPr>
        <w:ind w:left="1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31" w:lineRule="exact"/>
        <w:rPr>
          <w:sz w:val="24"/>
          <w:szCs w:val="24"/>
          <w:color w:val="auto"/>
        </w:rPr>
      </w:pPr>
    </w:p>
    <w:p>
      <w:pPr>
        <w:sectPr>
          <w:pgSz w:w="11900" w:h="16840" w:orient="portrait"/>
          <w:cols w:equalWidth="0" w:num="2">
            <w:col w:w="6780" w:space="720"/>
            <w:col w:w="3060"/>
          </w:cols>
          <w:pgMar w:left="660" w:top="778" w:right="680"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31" w:lineRule="exact"/>
        <w:rPr>
          <w:sz w:val="24"/>
          <w:szCs w:val="24"/>
          <w:color w:val="auto"/>
        </w:rPr>
      </w:pPr>
    </w:p>
    <w:p>
      <w:pPr>
        <w:sectPr>
          <w:pgSz w:w="11900" w:h="16840" w:orient="portrait"/>
          <w:cols w:equalWidth="0" w:num="2">
            <w:col w:w="6780" w:space="720"/>
            <w:col w:w="3060"/>
          </w:cols>
          <w:pgMar w:left="660" w:top="778" w:right="680"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Emerging growth company</w:t>
      </w:r>
    </w:p>
    <w:p>
      <w:pPr>
        <w:sectPr>
          <w:pgSz w:w="11900" w:h="16840" w:orient="portrait"/>
          <w:cols w:equalWidth="0" w:num="1">
            <w:col w:w="10560"/>
          </w:cols>
          <w:pgMar w:left="660" w:top="778" w:right="680" w:bottom="1440" w:gutter="0" w:footer="0" w:header="0"/>
          <w:type w:val="continuous"/>
        </w:sectPr>
      </w:pPr>
    </w:p>
    <w:p>
      <w:pPr>
        <w:spacing w:after="0" w:line="187" w:lineRule="exact"/>
        <w:rPr>
          <w:sz w:val="24"/>
          <w:szCs w:val="24"/>
          <w:color w:val="auto"/>
        </w:rPr>
      </w:pPr>
    </w:p>
    <w:p>
      <w:pPr>
        <w:ind w:right="180"/>
        <w:spacing w:after="0" w:line="282"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7" w:lineRule="exact"/>
        <w:rPr>
          <w:sz w:val="24"/>
          <w:szCs w:val="24"/>
          <w:color w:val="auto"/>
        </w:rPr>
      </w:pPr>
    </w:p>
    <w:p>
      <w:pPr>
        <w:spacing w:after="0"/>
        <w:tabs>
          <w:tab w:leader="none" w:pos="420" w:val="left"/>
        </w:tabs>
        <w:rPr>
          <w:sz w:val="20"/>
          <w:szCs w:val="20"/>
          <w:color w:val="auto"/>
        </w:rPr>
      </w:pPr>
      <w:r>
        <w:rPr>
          <w:rFonts w:ascii="Arial" w:cs="Arial" w:eastAsia="Arial" w:hAnsi="Arial"/>
          <w:sz w:val="14"/>
          <w:szCs w:val="14"/>
          <w:color w:val="auto"/>
        </w:rPr>
        <w:t>Yes</w:t>
        <w:tab/>
        <w:t>No</w:t>
      </w:r>
    </w:p>
    <w:p>
      <w:pPr>
        <w:spacing w:after="0" w:line="165"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of common stock of the registrant: 139,289,515 outstanding as of April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172085</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8" w:right="68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8"/>
          </w:tcPr>
          <w:p>
            <w:pPr>
              <w:spacing w:after="0"/>
              <w:rPr>
                <w:sz w:val="20"/>
                <w:szCs w:val="20"/>
                <w:color w:val="auto"/>
              </w:rPr>
            </w:pPr>
            <w:r>
              <w:rPr>
                <w:rFonts w:ascii="Arial" w:cs="Arial" w:eastAsia="Arial" w:hAnsi="Arial"/>
                <w:sz w:val="16"/>
                <w:szCs w:val="16"/>
                <w:b w:val="1"/>
                <w:bCs w:val="1"/>
                <w:color w:val="auto"/>
              </w:rPr>
              <w:t>TABLE OF CONTENTS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8"/>
        </w:trPr>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PART I –</w:t>
            </w:r>
          </w:p>
        </w:tc>
        <w:tc>
          <w:tcPr>
            <w:tcW w:w="3020" w:type="dxa"/>
            <w:vAlign w:val="bottom"/>
            <w:tcBorders>
              <w:bottom w:val="single" w:sz="8" w:color="0000FF"/>
            </w:tcBorders>
            <w:gridSpan w:val="11"/>
          </w:tcPr>
          <w:p>
            <w:pPr>
              <w:spacing w:after="0"/>
              <w:rPr>
                <w:rFonts w:ascii="Arial" w:cs="Arial" w:eastAsia="Arial" w:hAnsi="Arial"/>
                <w:sz w:val="16"/>
                <w:szCs w:val="16"/>
                <w:color w:val="0000FF"/>
                <w:w w:val="97"/>
              </w:rPr>
            </w:pPr>
            <w:hyperlink w:anchor="page3">
              <w:r>
                <w:rPr>
                  <w:rFonts w:ascii="Arial" w:cs="Arial" w:eastAsia="Arial" w:hAnsi="Arial"/>
                  <w:sz w:val="16"/>
                  <w:szCs w:val="16"/>
                  <w:color w:val="0000FF"/>
                  <w:w w:val="97"/>
                </w:rPr>
                <w:t>FINANCIAL INFORMATION (UNAUDITED)</w:t>
              </w:r>
            </w:hyperlink>
          </w:p>
        </w:tc>
        <w:tc>
          <w:tcPr>
            <w:tcW w:w="4940" w:type="dxa"/>
            <w:vAlign w:val="bottom"/>
            <w:gridSpan w:val="7"/>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1.</w:t>
            </w:r>
          </w:p>
        </w:tc>
        <w:tc>
          <w:tcPr>
            <w:tcW w:w="7960" w:type="dxa"/>
            <w:vAlign w:val="bottom"/>
            <w:gridSpan w:val="18"/>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CONDENSED CONSOLIDATED FINANCIAL STATEMENTS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2.</w:t>
            </w:r>
          </w:p>
        </w:tc>
        <w:tc>
          <w:tcPr>
            <w:tcW w:w="5420" w:type="dxa"/>
            <w:vAlign w:val="bottom"/>
            <w:tcBorders>
              <w:bottom w:val="single" w:sz="8" w:color="0000FF"/>
            </w:tcBorders>
            <w:gridSpan w:val="16"/>
          </w:tcPr>
          <w:p>
            <w:pPr>
              <w:spacing w:after="0" w:line="172" w:lineRule="exact"/>
              <w:rPr>
                <w:rFonts w:ascii="Arial" w:cs="Arial" w:eastAsia="Arial" w:hAnsi="Arial"/>
                <w:sz w:val="16"/>
                <w:szCs w:val="16"/>
                <w:color w:val="0000FF"/>
                <w:w w:val="97"/>
              </w:rPr>
            </w:pPr>
            <w:hyperlink w:anchor="page9">
              <w:r>
                <w:rPr>
                  <w:rFonts w:ascii="Arial" w:cs="Arial" w:eastAsia="Arial" w:hAnsi="Arial"/>
                  <w:sz w:val="16"/>
                  <w:szCs w:val="16"/>
                  <w:color w:val="0000FF"/>
                  <w:w w:val="97"/>
                </w:rPr>
                <w:t>NOTES TO THE CONDENSED CONSOLIDATED FINANCIAL STATEMENTS</w:t>
              </w:r>
            </w:hyperlink>
          </w:p>
        </w:tc>
        <w:tc>
          <w:tcPr>
            <w:tcW w:w="2540" w:type="dxa"/>
            <w:vAlign w:val="bottom"/>
            <w:gridSpan w:val="2"/>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960" w:type="dxa"/>
            <w:vAlign w:val="bottom"/>
            <w:tcBorders>
              <w:bottom w:val="single" w:sz="8" w:color="0000FF"/>
            </w:tcBorders>
            <w:gridSpan w:val="18"/>
          </w:tcPr>
          <w:p>
            <w:pPr>
              <w:spacing w:after="0" w:line="172" w:lineRule="exact"/>
              <w:rPr>
                <w:rFonts w:ascii="Arial" w:cs="Arial" w:eastAsia="Arial" w:hAnsi="Arial"/>
                <w:sz w:val="16"/>
                <w:szCs w:val="16"/>
                <w:color w:val="0000FF"/>
                <w:w w:val="97"/>
              </w:rPr>
            </w:pPr>
            <w:hyperlink w:anchor="page35">
              <w:r>
                <w:rPr>
                  <w:rFonts w:ascii="Arial" w:cs="Arial" w:eastAsia="Arial" w:hAnsi="Arial"/>
                  <w:sz w:val="16"/>
                  <w:szCs w:val="16"/>
                  <w:color w:val="0000FF"/>
                  <w:w w:val="97"/>
                </w:rPr>
                <w:t>MANAGEMENT’S DISCUSSION AND ANALYSIS OF FINANCIAL CONDITION AND RESULTS OF OPERATIONS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80" w:type="dxa"/>
            <w:vAlign w:val="bottom"/>
            <w:tcBorders>
              <w:bottom w:val="single" w:sz="8" w:color="0000FF"/>
            </w:tcBorders>
            <w:gridSpan w:val="8"/>
          </w:tcPr>
          <w:p>
            <w:pPr>
              <w:spacing w:after="0" w:line="172" w:lineRule="exact"/>
              <w:rPr>
                <w:rFonts w:ascii="Arial" w:cs="Arial" w:eastAsia="Arial" w:hAnsi="Arial"/>
                <w:sz w:val="16"/>
                <w:szCs w:val="16"/>
                <w:color w:val="0000FF"/>
                <w:w w:val="97"/>
              </w:rPr>
            </w:pPr>
            <w:hyperlink w:anchor="page35">
              <w:r>
                <w:rPr>
                  <w:rFonts w:ascii="Arial" w:cs="Arial" w:eastAsia="Arial" w:hAnsi="Arial"/>
                  <w:sz w:val="16"/>
                  <w:szCs w:val="16"/>
                  <w:color w:val="0000FF"/>
                  <w:w w:val="97"/>
                </w:rPr>
                <w:t>CRITICAL ACCOUNTING POLICIES</w:t>
              </w:r>
            </w:hyperlink>
          </w:p>
        </w:tc>
        <w:tc>
          <w:tcPr>
            <w:tcW w:w="5380" w:type="dxa"/>
            <w:vAlign w:val="bottom"/>
            <w:gridSpan w:val="10"/>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37">
              <w:r>
                <w:rPr>
                  <w:rFonts w:ascii="Arial" w:cs="Arial" w:eastAsia="Arial" w:hAnsi="Arial"/>
                  <w:sz w:val="16"/>
                  <w:szCs w:val="16"/>
                  <w:color w:val="0000FF"/>
                </w:rPr>
                <w:t>OVERVIEW</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Borders>
              <w:bottom w:val="single" w:sz="8" w:color="0000FF"/>
            </w:tcBorders>
            <w:gridSpan w:val="12"/>
          </w:tcPr>
          <w:p>
            <w:pPr>
              <w:spacing w:after="0" w:line="172" w:lineRule="exact"/>
              <w:rPr>
                <w:rFonts w:ascii="Arial" w:cs="Arial" w:eastAsia="Arial" w:hAnsi="Arial"/>
                <w:sz w:val="16"/>
                <w:szCs w:val="16"/>
                <w:color w:val="0000FF"/>
                <w:w w:val="97"/>
              </w:rPr>
            </w:pPr>
            <w:hyperlink w:anchor="page39">
              <w:r>
                <w:rPr>
                  <w:rFonts w:ascii="Arial" w:cs="Arial" w:eastAsia="Arial" w:hAnsi="Arial"/>
                  <w:sz w:val="16"/>
                  <w:szCs w:val="16"/>
                  <w:color w:val="0000FF"/>
                  <w:w w:val="97"/>
                </w:rPr>
                <w:t>ANALYSIS OF THE RESULTS OF OPERATIONS</w:t>
              </w:r>
            </w:hyperlink>
          </w:p>
        </w:tc>
        <w:tc>
          <w:tcPr>
            <w:tcW w:w="4480" w:type="dxa"/>
            <w:vAlign w:val="bottom"/>
            <w:gridSpan w:val="6"/>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46">
              <w:r>
                <w:rPr>
                  <w:rFonts w:ascii="Arial" w:cs="Arial" w:eastAsia="Arial" w:hAnsi="Arial"/>
                  <w:sz w:val="16"/>
                  <w:szCs w:val="16"/>
                  <w:color w:val="0000FF"/>
                </w:rPr>
                <w:t>ANALYSIS OF FINANCIAL CONDITION</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3.</w:t>
            </w:r>
          </w:p>
        </w:tc>
        <w:tc>
          <w:tcPr>
            <w:tcW w:w="7960" w:type="dxa"/>
            <w:vAlign w:val="bottom"/>
            <w:gridSpan w:val="18"/>
          </w:tcPr>
          <w:p>
            <w:pPr>
              <w:spacing w:after="0" w:line="172" w:lineRule="exact"/>
              <w:rPr>
                <w:rFonts w:ascii="Arial" w:cs="Arial" w:eastAsia="Arial" w:hAnsi="Arial"/>
                <w:sz w:val="16"/>
                <w:szCs w:val="16"/>
                <w:color w:val="0000FF"/>
              </w:rPr>
            </w:pPr>
            <w:hyperlink w:anchor="page61">
              <w:r>
                <w:rPr>
                  <w:rFonts w:ascii="Arial" w:cs="Arial" w:eastAsia="Arial" w:hAnsi="Arial"/>
                  <w:sz w:val="16"/>
                  <w:szCs w:val="16"/>
                  <w:color w:val="0000FF"/>
                </w:rPr>
                <w:t>ASSET/LIABILITY AND MARKET RISK MANAGEMENT</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64">
              <w:r>
                <w:rPr>
                  <w:rFonts w:ascii="Arial" w:cs="Arial" w:eastAsia="Arial" w:hAnsi="Arial"/>
                  <w:sz w:val="16"/>
                  <w:szCs w:val="16"/>
                  <w:color w:val="0000FF"/>
                </w:rPr>
                <w:t>QUANTITATIVE AND QUALITATIVE DISCLOSURES ABOUT MARKET RISK</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4.</w:t>
            </w:r>
          </w:p>
        </w:tc>
        <w:tc>
          <w:tcPr>
            <w:tcW w:w="5400" w:type="dxa"/>
            <w:vAlign w:val="bottom"/>
            <w:tcBorders>
              <w:top w:val="single" w:sz="8" w:color="0000FF"/>
            </w:tcBorders>
            <w:gridSpan w:val="15"/>
          </w:tcPr>
          <w:p>
            <w:pPr>
              <w:spacing w:after="0" w:line="172" w:lineRule="exact"/>
              <w:rPr>
                <w:rFonts w:ascii="Arial" w:cs="Arial" w:eastAsia="Arial" w:hAnsi="Arial"/>
                <w:sz w:val="16"/>
                <w:szCs w:val="16"/>
                <w:color w:val="0000FF"/>
              </w:rPr>
            </w:pPr>
            <w:hyperlink w:anchor="page64">
              <w:r>
                <w:rPr>
                  <w:rFonts w:ascii="Arial" w:cs="Arial" w:eastAsia="Arial" w:hAnsi="Arial"/>
                  <w:sz w:val="16"/>
                  <w:szCs w:val="16"/>
                  <w:color w:val="0000FF"/>
                </w:rPr>
                <w:t>CONTROLS AND PROCEDURES</w:t>
              </w:r>
            </w:hyperlink>
          </w:p>
        </w:tc>
        <w:tc>
          <w:tcPr>
            <w:tcW w:w="2560" w:type="dxa"/>
            <w:vAlign w:val="bottom"/>
            <w:gridSpan w:val="3"/>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72"/>
        </w:trPr>
        <w:tc>
          <w:tcPr>
            <w:tcW w:w="1500" w:type="dxa"/>
            <w:vAlign w:val="bottom"/>
            <w:gridSpan w:val="3"/>
          </w:tcPr>
          <w:p>
            <w:pPr>
              <w:ind w:left="20"/>
              <w:spacing w:after="0" w:line="172" w:lineRule="exact"/>
              <w:rPr>
                <w:sz w:val="20"/>
                <w:szCs w:val="20"/>
                <w:color w:val="auto"/>
              </w:rPr>
            </w:pPr>
            <w:r>
              <w:rPr>
                <w:rFonts w:ascii="Arial" w:cs="Arial" w:eastAsia="Arial" w:hAnsi="Arial"/>
                <w:sz w:val="16"/>
                <w:szCs w:val="16"/>
                <w:b w:val="1"/>
                <w:bCs w:val="1"/>
                <w:color w:val="auto"/>
              </w:rPr>
              <w:t>PART II –</w:t>
            </w:r>
          </w:p>
        </w:tc>
        <w:tc>
          <w:tcPr>
            <w:tcW w:w="2380" w:type="dxa"/>
            <w:vAlign w:val="bottom"/>
            <w:tcBorders>
              <w:top w:val="single" w:sz="8" w:color="0000FF"/>
            </w:tcBorders>
            <w:gridSpan w:val="7"/>
          </w:tcPr>
          <w:p>
            <w:pPr>
              <w:spacing w:after="0" w:line="172" w:lineRule="exact"/>
              <w:rPr>
                <w:rFonts w:ascii="Arial" w:cs="Arial" w:eastAsia="Arial" w:hAnsi="Arial"/>
                <w:sz w:val="16"/>
                <w:szCs w:val="16"/>
                <w:color w:val="0000FF"/>
              </w:rPr>
            </w:pPr>
            <w:hyperlink w:anchor="page65">
              <w:r>
                <w:rPr>
                  <w:rFonts w:ascii="Arial" w:cs="Arial" w:eastAsia="Arial" w:hAnsi="Arial"/>
                  <w:sz w:val="16"/>
                  <w:szCs w:val="16"/>
                  <w:color w:val="0000FF"/>
                </w:rPr>
                <w:t>OTHER INFORMATION</w:t>
              </w:r>
            </w:hyperlink>
          </w:p>
        </w:tc>
        <w:tc>
          <w:tcPr>
            <w:tcW w:w="5580" w:type="dxa"/>
            <w:vAlign w:val="bottom"/>
            <w:gridSpan w:val="11"/>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1.</w:t>
            </w:r>
          </w:p>
        </w:tc>
        <w:tc>
          <w:tcPr>
            <w:tcW w:w="7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65">
              <w:r>
                <w:rPr>
                  <w:rFonts w:ascii="Arial" w:cs="Arial" w:eastAsia="Arial" w:hAnsi="Arial"/>
                  <w:sz w:val="16"/>
                  <w:szCs w:val="16"/>
                  <w:color w:val="0000FF"/>
                </w:rPr>
                <w:t>LEGAL PROCEEDINGS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1A.</w:t>
            </w:r>
          </w:p>
        </w:tc>
        <w:tc>
          <w:tcPr>
            <w:tcW w:w="1160" w:type="dxa"/>
            <w:vAlign w:val="bottom"/>
            <w:tcBorders>
              <w:top w:val="single" w:sz="8" w:color="0000FF"/>
              <w:bottom w:val="single" w:sz="8" w:color="0000FF"/>
            </w:tcBorders>
            <w:gridSpan w:val="3"/>
          </w:tcPr>
          <w:p>
            <w:pPr>
              <w:spacing w:after="0" w:line="172" w:lineRule="exact"/>
              <w:rPr>
                <w:rFonts w:ascii="Arial" w:cs="Arial" w:eastAsia="Arial" w:hAnsi="Arial"/>
                <w:sz w:val="16"/>
                <w:szCs w:val="16"/>
                <w:color w:val="0000FF"/>
                <w:w w:val="96"/>
              </w:rPr>
            </w:pPr>
            <w:hyperlink w:anchor="page66">
              <w:r>
                <w:rPr>
                  <w:rFonts w:ascii="Arial" w:cs="Arial" w:eastAsia="Arial" w:hAnsi="Arial"/>
                  <w:sz w:val="16"/>
                  <w:szCs w:val="16"/>
                  <w:color w:val="0000FF"/>
                  <w:w w:val="96"/>
                </w:rPr>
                <w:t>RISK FACTORS</w:t>
              </w:r>
            </w:hyperlink>
          </w:p>
        </w:tc>
        <w:tc>
          <w:tcPr>
            <w:tcW w:w="540" w:type="dxa"/>
            <w:vAlign w:val="bottom"/>
            <w:tcBorders>
              <w:top w:val="single" w:sz="8" w:color="0000FF"/>
            </w:tcBorders>
            <w:gridSpan w:val="2"/>
          </w:tcPr>
          <w:p>
            <w:pPr>
              <w:spacing w:after="0"/>
              <w:rPr>
                <w:sz w:val="14"/>
                <w:szCs w:val="14"/>
                <w:color w:val="auto"/>
              </w:rPr>
            </w:pPr>
          </w:p>
        </w:tc>
        <w:tc>
          <w:tcPr>
            <w:tcW w:w="6260" w:type="dxa"/>
            <w:vAlign w:val="bottom"/>
            <w:gridSpan w:val="13"/>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2.</w:t>
            </w:r>
          </w:p>
        </w:tc>
        <w:tc>
          <w:tcPr>
            <w:tcW w:w="7960" w:type="dxa"/>
            <w:vAlign w:val="bottom"/>
            <w:gridSpan w:val="18"/>
          </w:tcPr>
          <w:p>
            <w:pPr>
              <w:spacing w:after="0" w:line="172" w:lineRule="exact"/>
              <w:rPr>
                <w:rFonts w:ascii="Arial" w:cs="Arial" w:eastAsia="Arial" w:hAnsi="Arial"/>
                <w:sz w:val="16"/>
                <w:szCs w:val="16"/>
                <w:color w:val="0000FF"/>
              </w:rPr>
            </w:pPr>
            <w:hyperlink w:anchor="page68">
              <w:r>
                <w:rPr>
                  <w:rFonts w:ascii="Arial" w:cs="Arial" w:eastAsia="Arial" w:hAnsi="Arial"/>
                  <w:sz w:val="16"/>
                  <w:szCs w:val="16"/>
                  <w:color w:val="0000FF"/>
                </w:rPr>
                <w:t>UNREGISTERED SALES OF EQUITY SECURITIES AND USE OF PROCEEDS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ITEM 3.</w:t>
            </w:r>
          </w:p>
        </w:tc>
        <w:tc>
          <w:tcPr>
            <w:tcW w:w="2940" w:type="dxa"/>
            <w:vAlign w:val="bottom"/>
            <w:tcBorders>
              <w:top w:val="single" w:sz="8" w:color="0000FF"/>
            </w:tcBorders>
            <w:gridSpan w:val="10"/>
            <w:vMerge w:val="restart"/>
          </w:tcPr>
          <w:p>
            <w:pPr>
              <w:spacing w:after="0"/>
              <w:rPr>
                <w:rFonts w:ascii="Arial" w:cs="Arial" w:eastAsia="Arial" w:hAnsi="Arial"/>
                <w:sz w:val="16"/>
                <w:szCs w:val="16"/>
                <w:color w:val="0000FF"/>
                <w:w w:val="97"/>
              </w:rPr>
            </w:pPr>
            <w:hyperlink w:anchor="page68">
              <w:r>
                <w:rPr>
                  <w:rFonts w:ascii="Arial" w:cs="Arial" w:eastAsia="Arial" w:hAnsi="Arial"/>
                  <w:sz w:val="16"/>
                  <w:szCs w:val="16"/>
                  <w:color w:val="0000FF"/>
                  <w:w w:val="97"/>
                </w:rPr>
                <w:t>DEFAULTS UPON SENIOR SECURITIES</w:t>
              </w:r>
            </w:hyperlink>
          </w:p>
        </w:tc>
        <w:tc>
          <w:tcPr>
            <w:tcW w:w="2620" w:type="dxa"/>
            <w:vAlign w:val="bottom"/>
            <w:tcBorders>
              <w:top w:val="single" w:sz="8" w:color="0000FF"/>
            </w:tcBorders>
            <w:gridSpan w:val="7"/>
            <w:vMerge w:val="restart"/>
          </w:tcPr>
          <w:p>
            <w:pPr>
              <w:spacing w:after="0"/>
              <w:rPr>
                <w:sz w:val="18"/>
                <w:szCs w:val="18"/>
                <w:color w:val="auto"/>
              </w:rPr>
            </w:pPr>
          </w:p>
        </w:tc>
        <w:tc>
          <w:tcPr>
            <w:tcW w:w="2400" w:type="dxa"/>
            <w:vAlign w:val="bottom"/>
            <w:vMerge w:val="restart"/>
          </w:tcPr>
          <w:p>
            <w:pPr>
              <w:spacing w:after="0"/>
              <w:rPr>
                <w:sz w:val="18"/>
                <w:szCs w:val="18"/>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4.</w:t>
            </w:r>
          </w:p>
        </w:tc>
        <w:tc>
          <w:tcPr>
            <w:tcW w:w="2940" w:type="dxa"/>
            <w:vAlign w:val="bottom"/>
            <w:tcBorders>
              <w:bottom w:val="single" w:sz="8" w:color="0000FF"/>
            </w:tcBorders>
            <w:gridSpan w:val="10"/>
            <w:vMerge w:val="continue"/>
          </w:tcPr>
          <w:p>
            <w:pPr>
              <w:spacing w:after="0"/>
              <w:rPr>
                <w:sz w:val="8"/>
                <w:szCs w:val="8"/>
                <w:color w:val="auto"/>
              </w:rPr>
            </w:pPr>
          </w:p>
        </w:tc>
        <w:tc>
          <w:tcPr>
            <w:tcW w:w="2620" w:type="dxa"/>
            <w:vAlign w:val="bottom"/>
            <w:gridSpan w:val="7"/>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68">
              <w:r>
                <w:rPr>
                  <w:rFonts w:ascii="Arial" w:cs="Arial" w:eastAsia="Arial" w:hAnsi="Arial"/>
                  <w:sz w:val="16"/>
                  <w:szCs w:val="16"/>
                  <w:color w:val="0000FF"/>
                </w:rPr>
                <w:t>MINE SAFETY DISCLOSURES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5.</w:t>
            </w:r>
          </w:p>
        </w:tc>
        <w:tc>
          <w:tcPr>
            <w:tcW w:w="2200" w:type="dxa"/>
            <w:vAlign w:val="bottom"/>
            <w:tcBorders>
              <w:top w:val="single" w:sz="8" w:color="0000FF"/>
            </w:tcBorders>
            <w:gridSpan w:val="6"/>
          </w:tcPr>
          <w:p>
            <w:pPr>
              <w:spacing w:after="0" w:line="172" w:lineRule="exact"/>
              <w:rPr>
                <w:rFonts w:ascii="Arial" w:cs="Arial" w:eastAsia="Arial" w:hAnsi="Arial"/>
                <w:sz w:val="16"/>
                <w:szCs w:val="16"/>
                <w:color w:val="0000FF"/>
              </w:rPr>
            </w:pPr>
            <w:hyperlink w:anchor="page68">
              <w:r>
                <w:rPr>
                  <w:rFonts w:ascii="Arial" w:cs="Arial" w:eastAsia="Arial" w:hAnsi="Arial"/>
                  <w:sz w:val="16"/>
                  <w:szCs w:val="16"/>
                  <w:color w:val="0000FF"/>
                </w:rPr>
                <w:t>OTHER INFORMATION</w:t>
              </w:r>
            </w:hyperlink>
          </w:p>
        </w:tc>
        <w:tc>
          <w:tcPr>
            <w:tcW w:w="5760" w:type="dxa"/>
            <w:vAlign w:val="bottom"/>
            <w:gridSpan w:val="12"/>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6.</w:t>
            </w:r>
          </w:p>
        </w:tc>
        <w:tc>
          <w:tcPr>
            <w:tcW w:w="1680" w:type="dxa"/>
            <w:vAlign w:val="bottom"/>
            <w:tcBorders>
              <w:top w:val="single" w:sz="8" w:color="0000FF"/>
            </w:tcBorders>
            <w:gridSpan w:val="4"/>
          </w:tcPr>
          <w:p>
            <w:pPr>
              <w:spacing w:after="0" w:line="172" w:lineRule="exact"/>
              <w:rPr>
                <w:rFonts w:ascii="Arial" w:cs="Arial" w:eastAsia="Arial" w:hAnsi="Arial"/>
                <w:sz w:val="16"/>
                <w:szCs w:val="16"/>
                <w:color w:val="0000FF"/>
              </w:rPr>
            </w:pPr>
            <w:hyperlink w:anchor="page69">
              <w:r>
                <w:rPr>
                  <w:rFonts w:ascii="Arial" w:cs="Arial" w:eastAsia="Arial" w:hAnsi="Arial"/>
                  <w:sz w:val="16"/>
                  <w:szCs w:val="16"/>
                  <w:color w:val="0000FF"/>
                </w:rPr>
                <w:t>EXHIBITS</w:t>
              </w:r>
            </w:hyperlink>
          </w:p>
        </w:tc>
        <w:tc>
          <w:tcPr>
            <w:tcW w:w="6280" w:type="dxa"/>
            <w:vAlign w:val="bottom"/>
            <w:gridSpan w:val="14"/>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72"/>
        </w:trPr>
        <w:tc>
          <w:tcPr>
            <w:tcW w:w="1500" w:type="dxa"/>
            <w:vAlign w:val="bottom"/>
            <w:gridSpan w:val="3"/>
          </w:tcPr>
          <w:p>
            <w:pPr>
              <w:ind w:left="20"/>
              <w:spacing w:after="0" w:line="172" w:lineRule="exact"/>
              <w:rPr>
                <w:rFonts w:ascii="Arial" w:cs="Arial" w:eastAsia="Arial" w:hAnsi="Arial"/>
                <w:sz w:val="16"/>
                <w:szCs w:val="16"/>
                <w:b w:val="1"/>
                <w:bCs w:val="1"/>
                <w:color w:val="0000FF"/>
              </w:rPr>
            </w:pPr>
            <w:hyperlink w:anchor="page70">
              <w:r>
                <w:rPr>
                  <w:rFonts w:ascii="Arial" w:cs="Arial" w:eastAsia="Arial" w:hAnsi="Arial"/>
                  <w:sz w:val="16"/>
                  <w:szCs w:val="16"/>
                  <w:b w:val="1"/>
                  <w:bCs w:val="1"/>
                  <w:color w:val="0000FF"/>
                </w:rPr>
                <w:t>SIGNATURES</w:t>
              </w:r>
            </w:hyperlink>
          </w:p>
        </w:tc>
        <w:tc>
          <w:tcPr>
            <w:tcW w:w="7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3900" w:type="dxa"/>
            <w:vAlign w:val="bottom"/>
            <w:gridSpan w:val="13"/>
          </w:tcPr>
          <w:p>
            <w:pPr>
              <w:ind w:left="3740"/>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1020" w:type="dxa"/>
            <w:vAlign w:val="bottom"/>
            <w:tcBorders>
              <w:bottom w:val="single" w:sz="8" w:color="EEEEEE"/>
            </w:tcBorders>
          </w:tcPr>
          <w:p>
            <w:pPr>
              <w:spacing w:after="0"/>
              <w:rPr>
                <w:sz w:val="8"/>
                <w:szCs w:val="8"/>
                <w:color w:val="auto"/>
              </w:rPr>
            </w:pPr>
          </w:p>
        </w:tc>
        <w:tc>
          <w:tcPr>
            <w:tcW w:w="460" w:type="dxa"/>
            <w:vAlign w:val="bottom"/>
            <w:tcBorders>
              <w:bottom w:val="single" w:sz="8" w:color="EEEEEE"/>
            </w:tcBorders>
          </w:tcPr>
          <w:p>
            <w:pPr>
              <w:spacing w:after="0"/>
              <w:rPr>
                <w:sz w:val="8"/>
                <w:szCs w:val="8"/>
                <w:color w:val="auto"/>
              </w:rPr>
            </w:pPr>
          </w:p>
        </w:tc>
        <w:tc>
          <w:tcPr>
            <w:tcW w:w="72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5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50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46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118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2400" w:type="dxa"/>
            <w:vAlign w:val="bottom"/>
            <w:tcBorders>
              <w:bottom w:val="single" w:sz="8" w:color="EEEEEE"/>
            </w:tcBorders>
          </w:tcPr>
          <w:p>
            <w:pPr>
              <w:spacing w:after="0"/>
              <w:rPr>
                <w:sz w:val="8"/>
                <w:szCs w:val="8"/>
                <w:color w:val="auto"/>
              </w:rPr>
            </w:pPr>
          </w:p>
        </w:tc>
        <w:tc>
          <w:tcPr>
            <w:tcW w:w="1100" w:type="dxa"/>
            <w:vAlign w:val="bottom"/>
            <w:tcBorders>
              <w:bottom w:val="single" w:sz="8" w:color="EEEEEE"/>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PART I – FINANCIAL INFORMATION (UNAUDITED)</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GENERAL</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Cautionary Note Regarding Forward-Looking Statements</w:t>
      </w:r>
    </w:p>
    <w:p>
      <w:pPr>
        <w:spacing w:after="0" w:line="154" w:lineRule="exact"/>
        <w:rPr>
          <w:sz w:val="20"/>
          <w:szCs w:val="20"/>
          <w:color w:val="auto"/>
        </w:rPr>
      </w:pPr>
    </w:p>
    <w:p>
      <w:pPr>
        <w:ind w:left="80" w:firstLine="432"/>
        <w:spacing w:after="0" w:line="237" w:lineRule="auto"/>
        <w:rPr>
          <w:sz w:val="20"/>
          <w:szCs w:val="20"/>
          <w:color w:val="auto"/>
        </w:rPr>
      </w:pPr>
      <w:r>
        <w:rPr>
          <w:rFonts w:ascii="Arial" w:cs="Arial" w:eastAsia="Arial" w:hAnsi="Arial"/>
          <w:sz w:val="16"/>
          <w:szCs w:val="16"/>
          <w:i w:val="1"/>
          <w:iCs w:val="1"/>
          <w:color w:val="auto"/>
        </w:rPr>
        <w:t>Certain statements set forth herein constitute forward- 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 looking statements, which involve risks and uncertainties that could cause actual results or performance to differ materially from those projected. These forward -looking statements are based on management’s current expectations and beliefs concerning future developments and their potential effects on the Company, including, without limitation, plans, strategies and goals, and statements about the Company’s outlook regarding revenue and asset growth, financial performance and profitability, capital and liquidity levels, loan and deposit growth and retention, yields and returns, loan diversification and credit management, stockholder value creation, tax rates,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37" w:lineRule="exact"/>
        <w:rPr>
          <w:sz w:val="20"/>
          <w:szCs w:val="20"/>
          <w:color w:val="auto"/>
        </w:rPr>
      </w:pPr>
    </w:p>
    <w:p>
      <w:pPr>
        <w:ind w:left="80" w:right="60" w:firstLine="432"/>
        <w:spacing w:after="0" w:line="252" w:lineRule="auto"/>
        <w:rPr>
          <w:sz w:val="20"/>
          <w:szCs w:val="20"/>
          <w:color w:val="auto"/>
        </w:rPr>
      </w:pPr>
      <w:r>
        <w:rPr>
          <w:rFonts w:ascii="Arial" w:cs="Arial" w:eastAsia="Arial" w:hAnsi="Arial"/>
          <w:sz w:val="14"/>
          <w:szCs w:val="14"/>
          <w:i w:val="1"/>
          <w:iCs w:val="1"/>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 of our nonperforming assets and charge-offs; the transition away from USD LIBOR and uncertainties regarding potential alternative reference rates, including SOFR;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and retain deposits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such as the COVID-19 pandemic, and their effects on the economic and business environments in which we operate, including on our credit quality, business operations and employees, as well as the impact on general economic and financial market conditions; cybersecurity and fraud threats and the cost of defending against them, including the costs of compliance with potential legislation to combat cybersecurity at a state, national, or global level; our ability to recruit and retain key executives, board members and other employees, and changes in employment laws and regulations; unanticipated regulatory or legal proceedings; and our ability to manage the risks involved in the foregoing.</w:t>
      </w:r>
    </w:p>
    <w:p>
      <w:pPr>
        <w:spacing w:after="0" w:line="264" w:lineRule="exact"/>
        <w:rPr>
          <w:sz w:val="20"/>
          <w:szCs w:val="20"/>
          <w:color w:val="auto"/>
        </w:rPr>
      </w:pPr>
    </w:p>
    <w:p>
      <w:pPr>
        <w:ind w:left="80" w:right="200" w:firstLine="432"/>
        <w:spacing w:after="0" w:line="259" w:lineRule="auto"/>
        <w:rPr>
          <w:sz w:val="20"/>
          <w:szCs w:val="20"/>
          <w:color w:val="auto"/>
        </w:rPr>
      </w:pPr>
      <w:r>
        <w:rPr>
          <w:rFonts w:ascii="Arial" w:cs="Arial" w:eastAsia="Arial" w:hAnsi="Arial"/>
          <w:sz w:val="16"/>
          <w:szCs w:val="16"/>
          <w:i w:val="1"/>
          <w:iCs w:val="1"/>
          <w:color w:val="auto"/>
        </w:rPr>
        <w:t>Additional factors that could cause actual results to differ materially from those expressed in the forward-looking statements are discussed in the Company's 2022 Annual Report on Form 10-K filed with the SEC and available at the SEC’s Internet site (http://www.sec.gov).</w:t>
      </w:r>
    </w:p>
    <w:p>
      <w:pPr>
        <w:spacing w:after="0" w:line="119" w:lineRule="exact"/>
        <w:rPr>
          <w:sz w:val="20"/>
          <w:szCs w:val="20"/>
          <w:color w:val="auto"/>
        </w:rPr>
      </w:pPr>
    </w:p>
    <w:p>
      <w:pPr>
        <w:ind w:left="80" w:right="80" w:firstLine="432"/>
        <w:spacing w:after="0" w:line="243" w:lineRule="auto"/>
        <w:rPr>
          <w:sz w:val="20"/>
          <w:szCs w:val="20"/>
          <w:color w:val="auto"/>
        </w:rPr>
      </w:pPr>
      <w:r>
        <w:rPr>
          <w:rFonts w:ascii="Arial" w:cs="Arial" w:eastAsia="Arial" w:hAnsi="Arial"/>
          <w:sz w:val="16"/>
          <w:szCs w:val="16"/>
          <w:i w:val="1"/>
          <w:iCs w:val="1"/>
          <w:color w:val="auto"/>
        </w:rPr>
        <w:t>The Company does not undertake, and specifically disclaims any obligation, to update any forward -looking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50165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782" w:right="680"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ITEM 1. CONDENSED CONSOLIDATED FINANCIAL STATEMENTS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CVB FINANCIAL CORP.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CONDENSED CONSOLIDATED BALANCE SHEETS</w:t>
      </w:r>
    </w:p>
    <w:p>
      <w:pPr>
        <w:jc w:val="center"/>
        <w:ind w:right="-99"/>
        <w:spacing w:after="0"/>
        <w:rPr>
          <w:sz w:val="20"/>
          <w:szCs w:val="20"/>
          <w:color w:val="auto"/>
        </w:rPr>
      </w:pPr>
      <w:r>
        <w:rPr>
          <w:rFonts w:ascii="Arial" w:cs="Arial" w:eastAsia="Arial" w:hAnsi="Arial"/>
          <w:sz w:val="14"/>
          <w:szCs w:val="14"/>
          <w:i w:val="1"/>
          <w:iCs w:val="1"/>
          <w:color w:val="auto"/>
        </w:rPr>
        <w:t>(Dollars in thousands, except share amounts)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(Unaudited)</w:t>
      </w: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7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8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204"/>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Cash and due from banks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162,668</w:t>
            </w:r>
          </w:p>
        </w:tc>
        <w:tc>
          <w:tcPr>
            <w:tcW w:w="10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158,236</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 Federal Reserve</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64,866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45,225</w:t>
            </w: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42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227,534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203,461</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 depository institutions</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11,944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9,553</w:t>
            </w:r>
          </w:p>
        </w:tc>
        <w:tc>
          <w:tcPr>
            <w:tcW w:w="80" w:type="dxa"/>
            <w:vAlign w:val="bottom"/>
            <w:shd w:val="clear" w:color="auto" w:fill="CFF0FC"/>
          </w:tcPr>
          <w:p>
            <w:pPr>
              <w:spacing w:after="0"/>
              <w:rPr>
                <w:sz w:val="17"/>
                <w:szCs w:val="17"/>
                <w:color w:val="auto"/>
              </w:rPr>
            </w:pPr>
          </w:p>
        </w:tc>
      </w:tr>
      <w:tr>
        <w:trPr>
          <w:trHeight w:val="185"/>
        </w:trPr>
        <w:tc>
          <w:tcPr>
            <w:tcW w:w="7260" w:type="dxa"/>
            <w:vAlign w:val="bottom"/>
          </w:tcPr>
          <w:p>
            <w:pPr>
              <w:ind w:left="180"/>
              <w:spacing w:after="0"/>
              <w:rPr>
                <w:sz w:val="20"/>
                <w:szCs w:val="20"/>
                <w:color w:val="auto"/>
              </w:rPr>
            </w:pPr>
            <w:r>
              <w:rPr>
                <w:rFonts w:ascii="Arial" w:cs="Arial" w:eastAsia="Arial" w:hAnsi="Arial"/>
                <w:sz w:val="16"/>
                <w:szCs w:val="16"/>
                <w:color w:val="auto"/>
              </w:rPr>
              <w:t>Investment securities available-for-sale, at fair value (with amortized cost of</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2"/>
        </w:trPr>
        <w:tc>
          <w:tcPr>
            <w:tcW w:w="7260" w:type="dxa"/>
            <w:vAlign w:val="bottom"/>
          </w:tcPr>
          <w:p>
            <w:pPr>
              <w:ind w:left="260"/>
              <w:spacing w:after="0"/>
              <w:rPr>
                <w:sz w:val="20"/>
                <w:szCs w:val="20"/>
                <w:color w:val="auto"/>
              </w:rPr>
            </w:pPr>
            <w:r>
              <w:rPr>
                <w:rFonts w:ascii="Arial" w:cs="Arial" w:eastAsia="Arial" w:hAnsi="Arial"/>
                <w:sz w:val="16"/>
                <w:szCs w:val="16"/>
                <w:color w:val="auto"/>
              </w:rPr>
              <w:t>$3,664,184 at March 31, 2023, and $3,755,297 at December 31, 2022)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3,204,524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3,255,211</w:t>
            </w:r>
          </w:p>
        </w:tc>
        <w:tc>
          <w:tcPr>
            <w:tcW w:w="80" w:type="dxa"/>
            <w:vAlign w:val="bottom"/>
          </w:tcPr>
          <w:p>
            <w:pPr>
              <w:spacing w:after="0"/>
              <w:rPr>
                <w:sz w:val="19"/>
                <w:szCs w:val="19"/>
                <w:color w:val="auto"/>
              </w:rPr>
            </w:pPr>
          </w:p>
        </w:tc>
      </w:tr>
      <w:tr>
        <w:trPr>
          <w:trHeight w:val="186"/>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 held-to-maturity (with fair value of $2,168,569 at March 31, 2023, and</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9"/>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$2,155,587 at December 31, 2022)</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2,535,979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2,554,301</w:t>
            </w: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420"/>
              <w:spacing w:after="0"/>
              <w:rPr>
                <w:sz w:val="20"/>
                <w:szCs w:val="20"/>
                <w:color w:val="auto"/>
              </w:rPr>
            </w:pPr>
            <w:r>
              <w:rPr>
                <w:rFonts w:ascii="Arial" w:cs="Arial" w:eastAsia="Arial" w:hAnsi="Arial"/>
                <w:sz w:val="16"/>
                <w:szCs w:val="16"/>
                <w:color w:val="auto"/>
              </w:rPr>
              <w:t>Total investment securities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5,740,503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5,809,512</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in stock of Federal Home Loan Bank (FHLB)</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38,697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27,627</w:t>
            </w: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Loans and lease finance receivables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8,942,489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9,079,392</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Allowance for credit losses</w:t>
            </w: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(86,540 )</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(85,117 )</w:t>
            </w:r>
          </w:p>
        </w:tc>
      </w:tr>
      <w:tr>
        <w:trPr>
          <w:trHeight w:val="203"/>
        </w:trPr>
        <w:tc>
          <w:tcPr>
            <w:tcW w:w="7260" w:type="dxa"/>
            <w:vAlign w:val="bottom"/>
          </w:tcPr>
          <w:p>
            <w:pPr>
              <w:ind w:left="660"/>
              <w:spacing w:after="0"/>
              <w:rPr>
                <w:sz w:val="20"/>
                <w:szCs w:val="20"/>
                <w:color w:val="auto"/>
              </w:rPr>
            </w:pPr>
            <w:r>
              <w:rPr>
                <w:rFonts w:ascii="Arial" w:cs="Arial" w:eastAsia="Arial" w:hAnsi="Arial"/>
                <w:sz w:val="16"/>
                <w:szCs w:val="16"/>
                <w:color w:val="auto"/>
              </w:rPr>
              <w:t>Net loans and lease finance receivables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8,855,949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8,994,275</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Premises and equipment, net</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45,310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46,698</w:t>
            </w: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Bank owned life insurance (BOLI)</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256,717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255,528</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Accrued interest receivable</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44,186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46,692</w:t>
            </w: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Intangibles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21,742</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765,822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765,822</w:t>
            </w: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151,954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186,684</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115,402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108,946</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5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16,274,041</w:t>
            </w:r>
          </w:p>
        </w:tc>
        <w:tc>
          <w:tcPr>
            <w:tcW w:w="10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16,476,540</w:t>
            </w:r>
          </w:p>
        </w:tc>
        <w:tc>
          <w:tcPr>
            <w:tcW w:w="80" w:type="dxa"/>
            <w:vAlign w:val="bottom"/>
          </w:tcPr>
          <w:p>
            <w:pPr>
              <w:spacing w:after="0"/>
              <w:rPr>
                <w:sz w:val="17"/>
                <w:szCs w:val="17"/>
                <w:color w:val="auto"/>
              </w:rPr>
            </w:pPr>
          </w:p>
        </w:tc>
      </w:tr>
      <w:tr>
        <w:trPr>
          <w:trHeight w:val="20"/>
        </w:trPr>
        <w:tc>
          <w:tcPr>
            <w:tcW w:w="7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7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Deposits:</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420"/>
              <w:spacing w:after="0"/>
              <w:rPr>
                <w:sz w:val="20"/>
                <w:szCs w:val="20"/>
                <w:color w:val="auto"/>
              </w:rPr>
            </w:pPr>
            <w:r>
              <w:rPr>
                <w:rFonts w:ascii="Arial" w:cs="Arial" w:eastAsia="Arial" w:hAnsi="Arial"/>
                <w:sz w:val="16"/>
                <w:szCs w:val="16"/>
                <w:color w:val="auto"/>
              </w:rPr>
              <w:t>Noninterest-bearing</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7,844,329</w:t>
            </w:r>
          </w:p>
        </w:tc>
        <w:tc>
          <w:tcPr>
            <w:tcW w:w="10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8,164,364</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Interest-bearing</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4,427,541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4,671,881</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580"/>
              <w:spacing w:after="0"/>
              <w:rPr>
                <w:sz w:val="20"/>
                <w:szCs w:val="20"/>
                <w:color w:val="auto"/>
              </w:rPr>
            </w:pPr>
            <w:r>
              <w:rPr>
                <w:rFonts w:ascii="Arial" w:cs="Arial" w:eastAsia="Arial" w:hAnsi="Arial"/>
                <w:sz w:val="16"/>
                <w:szCs w:val="16"/>
                <w:b w:val="1"/>
                <w:bCs w:val="1"/>
                <w:color w:val="auto"/>
              </w:rPr>
              <w:t>Total deposits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12,271,870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12,836,245</w:t>
            </w:r>
          </w:p>
        </w:tc>
        <w:tc>
          <w:tcPr>
            <w:tcW w:w="80" w:type="dxa"/>
            <w:vAlign w:val="bottom"/>
          </w:tcPr>
          <w:p>
            <w:pPr>
              <w:spacing w:after="0"/>
              <w:rPr>
                <w:sz w:val="17"/>
                <w:szCs w:val="17"/>
                <w:color w:val="auto"/>
              </w:rPr>
            </w:pPr>
          </w:p>
        </w:tc>
      </w:tr>
      <w:tr>
        <w:trPr>
          <w:trHeight w:val="204"/>
        </w:trPr>
        <w:tc>
          <w:tcPr>
            <w:tcW w:w="7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Customer repurchase agreements</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490,235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565,431</w:t>
            </w: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260"/>
              <w:spacing w:after="0"/>
              <w:rPr>
                <w:sz w:val="20"/>
                <w:szCs w:val="20"/>
                <w:color w:val="auto"/>
              </w:rPr>
            </w:pPr>
            <w:r>
              <w:rPr>
                <w:rFonts w:ascii="Arial" w:cs="Arial" w:eastAsia="Arial" w:hAnsi="Arial"/>
                <w:sz w:val="16"/>
                <w:szCs w:val="16"/>
                <w:color w:val="auto"/>
              </w:rPr>
              <w:t>Other borrowings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1,405,000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995,000</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compensation</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22,873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22,092</w:t>
            </w: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26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94,294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109,255</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14,284,272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14,528,023</w:t>
            </w:r>
          </w:p>
        </w:tc>
        <w:tc>
          <w:tcPr>
            <w:tcW w:w="80" w:type="dxa"/>
            <w:vAlign w:val="bottom"/>
            <w:shd w:val="clear" w:color="auto" w:fill="CFF0FC"/>
          </w:tcPr>
          <w:p>
            <w:pPr>
              <w:spacing w:after="0"/>
              <w:rPr>
                <w:sz w:val="17"/>
                <w:szCs w:val="17"/>
                <w:color w:val="auto"/>
              </w:rPr>
            </w:pPr>
          </w:p>
        </w:tc>
      </w:tr>
      <w:tr>
        <w:trPr>
          <w:trHeight w:val="408"/>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85"/>
        </w:trPr>
        <w:tc>
          <w:tcPr>
            <w:tcW w:w="7260" w:type="dxa"/>
            <w:vAlign w:val="bottom"/>
          </w:tcPr>
          <w:p>
            <w:pPr>
              <w:ind w:left="260"/>
              <w:spacing w:after="0"/>
              <w:rPr>
                <w:sz w:val="20"/>
                <w:szCs w:val="20"/>
                <w:color w:val="auto"/>
              </w:rPr>
            </w:pPr>
            <w:r>
              <w:rPr>
                <w:rFonts w:ascii="Arial" w:cs="Arial" w:eastAsia="Arial" w:hAnsi="Arial"/>
                <w:sz w:val="16"/>
                <w:szCs w:val="16"/>
                <w:color w:val="auto"/>
              </w:rPr>
              <w:t>Common stock, authorized, 225,000,000 shares without par; issued and outstanding</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7260" w:type="dxa"/>
            <w:vAlign w:val="bottom"/>
          </w:tcPr>
          <w:p>
            <w:pPr>
              <w:ind w:left="260"/>
              <w:spacing w:after="0"/>
              <w:rPr>
                <w:sz w:val="20"/>
                <w:szCs w:val="20"/>
                <w:color w:val="auto"/>
              </w:rPr>
            </w:pPr>
            <w:r>
              <w:rPr>
                <w:rFonts w:ascii="Arial" w:cs="Arial" w:eastAsia="Arial" w:hAnsi="Arial"/>
                <w:sz w:val="16"/>
                <w:szCs w:val="16"/>
                <w:color w:val="auto"/>
              </w:rPr>
              <w:t>139,302,451 at March 31, 2023, and 139,818,703 at December 31, 2022</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1,281,786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1,300,466</w:t>
            </w:r>
          </w:p>
        </w:tc>
        <w:tc>
          <w:tcPr>
            <w:tcW w:w="80" w:type="dxa"/>
            <w:vAlign w:val="bottom"/>
          </w:tcPr>
          <w:p>
            <w:pPr>
              <w:spacing w:after="0"/>
              <w:rPr>
                <w:sz w:val="17"/>
                <w:szCs w:val="17"/>
                <w:color w:val="auto"/>
              </w:rPr>
            </w:pPr>
          </w:p>
        </w:tc>
      </w:tr>
      <w:tr>
        <w:trPr>
          <w:trHeight w:val="205"/>
        </w:trPr>
        <w:tc>
          <w:tcPr>
            <w:tcW w:w="7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1,034,110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1,002,847</w:t>
            </w:r>
          </w:p>
        </w:tc>
        <w:tc>
          <w:tcPr>
            <w:tcW w:w="80" w:type="dxa"/>
            <w:vAlign w:val="bottom"/>
            <w:shd w:val="clear" w:color="auto" w:fill="CFF0FC"/>
          </w:tcPr>
          <w:p>
            <w:pPr>
              <w:spacing w:after="0"/>
              <w:rPr>
                <w:sz w:val="17"/>
                <w:szCs w:val="17"/>
                <w:color w:val="auto"/>
              </w:rPr>
            </w:pPr>
          </w:p>
        </w:tc>
      </w:tr>
      <w:tr>
        <w:trPr>
          <w:trHeight w:val="203"/>
        </w:trPr>
        <w:tc>
          <w:tcPr>
            <w:tcW w:w="7260" w:type="dxa"/>
            <w:vAlign w:val="bottom"/>
          </w:tcPr>
          <w:p>
            <w:pPr>
              <w:ind w:left="260"/>
              <w:spacing w:after="0"/>
              <w:rPr>
                <w:sz w:val="20"/>
                <w:szCs w:val="20"/>
                <w:color w:val="auto"/>
              </w:rPr>
            </w:pPr>
            <w:r>
              <w:rPr>
                <w:rFonts w:ascii="Arial" w:cs="Arial" w:eastAsia="Arial" w:hAnsi="Arial"/>
                <w:sz w:val="16"/>
                <w:szCs w:val="16"/>
                <w:color w:val="auto"/>
              </w:rPr>
              <w:t>Accumulated other comprehensive (loss) income, net of tax</w:t>
            </w:r>
          </w:p>
        </w:tc>
        <w:tc>
          <w:tcPr>
            <w:tcW w:w="24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(326,127 )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(354,796 )</w:t>
            </w:r>
          </w:p>
        </w:tc>
      </w:tr>
      <w:tr>
        <w:trPr>
          <w:trHeight w:val="205"/>
        </w:trPr>
        <w:tc>
          <w:tcPr>
            <w:tcW w:w="726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1,989,769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1,948,517</w:t>
            </w:r>
          </w:p>
        </w:tc>
        <w:tc>
          <w:tcPr>
            <w:tcW w:w="80" w:type="dxa"/>
            <w:vAlign w:val="bottom"/>
            <w:shd w:val="clear" w:color="auto" w:fill="CFF0FC"/>
          </w:tcPr>
          <w:p>
            <w:pPr>
              <w:spacing w:after="0"/>
              <w:rPr>
                <w:sz w:val="17"/>
                <w:szCs w:val="17"/>
                <w:color w:val="auto"/>
              </w:rPr>
            </w:pPr>
          </w:p>
        </w:tc>
      </w:tr>
      <w:tr>
        <w:trPr>
          <w:trHeight w:val="204"/>
        </w:trPr>
        <w:tc>
          <w:tcPr>
            <w:tcW w:w="7260" w:type="dxa"/>
            <w:vAlign w:val="bottom"/>
          </w:tcPr>
          <w:p>
            <w:pPr>
              <w:ind w:left="82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16,274,041</w:t>
            </w:r>
          </w:p>
        </w:tc>
        <w:tc>
          <w:tcPr>
            <w:tcW w:w="10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16,476,540</w:t>
            </w:r>
          </w:p>
        </w:tc>
        <w:tc>
          <w:tcPr>
            <w:tcW w:w="80" w:type="dxa"/>
            <w:vAlign w:val="bottom"/>
          </w:tcPr>
          <w:p>
            <w:pPr>
              <w:spacing w:after="0"/>
              <w:rPr>
                <w:sz w:val="17"/>
                <w:szCs w:val="17"/>
                <w:color w:val="auto"/>
              </w:rPr>
            </w:pPr>
          </w:p>
        </w:tc>
      </w:tr>
      <w:tr>
        <w:trPr>
          <w:trHeight w:val="20"/>
        </w:trPr>
        <w:tc>
          <w:tcPr>
            <w:tcW w:w="7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w:t>
      </w:r>
    </w:p>
    <w:p>
      <w:pPr>
        <w:sectPr>
          <w:pgSz w:w="11900" w:h="16840" w:orient="portrait"/>
          <w:cols w:equalWidth="0" w:num="1">
            <w:col w:w="10640"/>
          </w:cols>
          <w:pgMar w:left="580" w:top="782" w:right="68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CVB FINANCIAL CORP.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EARNINGS AND COMPREHENSIVE INCOME</w:t>
      </w:r>
    </w:p>
    <w:p>
      <w:pPr>
        <w:jc w:val="center"/>
        <w:ind w:right="-19"/>
        <w:spacing w:after="0"/>
        <w:rPr>
          <w:sz w:val="20"/>
          <w:szCs w:val="20"/>
          <w:color w:val="auto"/>
        </w:rPr>
      </w:pPr>
      <w:r>
        <w:rPr>
          <w:rFonts w:ascii="Arial" w:cs="Arial" w:eastAsia="Arial" w:hAnsi="Arial"/>
          <w:sz w:val="14"/>
          <w:szCs w:val="14"/>
          <w:i w:val="1"/>
          <w:iCs w:val="1"/>
          <w:color w:val="auto"/>
        </w:rPr>
        <w:t>(Dollars 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Three Months Ended</w:t>
            </w:r>
          </w:p>
        </w:tc>
      </w:tr>
      <w:tr>
        <w:trPr>
          <w:trHeight w:val="204"/>
        </w:trPr>
        <w:tc>
          <w:tcPr>
            <w:tcW w:w="7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March 31,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4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204"/>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860" w:type="dxa"/>
            <w:vAlign w:val="bottom"/>
          </w:tcPr>
          <w:p>
            <w:pPr>
              <w:ind w:left="180"/>
              <w:spacing w:after="0"/>
              <w:rPr>
                <w:sz w:val="20"/>
                <w:szCs w:val="20"/>
                <w:color w:val="auto"/>
              </w:rPr>
            </w:pPr>
            <w:r>
              <w:rPr>
                <w:rFonts w:ascii="Arial" w:cs="Arial" w:eastAsia="Arial" w:hAnsi="Arial"/>
                <w:sz w:val="16"/>
                <w:szCs w:val="16"/>
                <w:b w:val="1"/>
                <w:bCs w:val="1"/>
                <w:color w:val="auto"/>
              </w:rPr>
              <w:t>Loans and leases, including fees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108,394</w:t>
            </w:r>
          </w:p>
        </w:tc>
        <w:tc>
          <w:tcPr>
            <w:tcW w:w="12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89,461</w:t>
            </w:r>
          </w:p>
        </w:tc>
        <w:tc>
          <w:tcPr>
            <w:tcW w:w="80" w:type="dxa"/>
            <w:vAlign w:val="bottom"/>
          </w:tcPr>
          <w:p>
            <w:pPr>
              <w:spacing w:after="0"/>
              <w:rPr>
                <w:sz w:val="17"/>
                <w:szCs w:val="17"/>
                <w:color w:val="auto"/>
              </w:rPr>
            </w:pPr>
          </w:p>
        </w:tc>
      </w:tr>
      <w:tr>
        <w:trPr>
          <w:trHeight w:val="204"/>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340"/>
              <w:spacing w:after="0"/>
              <w:rPr>
                <w:sz w:val="20"/>
                <w:szCs w:val="20"/>
                <w:color w:val="auto"/>
              </w:rPr>
            </w:pPr>
            <w:r>
              <w:rPr>
                <w:rFonts w:ascii="Arial" w:cs="Arial" w:eastAsia="Arial" w:hAnsi="Arial"/>
                <w:sz w:val="16"/>
                <w:szCs w:val="16"/>
                <w:color w:val="auto"/>
              </w:rPr>
              <w:t>Investment securities available-for-sale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12,832</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Investment securities held-to-maturity</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13,956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10,663</w:t>
            </w:r>
          </w:p>
        </w:tc>
        <w:tc>
          <w:tcPr>
            <w:tcW w:w="80" w:type="dxa"/>
            <w:vAlign w:val="bottom"/>
            <w:shd w:val="clear" w:color="auto" w:fill="CFF0FC"/>
          </w:tcPr>
          <w:p>
            <w:pPr>
              <w:spacing w:after="0"/>
              <w:rPr>
                <w:sz w:val="17"/>
                <w:szCs w:val="17"/>
                <w:color w:val="auto"/>
              </w:rPr>
            </w:pPr>
          </w:p>
        </w:tc>
      </w:tr>
      <w:tr>
        <w:trPr>
          <w:trHeight w:val="204"/>
        </w:trPr>
        <w:tc>
          <w:tcPr>
            <w:tcW w:w="7860" w:type="dxa"/>
            <w:vAlign w:val="bottom"/>
          </w:tcPr>
          <w:p>
            <w:pPr>
              <w:ind w:left="500"/>
              <w:spacing w:after="0"/>
              <w:rPr>
                <w:sz w:val="20"/>
                <w:szCs w:val="20"/>
                <w:color w:val="auto"/>
              </w:rPr>
            </w:pPr>
            <w:r>
              <w:rPr>
                <w:rFonts w:ascii="Arial" w:cs="Arial" w:eastAsia="Arial" w:hAnsi="Arial"/>
                <w:sz w:val="16"/>
                <w:szCs w:val="16"/>
                <w:b w:val="1"/>
                <w:bCs w:val="1"/>
                <w:color w:val="auto"/>
              </w:rPr>
              <w:t>Total investment income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23,495</w:t>
            </w:r>
          </w:p>
        </w:tc>
        <w:tc>
          <w:tcPr>
            <w:tcW w:w="80" w:type="dxa"/>
            <w:vAlign w:val="bottom"/>
          </w:tcPr>
          <w:p>
            <w:pPr>
              <w:spacing w:after="0"/>
              <w:rPr>
                <w:sz w:val="17"/>
                <w:szCs w:val="17"/>
                <w:color w:val="auto"/>
              </w:rPr>
            </w:pPr>
          </w:p>
        </w:tc>
      </w:tr>
      <w:tr>
        <w:trPr>
          <w:trHeight w:val="204"/>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Dividends from FHLB stock</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Interest-earning deposits with other institutions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773</w:t>
            </w:r>
          </w:p>
        </w:tc>
        <w:tc>
          <w:tcPr>
            <w:tcW w:w="80" w:type="dxa"/>
            <w:vAlign w:val="bottom"/>
          </w:tcPr>
          <w:p>
            <w:pPr>
              <w:spacing w:after="0"/>
              <w:rPr>
                <w:sz w:val="17"/>
                <w:szCs w:val="17"/>
                <w:color w:val="auto"/>
              </w:rPr>
            </w:pPr>
          </w:p>
        </w:tc>
      </w:tr>
      <w:tr>
        <w:trPr>
          <w:trHeight w:val="241"/>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b w:val="1"/>
                <w:bCs w:val="1"/>
                <w:color w:val="auto"/>
              </w:rPr>
              <w:t>Total interest income</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142,786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114,100</w:t>
            </w:r>
          </w:p>
        </w:tc>
        <w:tc>
          <w:tcPr>
            <w:tcW w:w="80" w:type="dxa"/>
            <w:vAlign w:val="bottom"/>
            <w:shd w:val="clear" w:color="auto" w:fill="CFF0FC"/>
          </w:tcPr>
          <w:p>
            <w:pPr>
              <w:spacing w:after="0"/>
              <w:rPr>
                <w:sz w:val="20"/>
                <w:szCs w:val="20"/>
                <w:color w:val="auto"/>
              </w:rPr>
            </w:pPr>
          </w:p>
        </w:tc>
      </w:tr>
      <w:tr>
        <w:trPr>
          <w:trHeight w:val="203"/>
        </w:trPr>
        <w:tc>
          <w:tcPr>
            <w:tcW w:w="7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Deposits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w:t>
            </w: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Borrowings and customer repurchase agreements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b w:val="1"/>
                <w:bCs w:val="1"/>
                <w:color w:val="auto"/>
              </w:rPr>
              <w:t>Total interest expense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17,058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w:t>
            </w: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Net interest income before provision for credit losses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125,728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112,840</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credit losses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80" w:type="dxa"/>
            <w:vAlign w:val="bottom"/>
            <w:shd w:val="clear" w:color="auto" w:fill="CFF0FC"/>
          </w:tcPr>
          <w:p>
            <w:pPr>
              <w:spacing w:after="0"/>
              <w:rPr>
                <w:sz w:val="17"/>
                <w:szCs w:val="17"/>
                <w:color w:val="auto"/>
              </w:rPr>
            </w:pPr>
          </w:p>
        </w:tc>
      </w:tr>
      <w:tr>
        <w:trPr>
          <w:trHeight w:val="204"/>
        </w:trPr>
        <w:tc>
          <w:tcPr>
            <w:tcW w:w="7860" w:type="dxa"/>
            <w:vAlign w:val="bottom"/>
          </w:tcPr>
          <w:p>
            <w:pPr>
              <w:ind w:left="180"/>
              <w:spacing w:after="0"/>
              <w:rPr>
                <w:sz w:val="20"/>
                <w:szCs w:val="20"/>
                <w:color w:val="auto"/>
              </w:rPr>
            </w:pPr>
            <w:r>
              <w:rPr>
                <w:rFonts w:ascii="Arial" w:cs="Arial" w:eastAsia="Arial" w:hAnsi="Arial"/>
                <w:sz w:val="16"/>
                <w:szCs w:val="16"/>
                <w:b w:val="1"/>
                <w:bCs w:val="1"/>
                <w:color w:val="auto"/>
              </w:rPr>
              <w:t>Net interest income after provision for credit losses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124,228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110,340</w:t>
            </w:r>
          </w:p>
        </w:tc>
        <w:tc>
          <w:tcPr>
            <w:tcW w:w="80" w:type="dxa"/>
            <w:vAlign w:val="bottom"/>
          </w:tcPr>
          <w:p>
            <w:pPr>
              <w:spacing w:after="0"/>
              <w:rPr>
                <w:sz w:val="17"/>
                <w:szCs w:val="17"/>
                <w:color w:val="auto"/>
              </w:rPr>
            </w:pPr>
          </w:p>
        </w:tc>
      </w:tr>
      <w:tr>
        <w:trPr>
          <w:trHeight w:val="204"/>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income: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Service charges on deposit accounts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5,059</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Trust and investment services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2,822</w:t>
            </w: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Bankcard services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416</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BOLI income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1,349</w:t>
            </w: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1,618</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b w:val="1"/>
                <w:bCs w:val="1"/>
                <w:color w:val="auto"/>
              </w:rPr>
              <w:t>Total noninterest income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13,202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11,264</w:t>
            </w: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Salaries and employee benefits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35,247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32,656</w:t>
            </w: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Occupancy and equipment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5,571</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Professional services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2,045</w:t>
            </w: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Computer software expense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3,795</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Marketing and promotion</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1,458</w:t>
            </w: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Provision for unfunded loan commitments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1,998</w:t>
            </w: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Acquisition related expenses</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5,638</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5,077</w:t>
            </w:r>
          </w:p>
        </w:tc>
        <w:tc>
          <w:tcPr>
            <w:tcW w:w="80" w:type="dxa"/>
            <w:vAlign w:val="bottom"/>
            <w:shd w:val="clear" w:color="auto" w:fill="CFF0FC"/>
          </w:tcPr>
          <w:p>
            <w:pPr>
              <w:spacing w:after="0"/>
              <w:rPr>
                <w:sz w:val="17"/>
                <w:szCs w:val="17"/>
                <w:color w:val="auto"/>
              </w:rPr>
            </w:pPr>
          </w:p>
        </w:tc>
      </w:tr>
      <w:tr>
        <w:trPr>
          <w:trHeight w:val="204"/>
        </w:trPr>
        <w:tc>
          <w:tcPr>
            <w:tcW w:w="7860" w:type="dxa"/>
            <w:vAlign w:val="bottom"/>
          </w:tcPr>
          <w:p>
            <w:pPr>
              <w:ind w:left="500"/>
              <w:spacing w:after="0"/>
              <w:rPr>
                <w:sz w:val="20"/>
                <w:szCs w:val="20"/>
                <w:color w:val="auto"/>
              </w:rPr>
            </w:pPr>
            <w:r>
              <w:rPr>
                <w:rFonts w:ascii="Arial" w:cs="Arial" w:eastAsia="Arial" w:hAnsi="Arial"/>
                <w:sz w:val="16"/>
                <w:szCs w:val="16"/>
                <w:b w:val="1"/>
                <w:bCs w:val="1"/>
                <w:color w:val="auto"/>
              </w:rPr>
              <w:t>Total noninterest expense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54,881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58,238</w:t>
            </w:r>
          </w:p>
        </w:tc>
        <w:tc>
          <w:tcPr>
            <w:tcW w:w="80" w:type="dxa"/>
            <w:vAlign w:val="bottom"/>
          </w:tcPr>
          <w:p>
            <w:pPr>
              <w:spacing w:after="0"/>
              <w:rPr>
                <w:sz w:val="17"/>
                <w:szCs w:val="17"/>
                <w:color w:val="auto"/>
              </w:rPr>
            </w:pPr>
          </w:p>
        </w:tc>
      </w:tr>
      <w:tr>
        <w:trPr>
          <w:trHeight w:val="204"/>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before income taxes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82,549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63,366</w:t>
            </w:r>
          </w:p>
        </w:tc>
        <w:tc>
          <w:tcPr>
            <w:tcW w:w="80" w:type="dxa"/>
            <w:vAlign w:val="bottom"/>
            <w:shd w:val="clear" w:color="auto" w:fill="CFF0FC"/>
          </w:tcPr>
          <w:p>
            <w:pPr>
              <w:spacing w:after="0"/>
              <w:rPr>
                <w:sz w:val="17"/>
                <w:szCs w:val="17"/>
                <w:color w:val="auto"/>
              </w:rPr>
            </w:pPr>
          </w:p>
        </w:tc>
      </w:tr>
      <w:tr>
        <w:trPr>
          <w:trHeight w:val="203"/>
        </w:trPr>
        <w:tc>
          <w:tcPr>
            <w:tcW w:w="786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17,806</w:t>
            </w:r>
          </w:p>
        </w:tc>
        <w:tc>
          <w:tcPr>
            <w:tcW w:w="80" w:type="dxa"/>
            <w:vAlign w:val="bottom"/>
          </w:tcPr>
          <w:p>
            <w:pPr>
              <w:spacing w:after="0"/>
              <w:rPr>
                <w:sz w:val="17"/>
                <w:szCs w:val="17"/>
                <w:color w:val="auto"/>
              </w:rPr>
            </w:pPr>
          </w:p>
        </w:tc>
      </w:tr>
      <w:tr>
        <w:trPr>
          <w:trHeight w:val="245"/>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Net earnings</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59,270</w:t>
            </w:r>
          </w:p>
        </w:tc>
        <w:tc>
          <w:tcPr>
            <w:tcW w:w="12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45,560</w:t>
            </w:r>
          </w:p>
        </w:tc>
        <w:tc>
          <w:tcPr>
            <w:tcW w:w="80" w:type="dxa"/>
            <w:vAlign w:val="bottom"/>
            <w:shd w:val="clear" w:color="auto" w:fill="CFF0FC"/>
          </w:tcPr>
          <w:p>
            <w:pPr>
              <w:spacing w:after="0"/>
              <w:rPr>
                <w:sz w:val="21"/>
                <w:szCs w:val="21"/>
                <w:color w:val="auto"/>
              </w:rPr>
            </w:pPr>
          </w:p>
        </w:tc>
      </w:tr>
      <w:tr>
        <w:trPr>
          <w:trHeight w:val="383"/>
        </w:trPr>
        <w:tc>
          <w:tcPr>
            <w:tcW w:w="78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205"/>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Unrealized gain (loss) on securities arising during the period, before tax</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40,702</w:t>
            </w: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(202,018 )</w:t>
            </w:r>
          </w:p>
        </w:tc>
      </w:tr>
      <w:tr>
        <w:trPr>
          <w:trHeight w:val="185"/>
        </w:trPr>
        <w:tc>
          <w:tcPr>
            <w:tcW w:w="7860" w:type="dxa"/>
            <w:vAlign w:val="bottom"/>
          </w:tcPr>
          <w:p>
            <w:pPr>
              <w:ind w:left="340"/>
              <w:spacing w:after="0"/>
              <w:rPr>
                <w:sz w:val="20"/>
                <w:szCs w:val="20"/>
                <w:color w:val="auto"/>
              </w:rPr>
            </w:pPr>
            <w:r>
              <w:rPr>
                <w:rFonts w:ascii="Arial" w:cs="Arial" w:eastAsia="Arial" w:hAnsi="Arial"/>
                <w:sz w:val="16"/>
                <w:szCs w:val="16"/>
                <w:color w:val="auto"/>
              </w:rPr>
              <w:t>Less: Income tax (expense) benefit related to items of other</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7860" w:type="dxa"/>
            <w:vAlign w:val="bottom"/>
          </w:tcPr>
          <w:p>
            <w:pPr>
              <w:ind w:left="460"/>
              <w:spacing w:after="0"/>
              <w:rPr>
                <w:sz w:val="20"/>
                <w:szCs w:val="20"/>
                <w:color w:val="auto"/>
              </w:rPr>
            </w:pPr>
            <w:r>
              <w:rPr>
                <w:rFonts w:ascii="Arial" w:cs="Arial" w:eastAsia="Arial" w:hAnsi="Arial"/>
                <w:sz w:val="16"/>
                <w:szCs w:val="16"/>
                <w:color w:val="auto"/>
              </w:rPr>
              <w:t>comprehensive income</w:t>
            </w: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(12,033 )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59,724</w:t>
            </w:r>
          </w:p>
        </w:tc>
        <w:tc>
          <w:tcPr>
            <w:tcW w:w="80" w:type="dxa"/>
            <w:vAlign w:val="bottom"/>
          </w:tcPr>
          <w:p>
            <w:pPr>
              <w:spacing w:after="0"/>
              <w:rPr>
                <w:sz w:val="17"/>
                <w:szCs w:val="17"/>
                <w:color w:val="auto"/>
              </w:rPr>
            </w:pPr>
          </w:p>
        </w:tc>
      </w:tr>
      <w:tr>
        <w:trPr>
          <w:trHeight w:val="205"/>
        </w:trPr>
        <w:tc>
          <w:tcPr>
            <w:tcW w:w="7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28,669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(142,294 )</w:t>
            </w:r>
          </w:p>
        </w:tc>
      </w:tr>
      <w:tr>
        <w:trPr>
          <w:trHeight w:val="203"/>
        </w:trPr>
        <w:tc>
          <w:tcPr>
            <w:tcW w:w="786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87,939</w:t>
            </w:r>
          </w:p>
        </w:tc>
        <w:tc>
          <w:tcPr>
            <w:tcW w:w="12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(96,734 )</w:t>
            </w:r>
          </w:p>
        </w:tc>
      </w:tr>
      <w:tr>
        <w:trPr>
          <w:trHeight w:val="20"/>
        </w:trPr>
        <w:tc>
          <w:tcPr>
            <w:tcW w:w="7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7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7860" w:type="dxa"/>
            <w:vAlign w:val="bottom"/>
            <w:shd w:val="clear" w:color="auto" w:fill="CFF0FC"/>
          </w:tcPr>
          <w:p>
            <w:pPr>
              <w:ind w:left="60"/>
              <w:spacing w:after="0"/>
              <w:rPr>
                <w:sz w:val="20"/>
                <w:szCs w:val="20"/>
                <w:color w:val="auto"/>
              </w:rPr>
            </w:pPr>
            <w:r>
              <w:rPr>
                <w:rFonts w:ascii="Arial" w:cs="Arial" w:eastAsia="Arial" w:hAnsi="Arial"/>
                <w:sz w:val="16"/>
                <w:szCs w:val="16"/>
                <w:color w:val="auto"/>
              </w:rPr>
              <w:t>Basic earnings per common share</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0.31</w:t>
            </w:r>
          </w:p>
        </w:tc>
        <w:tc>
          <w:tcPr>
            <w:tcW w:w="80" w:type="dxa"/>
            <w:vAlign w:val="bottom"/>
            <w:shd w:val="clear" w:color="auto" w:fill="CFF0FC"/>
          </w:tcPr>
          <w:p>
            <w:pPr>
              <w:spacing w:after="0"/>
              <w:rPr>
                <w:sz w:val="17"/>
                <w:szCs w:val="17"/>
                <w:color w:val="auto"/>
              </w:rPr>
            </w:pPr>
          </w:p>
        </w:tc>
      </w:tr>
      <w:tr>
        <w:trPr>
          <w:trHeight w:val="204"/>
        </w:trPr>
        <w:tc>
          <w:tcPr>
            <w:tcW w:w="7860" w:type="dxa"/>
            <w:vAlign w:val="bottom"/>
          </w:tcPr>
          <w:p>
            <w:pPr>
              <w:ind w:left="60"/>
              <w:spacing w:after="0"/>
              <w:rPr>
                <w:sz w:val="20"/>
                <w:szCs w:val="20"/>
                <w:color w:val="auto"/>
              </w:rPr>
            </w:pPr>
            <w:r>
              <w:rPr>
                <w:rFonts w:ascii="Arial" w:cs="Arial" w:eastAsia="Arial" w:hAnsi="Arial"/>
                <w:sz w:val="16"/>
                <w:szCs w:val="16"/>
                <w:color w:val="auto"/>
              </w:rPr>
              <w:t>Diluted earnings per common share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0.31</w:t>
            </w:r>
          </w:p>
        </w:tc>
        <w:tc>
          <w:tcPr>
            <w:tcW w:w="80" w:type="dxa"/>
            <w:vAlign w:val="bottom"/>
          </w:tcPr>
          <w:p>
            <w:pPr>
              <w:spacing w:after="0"/>
              <w:rPr>
                <w:sz w:val="17"/>
                <w:szCs w:val="17"/>
                <w:color w:val="auto"/>
              </w:rPr>
            </w:pPr>
          </w:p>
        </w:tc>
      </w:tr>
    </w:tbl>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40" w:orient="portrait"/>
          <w:cols w:equalWidth="0" w:num="1">
            <w:col w:w="10560"/>
          </w:cols>
          <w:pgMar w:left="660" w:top="782" w:right="68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CVB FINANCIAL CORP.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(Dollars and shares 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0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Common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Outstanding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5"/>
                <w:szCs w:val="15"/>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Income (Loss)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3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January 1, 2023</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139,819</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1,300,466</w:t>
            </w: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34"/>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1,002,847</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(354,796 )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1,948,517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260"/>
              <w:spacing w:after="0"/>
              <w:rPr>
                <w:sz w:val="20"/>
                <w:szCs w:val="20"/>
                <w:color w:val="auto"/>
              </w:rPr>
            </w:pPr>
            <w:r>
              <w:rPr>
                <w:rFonts w:ascii="Arial" w:cs="Arial" w:eastAsia="Arial" w:hAnsi="Arial"/>
                <w:sz w:val="13"/>
                <w:szCs w:val="13"/>
                <w:color w:val="auto"/>
              </w:rPr>
              <w:t>Repurchase of common stock</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(918 )</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3"/>
                <w:szCs w:val="13"/>
                <w:color w:val="auto"/>
              </w:rPr>
              <w:t>(21,036 )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(21,036 )</w:t>
            </w:r>
          </w:p>
        </w:tc>
        <w:tc>
          <w:tcPr>
            <w:tcW w:w="0" w:type="dxa"/>
            <w:vAlign w:val="bottom"/>
          </w:tcPr>
          <w:p>
            <w:pPr>
              <w:spacing w:after="0"/>
              <w:rPr>
                <w:sz w:val="1"/>
                <w:szCs w:val="1"/>
                <w:color w:val="auto"/>
              </w:rPr>
            </w:pPr>
          </w:p>
        </w:tc>
      </w:tr>
      <w:tr>
        <w:trPr>
          <w:trHeight w:val="185"/>
        </w:trPr>
        <w:tc>
          <w:tcPr>
            <w:tcW w:w="33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300" w:type="dxa"/>
            <w:vAlign w:val="bottom"/>
          </w:tcPr>
          <w:p>
            <w:pPr>
              <w:ind w:left="260"/>
              <w:spacing w:after="0"/>
              <w:rPr>
                <w:sz w:val="20"/>
                <w:szCs w:val="20"/>
                <w:color w:val="auto"/>
              </w:rPr>
            </w:pPr>
            <w:r>
              <w:rPr>
                <w:rFonts w:ascii="Arial" w:cs="Arial" w:eastAsia="Arial" w:hAnsi="Arial"/>
                <w:sz w:val="13"/>
                <w:szCs w:val="13"/>
                <w:color w:val="auto"/>
              </w:rPr>
              <w:t>Shares issued pursuant to stock-based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360"/>
              <w:spacing w:after="0"/>
              <w:rPr>
                <w:sz w:val="20"/>
                <w:szCs w:val="20"/>
                <w:color w:val="auto"/>
              </w:rPr>
            </w:pPr>
            <w:r>
              <w:rPr>
                <w:rFonts w:ascii="Arial" w:cs="Arial" w:eastAsia="Arial" w:hAnsi="Arial"/>
                <w:sz w:val="13"/>
                <w:szCs w:val="13"/>
                <w:color w:val="auto"/>
              </w:rPr>
              <w:t>compensation plan</w:t>
            </w:r>
          </w:p>
        </w:tc>
        <w:tc>
          <w:tcPr>
            <w:tcW w:w="1080" w:type="dxa"/>
            <w:vAlign w:val="bottom"/>
          </w:tcPr>
          <w:p>
            <w:pPr>
              <w:jc w:val="right"/>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2,284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 declared on common stock</w:t>
            </w: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($0.20 per share)</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(28,007 )</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(28,007 )</w:t>
            </w:r>
          </w:p>
        </w:tc>
        <w:tc>
          <w:tcPr>
            <w:tcW w:w="0" w:type="dxa"/>
            <w:vAlign w:val="bottom"/>
          </w:tcPr>
          <w:p>
            <w:pPr>
              <w:spacing w:after="0"/>
              <w:rPr>
                <w:sz w:val="1"/>
                <w:szCs w:val="1"/>
                <w:color w:val="auto"/>
              </w:rPr>
            </w:pPr>
          </w:p>
        </w:tc>
      </w:tr>
      <w:tr>
        <w:trPr>
          <w:trHeight w:val="175"/>
        </w:trPr>
        <w:tc>
          <w:tcPr>
            <w:tcW w:w="3300" w:type="dxa"/>
            <w:vAlign w:val="bottom"/>
          </w:tcPr>
          <w:p>
            <w:pPr>
              <w:ind w:left="260"/>
              <w:spacing w:after="0"/>
              <w:rPr>
                <w:sz w:val="20"/>
                <w:szCs w:val="20"/>
                <w:color w:val="auto"/>
              </w:rPr>
            </w:pPr>
            <w:r>
              <w:rPr>
                <w:rFonts w:ascii="Arial" w:cs="Arial" w:eastAsia="Arial" w:hAnsi="Arial"/>
                <w:sz w:val="13"/>
                <w:szCs w:val="13"/>
                <w:color w:val="auto"/>
              </w:rPr>
              <w:t>Net earnings</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59,270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59,270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comprehensive income</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28,669</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28,669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Arial" w:cs="Arial" w:eastAsia="Arial" w:hAnsi="Arial"/>
                <w:sz w:val="13"/>
                <w:szCs w:val="13"/>
                <w:b w:val="1"/>
                <w:bCs w:val="1"/>
                <w:color w:val="auto"/>
              </w:rPr>
              <w:t>Balance, March 31, 2023</w:t>
            </w:r>
          </w:p>
        </w:tc>
        <w:tc>
          <w:tcPr>
            <w:tcW w:w="1080" w:type="dxa"/>
            <w:vAlign w:val="bottom"/>
          </w:tcPr>
          <w:p>
            <w:pPr>
              <w:jc w:val="right"/>
              <w:spacing w:after="0"/>
              <w:rPr>
                <w:sz w:val="20"/>
                <w:szCs w:val="20"/>
                <w:color w:val="auto"/>
              </w:rPr>
            </w:pPr>
            <w:r>
              <w:rPr>
                <w:rFonts w:ascii="Arial" w:cs="Arial" w:eastAsia="Arial" w:hAnsi="Arial"/>
                <w:sz w:val="13"/>
                <w:szCs w:val="13"/>
                <w:color w:val="auto"/>
              </w:rPr>
              <w:t>139,302</w:t>
            </w:r>
          </w:p>
        </w:tc>
        <w:tc>
          <w:tcPr>
            <w:tcW w:w="10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1,281,786</w:t>
            </w:r>
          </w:p>
        </w:tc>
        <w:tc>
          <w:tcPr>
            <w:tcW w:w="120" w:type="dxa"/>
            <w:vAlign w:val="bottom"/>
          </w:tcPr>
          <w:p>
            <w:pPr>
              <w:spacing w:after="0"/>
              <w:rPr>
                <w:sz w:val="15"/>
                <w:szCs w:val="15"/>
                <w:color w:val="auto"/>
              </w:rPr>
            </w:pPr>
          </w:p>
        </w:tc>
        <w:tc>
          <w:tcPr>
            <w:tcW w:w="540" w:type="dxa"/>
            <w:vAlign w:val="bottom"/>
            <w:gridSpan w:val="2"/>
          </w:tcPr>
          <w:p>
            <w:pPr>
              <w:jc w:val="right"/>
              <w:ind w:right="2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1,034,110</w:t>
            </w:r>
          </w:p>
        </w:tc>
        <w:tc>
          <w:tcPr>
            <w:tcW w:w="80" w:type="dxa"/>
            <w:vAlign w:val="bottom"/>
          </w:tcPr>
          <w:p>
            <w:pPr>
              <w:spacing w:after="0"/>
              <w:rPr>
                <w:sz w:val="15"/>
                <w:szCs w:val="15"/>
                <w:color w:val="auto"/>
              </w:rPr>
            </w:pPr>
          </w:p>
        </w:tc>
        <w:tc>
          <w:tcPr>
            <w:tcW w:w="2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(326,127 )</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1,989,769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220" w:type="dxa"/>
            <w:vAlign w:val="bottom"/>
            <w:gridSpan w:val="2"/>
          </w:tcPr>
          <w:p>
            <w:pPr>
              <w:spacing w:after="0"/>
              <w:rPr>
                <w:sz w:val="13"/>
                <w:szCs w:val="13"/>
                <w:color w:val="auto"/>
              </w:rPr>
            </w:pPr>
          </w:p>
        </w:tc>
        <w:tc>
          <w:tcPr>
            <w:tcW w:w="4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January 1, 2022</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135,526</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1,209,903</w:t>
            </w: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34"/>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875,568</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(3,968 )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2,081,503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300" w:type="dxa"/>
            <w:vAlign w:val="bottom"/>
          </w:tcPr>
          <w:p>
            <w:pPr>
              <w:ind w:left="260"/>
              <w:spacing w:after="0"/>
              <w:rPr>
                <w:sz w:val="20"/>
                <w:szCs w:val="20"/>
                <w:color w:val="auto"/>
              </w:rPr>
            </w:pPr>
            <w:r>
              <w:rPr>
                <w:rFonts w:ascii="Arial" w:cs="Arial" w:eastAsia="Arial" w:hAnsi="Arial"/>
                <w:sz w:val="13"/>
                <w:szCs w:val="13"/>
                <w:color w:val="auto"/>
              </w:rPr>
              <w:t>Issuance of common stock for acquisition</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00" w:type="dxa"/>
            <w:vAlign w:val="bottom"/>
          </w:tcPr>
          <w:p>
            <w:pPr>
              <w:ind w:left="360"/>
              <w:spacing w:after="0"/>
              <w:rPr>
                <w:sz w:val="20"/>
                <w:szCs w:val="20"/>
                <w:color w:val="auto"/>
              </w:rPr>
            </w:pPr>
            <w:r>
              <w:rPr>
                <w:rFonts w:ascii="Arial" w:cs="Arial" w:eastAsia="Arial" w:hAnsi="Arial"/>
                <w:sz w:val="13"/>
                <w:szCs w:val="13"/>
                <w:color w:val="auto"/>
              </w:rPr>
              <w:t>of Suncrest Bank</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8,617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197,069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197,069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33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3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common stock</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(584 )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(13,643 )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(13,643 )</w:t>
            </w:r>
          </w:p>
        </w:tc>
        <w:tc>
          <w:tcPr>
            <w:tcW w:w="0" w:type="dxa"/>
            <w:vAlign w:val="bottom"/>
          </w:tcPr>
          <w:p>
            <w:pPr>
              <w:spacing w:after="0"/>
              <w:rPr>
                <w:sz w:val="1"/>
                <w:szCs w:val="1"/>
                <w:color w:val="auto"/>
              </w:rPr>
            </w:pPr>
          </w:p>
        </w:tc>
      </w:tr>
      <w:tr>
        <w:trPr>
          <w:trHeight w:val="175"/>
        </w:trPr>
        <w:tc>
          <w:tcPr>
            <w:tcW w:w="3300" w:type="dxa"/>
            <w:vAlign w:val="bottom"/>
          </w:tcPr>
          <w:p>
            <w:pPr>
              <w:ind w:left="260"/>
              <w:spacing w:after="0"/>
              <w:rPr>
                <w:sz w:val="20"/>
                <w:szCs w:val="20"/>
                <w:color w:val="auto"/>
              </w:rPr>
            </w:pPr>
            <w:r>
              <w:rPr>
                <w:rFonts w:ascii="Arial" w:cs="Arial" w:eastAsia="Arial" w:hAnsi="Arial"/>
                <w:sz w:val="13"/>
                <w:szCs w:val="13"/>
                <w:color w:val="auto"/>
              </w:rPr>
              <w:t>Repurchase of common stock, ASR Plan</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(2,544 )</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3"/>
                <w:szCs w:val="13"/>
                <w:color w:val="auto"/>
              </w:rPr>
              <w:t>(56,000 )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(56,000 )</w:t>
            </w:r>
          </w:p>
        </w:tc>
        <w:tc>
          <w:tcPr>
            <w:tcW w:w="0" w:type="dxa"/>
            <w:vAlign w:val="bottom"/>
          </w:tcPr>
          <w:p>
            <w:pPr>
              <w:spacing w:after="0"/>
              <w:rPr>
                <w:sz w:val="1"/>
                <w:szCs w:val="1"/>
                <w:color w:val="auto"/>
              </w:rPr>
            </w:pPr>
          </w:p>
        </w:tc>
      </w:tr>
      <w:tr>
        <w:trPr>
          <w:trHeight w:val="185"/>
        </w:trPr>
        <w:tc>
          <w:tcPr>
            <w:tcW w:w="33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ASR Contract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(14,000 )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(14,000 )</w:t>
            </w:r>
          </w:p>
        </w:tc>
        <w:tc>
          <w:tcPr>
            <w:tcW w:w="0" w:type="dxa"/>
            <w:vAlign w:val="bottom"/>
          </w:tcPr>
          <w:p>
            <w:pPr>
              <w:spacing w:after="0"/>
              <w:rPr>
                <w:sz w:val="1"/>
                <w:szCs w:val="1"/>
                <w:color w:val="auto"/>
              </w:rPr>
            </w:pPr>
          </w:p>
        </w:tc>
      </w:tr>
      <w:tr>
        <w:trPr>
          <w:trHeight w:val="175"/>
        </w:trPr>
        <w:tc>
          <w:tcPr>
            <w:tcW w:w="3300" w:type="dxa"/>
            <w:vAlign w:val="bottom"/>
          </w:tcPr>
          <w:p>
            <w:pPr>
              <w:ind w:left="260"/>
              <w:spacing w:after="0"/>
              <w:rPr>
                <w:sz w:val="20"/>
                <w:szCs w:val="20"/>
                <w:color w:val="auto"/>
              </w:rPr>
            </w:pPr>
            <w:r>
              <w:rPr>
                <w:rFonts w:ascii="Arial" w:cs="Arial" w:eastAsia="Arial" w:hAnsi="Arial"/>
                <w:sz w:val="13"/>
                <w:szCs w:val="13"/>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3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Shares issued pursuant to stock-based</w:t>
            </w: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compensation plan</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300" w:type="dxa"/>
            <w:vAlign w:val="bottom"/>
          </w:tcPr>
          <w:p>
            <w:pPr>
              <w:ind w:left="260"/>
              <w:spacing w:after="0"/>
              <w:rPr>
                <w:sz w:val="20"/>
                <w:szCs w:val="20"/>
                <w:color w:val="auto"/>
              </w:rPr>
            </w:pPr>
            <w:r>
              <w:rPr>
                <w:rFonts w:ascii="Arial" w:cs="Arial" w:eastAsia="Arial" w:hAnsi="Arial"/>
                <w:sz w:val="13"/>
                <w:szCs w:val="13"/>
                <w:color w:val="auto"/>
              </w:rPr>
              <w:t>Cash dividends declared on common stock</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360"/>
              <w:spacing w:after="0"/>
              <w:rPr>
                <w:sz w:val="20"/>
                <w:szCs w:val="20"/>
                <w:color w:val="auto"/>
              </w:rPr>
            </w:pPr>
            <w:r>
              <w:rPr>
                <w:rFonts w:ascii="Arial" w:cs="Arial" w:eastAsia="Arial" w:hAnsi="Arial"/>
                <w:sz w:val="13"/>
                <w:szCs w:val="13"/>
                <w:color w:val="auto"/>
              </w:rPr>
              <w:t>($0.18 per share)</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(25,467 )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(25,467 )</w:t>
            </w:r>
          </w:p>
        </w:tc>
        <w:tc>
          <w:tcPr>
            <w:tcW w:w="0" w:type="dxa"/>
            <w:vAlign w:val="bottom"/>
          </w:tcPr>
          <w:p>
            <w:pPr>
              <w:spacing w:after="0"/>
              <w:rPr>
                <w:sz w:val="1"/>
                <w:szCs w:val="1"/>
                <w:color w:val="auto"/>
              </w:rPr>
            </w:pPr>
          </w:p>
        </w:tc>
      </w:tr>
      <w:tr>
        <w:trPr>
          <w:trHeight w:val="185"/>
        </w:trPr>
        <w:tc>
          <w:tcPr>
            <w:tcW w:w="33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earnings</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45,560</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45,560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260"/>
              <w:spacing w:after="0"/>
              <w:rPr>
                <w:sz w:val="20"/>
                <w:szCs w:val="20"/>
                <w:color w:val="auto"/>
              </w:rPr>
            </w:pPr>
            <w:r>
              <w:rPr>
                <w:rFonts w:ascii="Arial" w:cs="Arial" w:eastAsia="Arial" w:hAnsi="Arial"/>
                <w:sz w:val="13"/>
                <w:szCs w:val="13"/>
                <w:color w:val="auto"/>
              </w:rPr>
              <w:t>Other comprehensive loss</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(142,294 )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(142,294 )</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March 31, 2022</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141,626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1,325,644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3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895,661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(146,262 )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2,075,043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40" w:orient="portrait"/>
          <w:cols w:equalWidth="0" w:num="1">
            <w:col w:w="10560"/>
          </w:cols>
          <w:pgMar w:left="660" w:top="782" w:right="68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CVB FINANCIAL CORP.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ind w:right="-19"/>
        <w:spacing w:after="0"/>
        <w:rPr>
          <w:sz w:val="20"/>
          <w:szCs w:val="20"/>
          <w:color w:val="auto"/>
        </w:rPr>
      </w:pPr>
      <w:r>
        <w:rPr>
          <w:rFonts w:ascii="Arial" w:cs="Arial" w:eastAsia="Arial" w:hAnsi="Arial"/>
          <w:sz w:val="14"/>
          <w:szCs w:val="14"/>
          <w:i w:val="1"/>
          <w:iCs w:val="1"/>
          <w:color w:val="auto"/>
        </w:rPr>
        <w:t>(Dollars 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4"/>
          </w:tcPr>
          <w:p>
            <w:pPr>
              <w:jc w:val="right"/>
              <w:ind w:right="42"/>
              <w:spacing w:after="0"/>
              <w:rPr>
                <w:sz w:val="20"/>
                <w:szCs w:val="20"/>
                <w:color w:val="auto"/>
              </w:rPr>
            </w:pPr>
            <w:r>
              <w:rPr>
                <w:rFonts w:ascii="Arial" w:cs="Arial" w:eastAsia="Arial" w:hAnsi="Arial"/>
                <w:sz w:val="16"/>
                <w:szCs w:val="16"/>
                <w:b w:val="1"/>
                <w:bCs w:val="1"/>
                <w:color w:val="auto"/>
              </w:rPr>
              <w:t>March 31,</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Interest and dividends received</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148,044</w:t>
            </w:r>
          </w:p>
        </w:tc>
        <w:tc>
          <w:tcPr>
            <w:tcW w:w="100" w:type="dxa"/>
            <w:vAlign w:val="bottom"/>
          </w:tcPr>
          <w:p>
            <w:pPr>
              <w:spacing w:after="0"/>
              <w:rPr>
                <w:sz w:val="17"/>
                <w:szCs w:val="17"/>
                <w:color w:val="auto"/>
              </w:rPr>
            </w:pPr>
          </w:p>
        </w:tc>
        <w:tc>
          <w:tcPr>
            <w:tcW w:w="50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114,010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Service charges and other fees received</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11,779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(17,239 )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paid to vendors, employees and others</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(72,445 )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(48,292 )</w:t>
            </w: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70,120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75,112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proceeds from redemption of FHLB stock, net</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(11,070 )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change in interest-earning balances from depository institutions</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(2,391)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29,140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repayment of investment securities available-for-sale</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89,465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145,783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Proceeds from maturity of investment securities available-for-sale</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 securities available-for-sale</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(608,045 )</w:t>
            </w: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Proceeds from repayment and maturity of investment securities held-to-maturity</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174,125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 securities held-to-maturity</w:t>
            </w:r>
          </w:p>
        </w:tc>
        <w:tc>
          <w:tcPr>
            <w:tcW w:w="26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(483,426 )</w:t>
            </w:r>
          </w:p>
        </w:tc>
        <w:tc>
          <w:tcPr>
            <w:tcW w:w="0" w:type="dxa"/>
            <w:vAlign w:val="bottom"/>
          </w:tcPr>
          <w:p>
            <w:pPr>
              <w:spacing w:after="0"/>
              <w:rPr>
                <w:sz w:val="1"/>
                <w:szCs w:val="1"/>
                <w:color w:val="auto"/>
              </w:rPr>
            </w:pPr>
          </w:p>
        </w:tc>
      </w:tr>
      <w:tr>
        <w:trPr>
          <w:trHeight w:val="72"/>
        </w:trPr>
        <w:tc>
          <w:tcPr>
            <w:tcW w:w="774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08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9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7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increase in equity investments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decrease in loan and lease finance receivables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138,709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Purchase of premises and equipment</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(343 )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BOLI death benefit</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Cash acquired from acquisition, net of cash paid</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329,001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232,579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(330,307 )</w:t>
            </w:r>
          </w:p>
        </w:tc>
        <w:tc>
          <w:tcPr>
            <w:tcW w:w="0" w:type="dxa"/>
            <w:vAlign w:val="bottom"/>
          </w:tcPr>
          <w:p>
            <w:pPr>
              <w:spacing w:after="0"/>
              <w:rPr>
                <w:sz w:val="1"/>
                <w:szCs w:val="1"/>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(decrease) increase in other deposits</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(553,692 )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350,695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decrease in time deposits</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(10,683 )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(21,930 )</w:t>
            </w: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increase (decrease) in other borrowings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(2,281)</w:t>
            </w: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decrease in customer repurchase agreements</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(75,196 )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(43,479 )</w:t>
            </w:r>
          </w:p>
        </w:tc>
        <w:tc>
          <w:tcPr>
            <w:tcW w:w="0" w:type="dxa"/>
            <w:vAlign w:val="bottom"/>
          </w:tcPr>
          <w:p>
            <w:pPr>
              <w:spacing w:after="0"/>
              <w:rPr>
                <w:sz w:val="1"/>
                <w:szCs w:val="1"/>
                <w:color w:val="auto"/>
              </w:rPr>
            </w:pPr>
          </w:p>
        </w:tc>
      </w:tr>
      <w:tr>
        <w:trPr>
          <w:trHeight w:val="233"/>
        </w:trPr>
        <w:tc>
          <w:tcPr>
            <w:tcW w:w="7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dividends on common stock</w:t>
            </w:r>
          </w:p>
        </w:tc>
        <w:tc>
          <w:tcPr>
            <w:tcW w:w="2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(28,091 )</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(24,396 )</w:t>
            </w: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(21,036 )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(13,643 )</w:t>
            </w: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 of common stock, ASR Plan</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(56,000 )</w:t>
            </w: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ASR Contract</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(14,000 )</w:t>
            </w: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(278,626 )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175,686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(79,509 )</w:t>
            </w:r>
          </w:p>
        </w:tc>
        <w:tc>
          <w:tcPr>
            <w:tcW w:w="0" w:type="dxa"/>
            <w:vAlign w:val="bottom"/>
          </w:tcPr>
          <w:p>
            <w:pPr>
              <w:spacing w:after="0"/>
              <w:rPr>
                <w:sz w:val="1"/>
                <w:szCs w:val="1"/>
                <w:color w:val="auto"/>
              </w:rPr>
            </w:pPr>
          </w:p>
        </w:tc>
      </w:tr>
      <w:tr>
        <w:trPr>
          <w:trHeight w:val="408"/>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203,461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1,732,548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227,534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1,653,039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40" w:orient="portrait"/>
          <w:cols w:equalWidth="0" w:num="1">
            <w:col w:w="10560"/>
          </w:cols>
          <w:pgMar w:left="660" w:top="782" w:right="68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CVB FINANCIAL CORP.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jc w:val="center"/>
        <w:ind w:right="-19"/>
        <w:spacing w:after="0"/>
        <w:rPr>
          <w:sz w:val="20"/>
          <w:szCs w:val="20"/>
          <w:color w:val="auto"/>
        </w:rPr>
      </w:pPr>
      <w:r>
        <w:rPr>
          <w:rFonts w:ascii="Arial" w:cs="Arial" w:eastAsia="Arial" w:hAnsi="Arial"/>
          <w:sz w:val="14"/>
          <w:szCs w:val="14"/>
          <w:i w:val="1"/>
          <w:iCs w:val="1"/>
          <w:color w:val="auto"/>
        </w:rPr>
        <w:t>(Dollars 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March 31,</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204"/>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Reconciliation of Net Earnings to Net Cash Provided by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59,270</w:t>
            </w:r>
          </w:p>
        </w:tc>
        <w:tc>
          <w:tcPr>
            <w:tcW w:w="10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45,560</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Increase in BOLI</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(1,189)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(1,349)</w:t>
            </w: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Net amortization of premiums and discounts on investment securities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8,134</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Accretion of discount for acquired loans, net</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(1,102)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(1,843)</w:t>
            </w: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Provision for credit losses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Provision for unfunded loan commitments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1,595</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Depreciation and amortization, net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2,317</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Change in other assets and liabilities</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(226 )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18,198</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500"/>
              <w:spacing w:after="0"/>
              <w:rPr>
                <w:sz w:val="20"/>
                <w:szCs w:val="20"/>
                <w:color w:val="auto"/>
              </w:rPr>
            </w:pPr>
            <w:r>
              <w:rPr>
                <w:rFonts w:ascii="Arial" w:cs="Arial" w:eastAsia="Arial" w:hAnsi="Arial"/>
                <w:sz w:val="16"/>
                <w:szCs w:val="16"/>
                <w:color w:val="auto"/>
              </w:rPr>
              <w:t>Total adjustments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29,552</w:t>
            </w:r>
          </w:p>
        </w:tc>
        <w:tc>
          <w:tcPr>
            <w:tcW w:w="80" w:type="dxa"/>
            <w:vAlign w:val="bottom"/>
          </w:tcPr>
          <w:p>
            <w:pPr>
              <w:spacing w:after="0"/>
              <w:rPr>
                <w:sz w:val="17"/>
                <w:szCs w:val="17"/>
                <w:color w:val="auto"/>
              </w:rPr>
            </w:pPr>
          </w:p>
        </w:tc>
      </w:tr>
      <w:tr>
        <w:trPr>
          <w:trHeight w:val="245"/>
        </w:trPr>
        <w:tc>
          <w:tcPr>
            <w:tcW w:w="7740" w:type="dxa"/>
            <w:vAlign w:val="bottom"/>
            <w:shd w:val="clear" w:color="auto" w:fill="CFF0FC"/>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70,120</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75,112</w:t>
            </w:r>
          </w:p>
        </w:tc>
        <w:tc>
          <w:tcPr>
            <w:tcW w:w="80" w:type="dxa"/>
            <w:vAlign w:val="bottom"/>
            <w:shd w:val="clear" w:color="auto" w:fill="CFF0FC"/>
          </w:tcPr>
          <w:p>
            <w:pPr>
              <w:spacing w:after="0"/>
              <w:rPr>
                <w:sz w:val="21"/>
                <w:szCs w:val="21"/>
                <w:color w:val="auto"/>
              </w:rPr>
            </w:pPr>
          </w:p>
        </w:tc>
      </w:tr>
      <w:tr>
        <w:trPr>
          <w:trHeight w:val="384"/>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Supplemental Disclosure of Non-cash Investing Activities</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204"/>
        </w:trPr>
        <w:tc>
          <w:tcPr>
            <w:tcW w:w="7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Securities purchased and not settled</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257,979</w:t>
            </w:r>
          </w:p>
        </w:tc>
        <w:tc>
          <w:tcPr>
            <w:tcW w:w="80" w:type="dxa"/>
            <w:vAlign w:val="bottom"/>
            <w:shd w:val="clear" w:color="auto" w:fill="CFF0FC"/>
          </w:tcPr>
          <w:p>
            <w:pPr>
              <w:spacing w:after="0"/>
              <w:rPr>
                <w:sz w:val="17"/>
                <w:szCs w:val="17"/>
                <w:color w:val="auto"/>
              </w:rPr>
            </w:pPr>
          </w:p>
        </w:tc>
      </w:tr>
      <w:tr>
        <w:trPr>
          <w:trHeight w:val="204"/>
        </w:trPr>
        <w:tc>
          <w:tcPr>
            <w:tcW w:w="7740" w:type="dxa"/>
            <w:vAlign w:val="bottom"/>
          </w:tcPr>
          <w:p>
            <w:pPr>
              <w:ind w:left="180"/>
              <w:spacing w:after="0"/>
              <w:rPr>
                <w:sz w:val="20"/>
                <w:szCs w:val="20"/>
                <w:color w:val="auto"/>
              </w:rPr>
            </w:pPr>
            <w:r>
              <w:rPr>
                <w:rFonts w:ascii="Arial" w:cs="Arial" w:eastAsia="Arial" w:hAnsi="Arial"/>
                <w:sz w:val="16"/>
                <w:szCs w:val="16"/>
                <w:color w:val="auto"/>
              </w:rPr>
              <w:t>Issuance of common stock for acquisition</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197,069</w:t>
            </w: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40" w:orient="portrait"/>
          <w:cols w:equalWidth="0" w:num="1">
            <w:col w:w="10560"/>
          </w:cols>
          <w:pgMar w:left="660" w:top="782" w:right="680" w:bottom="1440" w:gutter="0" w:footer="0" w:header="0"/>
        </w:sectPr>
      </w:pPr>
    </w:p>
    <w:bookmarkStart w:id="8" w:name="page9"/>
    <w:bookmarkEnd w:id="8"/>
    <w:p>
      <w:pPr>
        <w:jc w:val="center"/>
        <w:ind w:right="80"/>
        <w:spacing w:after="0" w:line="251" w:lineRule="auto"/>
        <w:rPr>
          <w:sz w:val="20"/>
          <w:szCs w:val="20"/>
          <w:color w:val="auto"/>
        </w:rPr>
      </w:pPr>
      <w:r>
        <w:rPr>
          <w:rFonts w:ascii="Arial" w:cs="Arial" w:eastAsia="Arial" w:hAnsi="Arial"/>
          <w:sz w:val="16"/>
          <w:szCs w:val="16"/>
          <w:b w:val="1"/>
          <w:bCs w:val="1"/>
          <w:color w:val="auto"/>
        </w:rPr>
        <w:t xml:space="preserve">CVB FINANCIAL CORP. AND SUBSIDIARIES NOTES TO THE CONDENSED CONSOLIDATED FINANCIAL STATEMENTS </w:t>
      </w: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300" w:hanging="294"/>
        <w:spacing w:after="0"/>
        <w:tabs>
          <w:tab w:leader="none" w:pos="3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BUSINESS</w:t>
      </w:r>
    </w:p>
    <w:p>
      <w:pPr>
        <w:spacing w:after="0" w:line="184" w:lineRule="exact"/>
        <w:rPr>
          <w:sz w:val="20"/>
          <w:szCs w:val="20"/>
          <w:color w:val="auto"/>
        </w:rPr>
      </w:pPr>
    </w:p>
    <w:p>
      <w:pPr>
        <w:jc w:val="both"/>
        <w:ind w:right="160" w:firstLine="432"/>
        <w:spacing w:after="0" w:line="243" w:lineRule="auto"/>
        <w:rPr>
          <w:sz w:val="20"/>
          <w:szCs w:val="20"/>
          <w:color w:val="auto"/>
        </w:rPr>
      </w:pPr>
      <w:r>
        <w:rPr>
          <w:rFonts w:ascii="Arial" w:cs="Arial" w:eastAsia="Arial" w:hAnsi="Arial"/>
          <w:sz w:val="16"/>
          <w:szCs w:val="16"/>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61" w:lineRule="exact"/>
        <w:rPr>
          <w:sz w:val="20"/>
          <w:szCs w:val="20"/>
          <w:color w:val="auto"/>
        </w:rPr>
      </w:pPr>
    </w:p>
    <w:p>
      <w:pPr>
        <w:ind w:right="140" w:firstLine="432"/>
        <w:spacing w:after="0" w:line="281" w:lineRule="auto"/>
        <w:rPr>
          <w:sz w:val="20"/>
          <w:szCs w:val="20"/>
          <w:color w:val="auto"/>
        </w:rPr>
      </w:pPr>
      <w:r>
        <w:rPr>
          <w:rFonts w:ascii="Arial" w:cs="Arial" w:eastAsia="Arial" w:hAnsi="Arial"/>
          <w:sz w:val="14"/>
          <w:szCs w:val="14"/>
          <w:color w:val="auto"/>
        </w:rPr>
        <w:t>The Company’s primary operations are related to traditional banking activities. This includes the acceptance of deposits and the lending and investing of money through the operations of the Bank. The Bank also provides trust and investment -related services to customers through its CitizensTrust Division. The Bank’s customers consist primarily of small to mid-sized businesses and individuals located in the Inland Empire, Los Angeles County, Orange County, San Diego County, Ventura County, Santa Barbara County, and the Central Valley area of California. As of March 31, 2023, the Bank operated 62 banking centers and three trust office locations. The Company is headquartered in the city of Ontario, California.</w:t>
      </w:r>
    </w:p>
    <w:p>
      <w:pPr>
        <w:spacing w:after="0" w:line="138" w:lineRule="exact"/>
        <w:rPr>
          <w:sz w:val="20"/>
          <w:szCs w:val="20"/>
          <w:color w:val="auto"/>
        </w:rPr>
      </w:pPr>
    </w:p>
    <w:p>
      <w:pPr>
        <w:ind w:firstLine="432"/>
        <w:spacing w:after="0" w:line="281" w:lineRule="auto"/>
        <w:rPr>
          <w:sz w:val="20"/>
          <w:szCs w:val="20"/>
          <w:color w:val="auto"/>
        </w:rPr>
      </w:pPr>
      <w:r>
        <w:rPr>
          <w:rFonts w:ascii="Arial" w:cs="Arial" w:eastAsia="Arial" w:hAnsi="Arial"/>
          <w:sz w:val="14"/>
          <w:szCs w:val="14"/>
          <w:color w:val="auto"/>
        </w:rPr>
        <w:t xml:space="preserve">On January 7, 2022, we completed the acquisition of Suncrest Bank ("Suncrest") with approximately $1.4 billion in total assets, acquired at fair value, and seven banking centers. Assets acquired included $765.9 million of acquired net loans at fair value, $131.1 million of investment securities, and $9 million in Bank-Owned Life Insurance ("BOLI"). The acquisition resulted in $102.1 million of goodwill and $3.9 million in core deposit premium. Net cash proceeds were used to fund the $39.6 million in cash paid to the former shareholders of Suncrest as part of the merger consideration. Refer to Note 4 –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of the notes to the unaudited condensed consolidated financial statements of this report for additional information.</w:t>
      </w:r>
    </w:p>
    <w:p>
      <w:pPr>
        <w:spacing w:after="0" w:line="130" w:lineRule="exact"/>
        <w:rPr>
          <w:sz w:val="20"/>
          <w:szCs w:val="20"/>
          <w:color w:val="auto"/>
        </w:rPr>
      </w:pPr>
    </w:p>
    <w:p>
      <w:pPr>
        <w:ind w:left="300" w:hanging="294"/>
        <w:spacing w:after="0"/>
        <w:tabs>
          <w:tab w:leader="none" w:pos="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184" w:lineRule="exact"/>
        <w:rPr>
          <w:sz w:val="20"/>
          <w:szCs w:val="20"/>
          <w:color w:val="auto"/>
        </w:rPr>
      </w:pPr>
    </w:p>
    <w:p>
      <w:pPr>
        <w:ind w:right="80" w:firstLine="432"/>
        <w:spacing w:after="0" w:line="274" w:lineRule="auto"/>
        <w:rPr>
          <w:sz w:val="20"/>
          <w:szCs w:val="20"/>
          <w:color w:val="auto"/>
        </w:rPr>
      </w:pPr>
      <w:r>
        <w:rPr>
          <w:rFonts w:ascii="Arial" w:cs="Arial" w:eastAsia="Arial" w:hAnsi="Arial"/>
          <w:sz w:val="14"/>
          <w:szCs w:val="14"/>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months ended March 31, 2023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2022, filed with the SEC. A summary of the significant accounting policies consistently applied in the preparation of the accompanying unaudited condensed consolidated financial statements follows.</w:t>
      </w:r>
    </w:p>
    <w:p>
      <w:pPr>
        <w:spacing w:after="0" w:line="318" w:lineRule="exact"/>
        <w:rPr>
          <w:sz w:val="20"/>
          <w:szCs w:val="20"/>
          <w:color w:val="auto"/>
        </w:rPr>
      </w:pPr>
    </w:p>
    <w:p>
      <w:pPr>
        <w:ind w:right="60" w:firstLine="432"/>
        <w:spacing w:after="0" w:line="262" w:lineRule="auto"/>
        <w:rPr>
          <w:sz w:val="20"/>
          <w:szCs w:val="20"/>
          <w:color w:val="auto"/>
        </w:rPr>
      </w:pPr>
      <w:r>
        <w:rPr>
          <w:rFonts w:ascii="Arial" w:cs="Arial" w:eastAsia="Arial" w:hAnsi="Arial"/>
          <w:sz w:val="16"/>
          <w:szCs w:val="16"/>
          <w:b w:val="1"/>
          <w:bCs w:val="1"/>
          <w:i w:val="1"/>
          <w:iCs w:val="1"/>
          <w:color w:val="auto"/>
        </w:rPr>
        <w:t xml:space="preserve">Reclassification </w:t>
      </w:r>
      <w:r>
        <w:rPr>
          <w:rFonts w:ascii="Arial" w:cs="Arial" w:eastAsia="Arial" w:hAnsi="Arial"/>
          <w:sz w:val="16"/>
          <w:szCs w:val="16"/>
          <w:color w:val="auto"/>
        </w:rPr>
        <w:t>— Certain amounts in the prior periods’ unaudited condensed consolidated financial statements and related footnote disclosures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reclassified to conform to the current presentation with no impact on previously reported net income or stockholders’ equity.</w:t>
      </w:r>
    </w:p>
    <w:p>
      <w:pPr>
        <w:spacing w:after="0" w:line="138" w:lineRule="exact"/>
        <w:rPr>
          <w:sz w:val="20"/>
          <w:szCs w:val="20"/>
          <w:color w:val="auto"/>
        </w:rPr>
      </w:pPr>
    </w:p>
    <w:p>
      <w:pPr>
        <w:ind w:left="300" w:hanging="294"/>
        <w:spacing w:after="0"/>
        <w:tabs>
          <w:tab w:leader="none" w:pos="3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78" w:lineRule="exact"/>
        <w:rPr>
          <w:sz w:val="20"/>
          <w:szCs w:val="20"/>
          <w:color w:val="auto"/>
        </w:rPr>
      </w:pPr>
    </w:p>
    <w:p>
      <w:pPr>
        <w:ind w:right="180" w:firstLine="432"/>
        <w:spacing w:after="0" w:line="247" w:lineRule="auto"/>
        <w:rPr>
          <w:sz w:val="20"/>
          <w:szCs w:val="20"/>
          <w:color w:val="auto"/>
        </w:rPr>
      </w:pPr>
      <w:r>
        <w:rPr>
          <w:rFonts w:ascii="Arial" w:cs="Arial" w:eastAsia="Arial" w:hAnsi="Arial"/>
          <w:sz w:val="16"/>
          <w:szCs w:val="16"/>
          <w:color w:val="auto"/>
        </w:rPr>
        <w:t xml:space="preserve">Except as discussed below, our accounting policies are described in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our audited consolidated financial statements included in our Annual Report on Form 10-K for the year ended December 31, 2022 as filed with the SEC (“Form 10-K”).</w:t>
      </w:r>
    </w:p>
    <w:p>
      <w:pPr>
        <w:spacing w:after="0" w:line="150" w:lineRule="exact"/>
        <w:rPr>
          <w:sz w:val="20"/>
          <w:szCs w:val="20"/>
          <w:color w:val="auto"/>
        </w:rPr>
      </w:pPr>
    </w:p>
    <w:p>
      <w:pPr>
        <w:ind w:right="20" w:firstLine="432"/>
        <w:spacing w:after="0" w:line="238" w:lineRule="auto"/>
        <w:rPr>
          <w:sz w:val="20"/>
          <w:szCs w:val="20"/>
          <w:color w:val="auto"/>
        </w:rPr>
      </w:pPr>
      <w:r>
        <w:rPr>
          <w:rFonts w:ascii="Arial" w:cs="Arial" w:eastAsia="Arial" w:hAnsi="Arial"/>
          <w:sz w:val="16"/>
          <w:szCs w:val="16"/>
          <w:b w:val="1"/>
          <w:bCs w:val="1"/>
          <w:i w:val="1"/>
          <w:iCs w:val="1"/>
          <w:color w:val="auto"/>
        </w:rPr>
        <w:t xml:space="preserve">Use of Estimates in the Preparation of Financial Statements </w:t>
      </w:r>
      <w:r>
        <w:rPr>
          <w:rFonts w:ascii="Arial" w:cs="Arial" w:eastAsia="Arial" w:hAnsi="Arial"/>
          <w:sz w:val="16"/>
          <w:szCs w:val="16"/>
          <w:color w:val="auto"/>
        </w:rPr>
        <w:t>— The preparation of financial statements in conformity with GAAP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158115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9" w:name="page10"/>
    <w:bookmarkEnd w:id="9"/>
    <w:p>
      <w:pPr>
        <w:ind w:right="20"/>
        <w:spacing w:after="0" w:line="238" w:lineRule="auto"/>
        <w:rPr>
          <w:sz w:val="20"/>
          <w:szCs w:val="20"/>
          <w:color w:val="auto"/>
        </w:rPr>
      </w:pPr>
      <w:r>
        <w:rPr>
          <w:rFonts w:ascii="Arial" w:cs="Arial" w:eastAsia="Arial" w:hAnsi="Arial"/>
          <w:sz w:val="16"/>
          <w:szCs w:val="16"/>
          <w:b w:val="1"/>
          <w:bCs w:val="1"/>
          <w:i w:val="1"/>
          <w:iCs w:val="1"/>
          <w:color w:val="auto"/>
        </w:rPr>
        <w:t xml:space="preserve">Adoption of New Accounting Standard </w:t>
      </w:r>
      <w:r>
        <w:rPr>
          <w:rFonts w:ascii="Arial" w:cs="Arial" w:eastAsia="Arial" w:hAnsi="Arial"/>
          <w:sz w:val="16"/>
          <w:szCs w:val="16"/>
          <w:color w:val="auto"/>
        </w:rPr>
        <w:t>— On January 1, 2023, the Company adopted ASU 2022-02 Financial Instruments- Credit Losses (Topic 326):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Troubled Debt Restructurings ("TDR") and Vintage Disclosures. This ASU eliminates recognition and measurement guidance for TDRs by creditors in Subtopic 310- 40, Receivables-Troubled Debt Restructurings by Creditors, while enhancing disclosure requirements for certain loan refinancings and restructurings by creditors when a borrower is experiencing financial difficulty, and to require that an entity disclose current-period gross write-offs by year of origination (i.e. the vintage year) for financing receivables and net investments in leases within the scope of Subtopic 326-20, Financial Instruments-Credit Losses-Measured at Amortized Cost. For entities that have adopted ASU 2016-13, this ASU is effective for interim and reporting periods beginning after December 15, 2022. The Company adopted this ASU on a prospective basis. Results for reporting periods beginning after January 1, 2023 are presented under ASU 2022- 02 while prior period amounts continue to be reported in accordance with previously applicable GAAP. The adoption of this ASU did not have a material impact on our consolidated financial statements.</w:t>
      </w:r>
    </w:p>
    <w:p>
      <w:pPr>
        <w:spacing w:after="0" w:line="158" w:lineRule="exact"/>
        <w:rPr>
          <w:sz w:val="20"/>
          <w:szCs w:val="20"/>
          <w:color w:val="auto"/>
        </w:rPr>
      </w:pPr>
    </w:p>
    <w:p>
      <w:pPr>
        <w:ind w:left="300" w:hanging="294"/>
        <w:spacing w:after="0"/>
        <w:tabs>
          <w:tab w:leader="none" w:pos="3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w:t>
      </w:r>
    </w:p>
    <w:p>
      <w:pPr>
        <w:spacing w:after="0" w:line="184" w:lineRule="exact"/>
        <w:rPr>
          <w:sz w:val="20"/>
          <w:szCs w:val="20"/>
          <w:color w:val="auto"/>
        </w:rPr>
      </w:pPr>
    </w:p>
    <w:p>
      <w:pPr>
        <w:ind w:right="20" w:firstLine="432"/>
        <w:spacing w:after="0" w:line="238" w:lineRule="auto"/>
        <w:rPr>
          <w:sz w:val="20"/>
          <w:szCs w:val="20"/>
          <w:color w:val="auto"/>
        </w:rPr>
      </w:pPr>
      <w:r>
        <w:rPr>
          <w:rFonts w:ascii="Arial" w:cs="Arial" w:eastAsia="Arial" w:hAnsi="Arial"/>
          <w:sz w:val="16"/>
          <w:szCs w:val="16"/>
          <w:color w:val="auto"/>
        </w:rPr>
        <w:t>On January 7, 2022, the Company completed the acquisition of Suncrest, headquartered in Visalia, California. The Company acquired all of the assets and assumed all of the liabilities of Suncrest in a stock and cash transaction for $39.6 million in cash and $197.1 million in stock. As a result, Suncrest merged with and into the Bank, the principal subsidiary of CVB. The Company believes this transaction serves to further extend and strengthen its geographic presence in California’s Central Valley and the Sacramento metro area. At close, Suncrest had seven branch locations and two loan production offices, which re -opened as CBB locations on January 10, 2022. As a result of the consolidation of two branches during the second quarter of 2022, five branch locations remain from this acquisition.</w:t>
      </w:r>
    </w:p>
    <w:p>
      <w:pPr>
        <w:spacing w:after="0" w:line="166"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The assets acquired and liabilities assumed have been accounted for under the acquisition method of accounting. The total fair value of assets acquired approximated $ 1.38 billion in total assets, including $ 329.0 million of cash and cash equivalents, net of cash paid, $131.1 million of investment securities, $765.9 million in net loans, $6.1 million in premises and equipment, $9.0 million in BOLI, and $33.7 million in other assets. The purchased credit deteriorated (“PCD”) loans were recorded at a fair value of $224.7 million, which was net of a discount of $13.1 million including a credit discount of $8.6 million. The assets acquired also include a core deposit intangible of $3.9 million and non-tax deductible goodwill of $102.1 million. Goodwill from the acquisition represents the excess of the purchase price over the fair value of the net tangible and intangible assets acquired. The total fair value of liabilities assumed was $1.19 billion, which included $512.8 million of noninterest-bearing deposits and $669.8 million of interest-bearing deposits, and $6.2 million in other liabilities. The assets and liabilities, both tangible and intangible, were recorded at their estimated fair values as of January 7, 2022. Goodwill is not tax deductible for income tax purposes.</w:t>
      </w:r>
    </w:p>
    <w:p>
      <w:pPr>
        <w:spacing w:after="0" w:line="165" w:lineRule="exact"/>
        <w:rPr>
          <w:sz w:val="20"/>
          <w:szCs w:val="20"/>
          <w:color w:val="auto"/>
        </w:rPr>
      </w:pPr>
    </w:p>
    <w:p>
      <w:pPr>
        <w:ind w:right="80" w:firstLine="432"/>
        <w:spacing w:after="0" w:line="243" w:lineRule="auto"/>
        <w:rPr>
          <w:sz w:val="20"/>
          <w:szCs w:val="20"/>
          <w:color w:val="auto"/>
        </w:rPr>
      </w:pPr>
      <w:r>
        <w:rPr>
          <w:rFonts w:ascii="Arial" w:cs="Arial" w:eastAsia="Arial" w:hAnsi="Arial"/>
          <w:sz w:val="16"/>
          <w:szCs w:val="16"/>
          <w:color w:val="auto"/>
        </w:rPr>
        <w:t>We have included the financial results of the business combination in the condensed consolidated statement of earnings and comprehensive income beginning on the acquisition date. Supplementary pro- forma financial information related to the acquisition is not included because the impact to the Company's consolidated statements of income is not material.</w:t>
      </w:r>
    </w:p>
    <w:p>
      <w:pPr>
        <w:spacing w:after="0" w:line="161" w:lineRule="exact"/>
        <w:rPr>
          <w:sz w:val="20"/>
          <w:szCs w:val="20"/>
          <w:color w:val="auto"/>
        </w:rPr>
      </w:pPr>
    </w:p>
    <w:p>
      <w:pPr>
        <w:ind w:right="700" w:firstLine="432"/>
        <w:spacing w:after="0" w:line="252" w:lineRule="auto"/>
        <w:rPr>
          <w:sz w:val="20"/>
          <w:szCs w:val="20"/>
          <w:color w:val="auto"/>
        </w:rPr>
      </w:pPr>
      <w:r>
        <w:rPr>
          <w:rFonts w:ascii="Arial" w:cs="Arial" w:eastAsia="Arial" w:hAnsi="Arial"/>
          <w:sz w:val="16"/>
          <w:szCs w:val="16"/>
          <w:color w:val="auto"/>
        </w:rPr>
        <w:t>For the three months ended March 31, 2022, the Company incurred non-recurring merger related expenses associated with the Suncrest acquisition of $5.6 million.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62" w:right="660" w:bottom="1440" w:gutter="0" w:footer="0" w:header="0"/>
        </w:sectPr>
      </w:pPr>
    </w:p>
    <w:bookmarkStart w:id="10" w:name="page11"/>
    <w:bookmarkEnd w:id="10"/>
    <w:p>
      <w:pPr>
        <w:ind w:left="300" w:hanging="294"/>
        <w:spacing w:after="0"/>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INVESTMENT SECURITIES</w:t>
      </w:r>
    </w:p>
    <w:p>
      <w:pPr>
        <w:spacing w:after="0" w:line="184" w:lineRule="exact"/>
        <w:rPr>
          <w:sz w:val="20"/>
          <w:szCs w:val="20"/>
          <w:color w:val="auto"/>
        </w:rPr>
      </w:pPr>
    </w:p>
    <w:p>
      <w:pPr>
        <w:ind w:right="220" w:firstLine="432"/>
        <w:spacing w:after="0" w:line="243" w:lineRule="auto"/>
        <w:rPr>
          <w:sz w:val="20"/>
          <w:szCs w:val="20"/>
          <w:color w:val="auto"/>
        </w:rPr>
      </w:pPr>
      <w:r>
        <w:rPr>
          <w:rFonts w:ascii="Arial" w:cs="Arial" w:eastAsia="Arial" w:hAnsi="Arial"/>
          <w:sz w:val="16"/>
          <w:szCs w:val="16"/>
          <w:color w:val="auto"/>
        </w:rPr>
        <w:t>The amortized cost and estimated fair value of investment securities are summarized below. The fair value of the majority of securities are based on quoted prices for similar assets in active markets or quoted prices for identical assets in markets that are not active. Estimated fair values were obtained from an independent pricing service based upon market quotes.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8"/>
              </w:rPr>
              <w:t>March 31, 2023</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102"/>
              <w:spacing w:after="0" w:line="180" w:lineRule="exact"/>
              <w:rPr>
                <w:sz w:val="20"/>
                <w:szCs w:val="20"/>
                <w:color w:val="auto"/>
              </w:rPr>
            </w:pPr>
            <w:r>
              <w:rPr>
                <w:rFonts w:ascii="Arial" w:cs="Arial" w:eastAsia="Arial" w:hAnsi="Arial"/>
                <w:sz w:val="16"/>
                <w:szCs w:val="16"/>
                <w:b w:val="1"/>
                <w:bCs w:val="1"/>
                <w:color w:val="auto"/>
                <w:w w:val="99"/>
              </w:rPr>
              <w:t>Gross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60"/>
              <w:spacing w:after="0" w:line="180" w:lineRule="exact"/>
              <w:rPr>
                <w:sz w:val="20"/>
                <w:szCs w:val="20"/>
                <w:color w:val="auto"/>
              </w:rPr>
            </w:pPr>
            <w:r>
              <w:rPr>
                <w:rFonts w:ascii="Arial" w:cs="Arial" w:eastAsia="Arial" w:hAnsi="Arial"/>
                <w:sz w:val="16"/>
                <w:szCs w:val="16"/>
                <w:b w:val="1"/>
                <w:bCs w:val="1"/>
                <w:color w:val="auto"/>
                <w:w w:val="95"/>
              </w:rPr>
              <w:t>Gross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182"/>
              <w:spacing w:after="0" w:line="180" w:lineRule="exact"/>
              <w:rPr>
                <w:sz w:val="20"/>
                <w:szCs w:val="20"/>
                <w:color w:val="auto"/>
              </w:rPr>
            </w:pPr>
            <w:r>
              <w:rPr>
                <w:rFonts w:ascii="Arial" w:cs="Arial" w:eastAsia="Arial" w:hAnsi="Arial"/>
                <w:sz w:val="16"/>
                <w:szCs w:val="16"/>
                <w:b w:val="1"/>
                <w:bCs w:val="1"/>
                <w:color w:val="auto"/>
                <w:w w:val="97"/>
              </w:rPr>
              <w:t>Amortized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102"/>
              <w:spacing w:after="0" w:line="180" w:lineRule="exact"/>
              <w:rPr>
                <w:sz w:val="20"/>
                <w:szCs w:val="20"/>
                <w:color w:val="auto"/>
              </w:rPr>
            </w:pPr>
            <w:r>
              <w:rPr>
                <w:rFonts w:ascii="Arial" w:cs="Arial" w:eastAsia="Arial" w:hAnsi="Arial"/>
                <w:sz w:val="16"/>
                <w:szCs w:val="16"/>
                <w:b w:val="1"/>
                <w:bCs w:val="1"/>
                <w:color w:val="auto"/>
                <w:w w:val="96"/>
              </w:rPr>
              <w:t>Unrealized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40"/>
              <w:spacing w:after="0" w:line="180" w:lineRule="exact"/>
              <w:rPr>
                <w:sz w:val="20"/>
                <w:szCs w:val="20"/>
                <w:color w:val="auto"/>
              </w:rPr>
            </w:pPr>
            <w:r>
              <w:rPr>
                <w:rFonts w:ascii="Arial" w:cs="Arial" w:eastAsia="Arial" w:hAnsi="Arial"/>
                <w:sz w:val="16"/>
                <w:szCs w:val="16"/>
                <w:b w:val="1"/>
                <w:bCs w:val="1"/>
                <w:color w:val="auto"/>
                <w:w w:val="96"/>
              </w:rPr>
              <w:t>Unrealized</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82"/>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Holding Gain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6"/>
              </w:rPr>
              <w:t>Holding Loss</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Total Percent</w:t>
            </w:r>
          </w:p>
        </w:tc>
      </w:tr>
      <w:tr>
        <w:trPr>
          <w:trHeight w:val="191"/>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3,109,387</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(361,563 )</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2,747,865</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85.75%</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526,922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(97,500 )</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429,422</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13.39%</w:t>
            </w:r>
          </w:p>
        </w:tc>
        <w:tc>
          <w:tcPr>
            <w:tcW w:w="60" w:type="dxa"/>
            <w:vAlign w:val="bottom"/>
          </w:tcPr>
          <w:p>
            <w:pPr>
              <w:spacing w:after="0"/>
              <w:rPr>
                <w:sz w:val="17"/>
                <w:szCs w:val="17"/>
                <w:color w:val="auto"/>
              </w:rPr>
            </w:pPr>
          </w:p>
        </w:tc>
      </w:tr>
      <w:tr>
        <w:trPr>
          <w:trHeight w:val="202"/>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26,796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(718 )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26,158</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0.82 %</w:t>
            </w:r>
          </w:p>
        </w:tc>
      </w:tr>
      <w:tr>
        <w:trPr>
          <w:trHeight w:val="205"/>
        </w:trPr>
        <w:tc>
          <w:tcPr>
            <w:tcW w:w="370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14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1,079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1,079</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0.04 %</w:t>
            </w:r>
          </w:p>
        </w:tc>
      </w:tr>
      <w:tr>
        <w:trPr>
          <w:trHeight w:val="205"/>
        </w:trPr>
        <w:tc>
          <w:tcPr>
            <w:tcW w:w="3700" w:type="dxa"/>
            <w:vAlign w:val="bottom"/>
          </w:tcPr>
          <w:p>
            <w:pPr>
              <w:ind w:left="34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3,664,184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(459,781 )</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3,204,524</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Investment securities held-to-maturity:</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543,318</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(100,496 )</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442,822</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21.42%</w:t>
            </w: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697,766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(97,818 )</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599,948</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27.51%</w:t>
            </w:r>
          </w:p>
        </w:tc>
        <w:tc>
          <w:tcPr>
            <w:tcW w:w="60" w:type="dxa"/>
            <w:vAlign w:val="bottom"/>
          </w:tcPr>
          <w:p>
            <w:pPr>
              <w:spacing w:after="0"/>
              <w:rPr>
                <w:sz w:val="17"/>
                <w:szCs w:val="17"/>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822,599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(134,774 )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687,825</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32.44%</w:t>
            </w: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472,296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2,405</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(36,727 )</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437,974</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18.63%</w:t>
            </w:r>
          </w:p>
        </w:tc>
        <w:tc>
          <w:tcPr>
            <w:tcW w:w="60" w:type="dxa"/>
            <w:vAlign w:val="bottom"/>
          </w:tcPr>
          <w:p>
            <w:pPr>
              <w:spacing w:after="0"/>
              <w:rPr>
                <w:sz w:val="17"/>
                <w:szCs w:val="17"/>
                <w:color w:val="auto"/>
              </w:rPr>
            </w:pPr>
          </w:p>
        </w:tc>
      </w:tr>
      <w:tr>
        <w:trPr>
          <w:trHeight w:val="204"/>
        </w:trPr>
        <w:tc>
          <w:tcPr>
            <w:tcW w:w="3700" w:type="dxa"/>
            <w:vAlign w:val="bottom"/>
          </w:tcPr>
          <w:p>
            <w:pPr>
              <w:ind w:left="340"/>
              <w:spacing w:after="0"/>
              <w:rPr>
                <w:sz w:val="20"/>
                <w:szCs w:val="20"/>
                <w:color w:val="auto"/>
              </w:rPr>
            </w:pPr>
            <w:r>
              <w:rPr>
                <w:rFonts w:ascii="Arial" w:cs="Arial" w:eastAsia="Arial" w:hAnsi="Arial"/>
                <w:sz w:val="16"/>
                <w:szCs w:val="16"/>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2,535,979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2,405</w:t>
            </w:r>
          </w:p>
        </w:tc>
        <w:tc>
          <w:tcPr>
            <w:tcW w:w="28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(369,815 )</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2,168,569</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20" w:type="dxa"/>
            <w:vAlign w:val="bottom"/>
            <w:gridSpan w:val="5"/>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7"/>
              </w:rPr>
              <w:t>December 31, 2022</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7"/>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82"/>
              <w:spacing w:after="0" w:line="177" w:lineRule="exact"/>
              <w:rPr>
                <w:sz w:val="20"/>
                <w:szCs w:val="20"/>
                <w:color w:val="auto"/>
              </w:rPr>
            </w:pPr>
            <w:r>
              <w:rPr>
                <w:rFonts w:ascii="Arial" w:cs="Arial" w:eastAsia="Arial" w:hAnsi="Arial"/>
                <w:sz w:val="16"/>
                <w:szCs w:val="16"/>
                <w:b w:val="1"/>
                <w:bCs w:val="1"/>
                <w:color w:val="auto"/>
                <w:w w:val="95"/>
              </w:rPr>
              <w:t>Gross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20"/>
              <w:spacing w:after="0" w:line="177" w:lineRule="exact"/>
              <w:rPr>
                <w:sz w:val="20"/>
                <w:szCs w:val="20"/>
                <w:color w:val="auto"/>
              </w:rPr>
            </w:pPr>
            <w:r>
              <w:rPr>
                <w:rFonts w:ascii="Arial" w:cs="Arial" w:eastAsia="Arial" w:hAnsi="Arial"/>
                <w:sz w:val="16"/>
                <w:szCs w:val="16"/>
                <w:b w:val="1"/>
                <w:bCs w:val="1"/>
                <w:color w:val="auto"/>
                <w:w w:val="95"/>
              </w:rPr>
              <w:t>Gross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162"/>
              <w:spacing w:after="0" w:line="180" w:lineRule="exact"/>
              <w:rPr>
                <w:sz w:val="20"/>
                <w:szCs w:val="20"/>
                <w:color w:val="auto"/>
              </w:rPr>
            </w:pPr>
            <w:r>
              <w:rPr>
                <w:rFonts w:ascii="Arial" w:cs="Arial" w:eastAsia="Arial" w:hAnsi="Arial"/>
                <w:sz w:val="16"/>
                <w:szCs w:val="16"/>
                <w:b w:val="1"/>
                <w:bCs w:val="1"/>
                <w:color w:val="auto"/>
                <w:w w:val="99"/>
              </w:rPr>
              <w:t>Amortized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82"/>
              <w:spacing w:after="0" w:line="180" w:lineRule="exact"/>
              <w:rPr>
                <w:sz w:val="20"/>
                <w:szCs w:val="20"/>
                <w:color w:val="auto"/>
              </w:rPr>
            </w:pPr>
            <w:r>
              <w:rPr>
                <w:rFonts w:ascii="Arial" w:cs="Arial" w:eastAsia="Arial" w:hAnsi="Arial"/>
                <w:sz w:val="16"/>
                <w:szCs w:val="16"/>
                <w:b w:val="1"/>
                <w:bCs w:val="1"/>
                <w:color w:val="auto"/>
                <w:w w:val="98"/>
              </w:rPr>
              <w:t>Unrealized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40"/>
              <w:spacing w:after="0" w:line="180" w:lineRule="exact"/>
              <w:rPr>
                <w:sz w:val="20"/>
                <w:szCs w:val="20"/>
                <w:color w:val="auto"/>
              </w:rPr>
            </w:pPr>
            <w:r>
              <w:rPr>
                <w:rFonts w:ascii="Arial" w:cs="Arial" w:eastAsia="Arial" w:hAnsi="Arial"/>
                <w:sz w:val="16"/>
                <w:szCs w:val="16"/>
                <w:b w:val="1"/>
                <w:bCs w:val="1"/>
                <w:color w:val="auto"/>
                <w:w w:val="96"/>
              </w:rPr>
              <w:t>Unrealized</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322"/>
              <w:spacing w:after="0" w:line="180" w:lineRule="exact"/>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5"/>
                <w:szCs w:val="15"/>
                <w:color w:val="auto"/>
              </w:rPr>
            </w:pPr>
          </w:p>
        </w:tc>
      </w:tr>
      <w:tr>
        <w:trPr>
          <w:trHeight w:val="207"/>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62"/>
              <w:spacing w:after="0"/>
              <w:rPr>
                <w:sz w:val="20"/>
                <w:szCs w:val="20"/>
                <w:color w:val="auto"/>
              </w:rPr>
            </w:pPr>
            <w:r>
              <w:rPr>
                <w:rFonts w:ascii="Arial" w:cs="Arial" w:eastAsia="Arial" w:hAnsi="Arial"/>
                <w:sz w:val="16"/>
                <w:szCs w:val="16"/>
                <w:b w:val="1"/>
                <w:bCs w:val="1"/>
                <w:color w:val="auto"/>
                <w:w w:val="95"/>
              </w:rPr>
              <w:t>Cost</w:t>
            </w:r>
          </w:p>
        </w:tc>
        <w:tc>
          <w:tcPr>
            <w:tcW w:w="2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Holding Gain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Holding Loss</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160" w:type="dxa"/>
            <w:vAlign w:val="bottom"/>
          </w:tcPr>
          <w:p>
            <w:pPr>
              <w:jc w:val="right"/>
              <w:ind w:right="222"/>
              <w:spacing w:after="0"/>
              <w:rPr>
                <w:sz w:val="20"/>
                <w:szCs w:val="20"/>
                <w:color w:val="auto"/>
              </w:rPr>
            </w:pPr>
            <w:r>
              <w:rPr>
                <w:rFonts w:ascii="Arial" w:cs="Arial" w:eastAsia="Arial" w:hAnsi="Arial"/>
                <w:sz w:val="16"/>
                <w:szCs w:val="16"/>
                <w:b w:val="1"/>
                <w:bCs w:val="1"/>
                <w:color w:val="auto"/>
              </w:rPr>
              <w:t>Percent</w:t>
            </w:r>
          </w:p>
        </w:tc>
        <w:tc>
          <w:tcPr>
            <w:tcW w:w="60" w:type="dxa"/>
            <w:vAlign w:val="bottom"/>
          </w:tcPr>
          <w:p>
            <w:pPr>
              <w:spacing w:after="0"/>
              <w:rPr>
                <w:sz w:val="18"/>
                <w:szCs w:val="18"/>
                <w:color w:val="auto"/>
              </w:rPr>
            </w:pPr>
          </w:p>
        </w:tc>
      </w:tr>
    </w:tbl>
    <w:p>
      <w:pPr>
        <w:spacing w:after="0" w:line="60" w:lineRule="exact"/>
        <w:rPr>
          <w:sz w:val="20"/>
          <w:szCs w:val="20"/>
          <w:color w:val="auto"/>
        </w:rPr>
      </w:pPr>
    </w:p>
    <w:p>
      <w:pPr>
        <w:ind w:left="6380"/>
        <w:spacing w:after="0"/>
        <w:rPr>
          <w:sz w:val="20"/>
          <w:szCs w:val="20"/>
          <w:color w:val="auto"/>
        </w:rPr>
      </w:pPr>
      <w:r>
        <w:rPr>
          <w:rFonts w:ascii="Arial" w:cs="Arial" w:eastAsia="Arial" w:hAnsi="Arial"/>
          <w:sz w:val="14"/>
          <w:szCs w:val="14"/>
          <w:i w:val="1"/>
          <w:iCs w:val="1"/>
          <w:color w:val="auto"/>
        </w:rPr>
        <w:t>(Dollars in thousands)</w:t>
      </w:r>
    </w:p>
    <w:p>
      <w:pPr>
        <w:sectPr>
          <w:pgSz w:w="11900" w:h="16840" w:orient="portrait"/>
          <w:cols w:equalWidth="0" w:num="1">
            <w:col w:w="10620"/>
          </w:cols>
          <w:pgMar w:left="660" w:top="782" w:right="620"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 securities available-for-sale:</w:t>
      </w:r>
    </w:p>
    <w:p>
      <w:pPr>
        <w:spacing w:after="0" w:line="43" w:lineRule="exact"/>
        <w:rPr>
          <w:sz w:val="20"/>
          <w:szCs w:val="20"/>
          <w:color w:val="auto"/>
        </w:rPr>
      </w:pPr>
    </w:p>
    <w:p>
      <w:pPr>
        <w:ind w:left="180" w:right="900"/>
        <w:spacing w:after="0" w:line="283" w:lineRule="auto"/>
        <w:rPr>
          <w:sz w:val="20"/>
          <w:szCs w:val="20"/>
          <w:color w:val="auto"/>
        </w:rPr>
      </w:pPr>
      <w:r>
        <w:rPr>
          <w:rFonts w:ascii="Arial" w:cs="Arial" w:eastAsia="Arial" w:hAnsi="Arial"/>
          <w:sz w:val="16"/>
          <w:szCs w:val="16"/>
          <w:color w:val="auto"/>
        </w:rPr>
        <w:t>Mortgage-backed securities CMO/REMIC</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Municipal bonds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securities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available-for-sale securities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 securities held-to-maturity:</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Government agency/GSE</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Mortgage-backed securities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CMO/REMIC</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Municipal bonds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held-to-maturity securities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3,192,151</w:t>
            </w:r>
          </w:p>
        </w:tc>
        <w:tc>
          <w:tcPr>
            <w:tcW w:w="68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(403,049 )</w:t>
            </w:r>
          </w:p>
        </w:tc>
        <w:tc>
          <w:tcPr>
            <w:tcW w:w="2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2,789,141</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85.68%</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535,269</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(95,966 )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439,303</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000" w:type="dxa"/>
            <w:vAlign w:val="bottom"/>
            <w:vMerge w:val="restart"/>
          </w:tcPr>
          <w:p>
            <w:pPr>
              <w:jc w:val="right"/>
              <w:ind w:right="62"/>
              <w:spacing w:after="0"/>
              <w:rPr>
                <w:sz w:val="20"/>
                <w:szCs w:val="20"/>
                <w:color w:val="auto"/>
              </w:rPr>
            </w:pPr>
            <w:r>
              <w:rPr>
                <w:rFonts w:ascii="Arial" w:cs="Arial" w:eastAsia="Arial" w:hAnsi="Arial"/>
                <w:sz w:val="16"/>
                <w:szCs w:val="16"/>
                <w:color w:val="auto"/>
              </w:rPr>
              <w:t>26,797</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(1,177)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ind w:right="22"/>
              <w:spacing w:after="0"/>
              <w:rPr>
                <w:sz w:val="20"/>
                <w:szCs w:val="20"/>
                <w:color w:val="auto"/>
              </w:rPr>
            </w:pPr>
            <w:r>
              <w:rPr>
                <w:rFonts w:ascii="Arial" w:cs="Arial" w:eastAsia="Arial" w:hAnsi="Arial"/>
                <w:sz w:val="16"/>
                <w:szCs w:val="16"/>
                <w:color w:val="auto"/>
              </w:rPr>
              <w:t>25,687</w:t>
            </w:r>
          </w:p>
        </w:tc>
        <w:tc>
          <w:tcPr>
            <w:tcW w:w="20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0.79 %</w:t>
            </w: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1,080</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1,080</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05"/>
        </w:trPr>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3,755,297</w:t>
            </w:r>
          </w:p>
        </w:tc>
        <w:tc>
          <w:tcPr>
            <w:tcW w:w="20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106</w:t>
            </w:r>
          </w:p>
        </w:tc>
        <w:tc>
          <w:tcPr>
            <w:tcW w:w="2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(500,192 )</w:t>
            </w:r>
          </w:p>
        </w:tc>
        <w:tc>
          <w:tcPr>
            <w:tcW w:w="2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3,255,211</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548,771</w:t>
            </w:r>
          </w:p>
        </w:tc>
        <w:tc>
          <w:tcPr>
            <w:tcW w:w="68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(114,343 )</w:t>
            </w:r>
          </w:p>
        </w:tc>
        <w:tc>
          <w:tcPr>
            <w:tcW w:w="200" w:type="dxa"/>
            <w:vAlign w:val="bottom"/>
          </w:tcPr>
          <w:p>
            <w:pPr>
              <w:spacing w:after="0"/>
              <w:rPr>
                <w:sz w:val="24"/>
                <w:szCs w:val="24"/>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434,428</w:t>
            </w:r>
          </w:p>
        </w:tc>
        <w:tc>
          <w:tcPr>
            <w:tcW w:w="2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21.48%</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706,796</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(105,867 )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600,929</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827,346</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(131,730 )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695,616</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32.39%</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471,388</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913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(47,687 )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424,614</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05"/>
        </w:trPr>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2,554,301</w:t>
            </w:r>
          </w:p>
        </w:tc>
        <w:tc>
          <w:tcPr>
            <w:tcW w:w="20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913</w:t>
            </w:r>
          </w:p>
        </w:tc>
        <w:tc>
          <w:tcPr>
            <w:tcW w:w="2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(399,627 )</w:t>
            </w:r>
          </w:p>
        </w:tc>
        <w:tc>
          <w:tcPr>
            <w:tcW w:w="2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2,155,587</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2">
            <w:col w:w="2980" w:space="720"/>
            <w:col w:w="6920"/>
          </w:cols>
          <w:pgMar w:left="660" w:top="782" w:right="620" w:bottom="1440" w:gutter="0" w:footer="0" w:header="0"/>
          <w:type w:val="continuous"/>
        </w:sectPr>
      </w:pP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ectPr>
          <w:pgSz w:w="11900" w:h="16840" w:orient="portrait"/>
          <w:cols w:equalWidth="0" w:num="1">
            <w:col w:w="10620"/>
          </w:cols>
          <w:pgMar w:left="660" w:top="782" w:right="620" w:bottom="1440" w:gutter="0" w:footer="0" w:header="0"/>
          <w:type w:val="continuous"/>
        </w:sectPr>
      </w:pPr>
    </w:p>
    <w:bookmarkStart w:id="11" w:name="page12"/>
    <w:bookmarkEnd w:id="11"/>
    <w:p>
      <w:pPr>
        <w:ind w:right="240" w:firstLine="432"/>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following table provides information about the amount of interest income earned on investment securities which is fully taxable and which is exempt from regular federal income tax.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60" w:type="dxa"/>
            <w:vAlign w:val="bottom"/>
          </w:tcPr>
          <w:p>
            <w:pPr>
              <w:spacing w:after="0"/>
              <w:rPr>
                <w:sz w:val="17"/>
                <w:szCs w:val="17"/>
                <w:color w:val="auto"/>
              </w:rPr>
            </w:pPr>
          </w:p>
        </w:tc>
        <w:tc>
          <w:tcPr>
            <w:tcW w:w="2780" w:type="dxa"/>
            <w:vAlign w:val="bottom"/>
            <w:gridSpan w:val="4"/>
          </w:tcPr>
          <w:p>
            <w:pPr>
              <w:jc w:val="center"/>
              <w:ind w:left="442"/>
              <w:spacing w:after="0"/>
              <w:rPr>
                <w:sz w:val="20"/>
                <w:szCs w:val="20"/>
                <w:color w:val="auto"/>
              </w:rPr>
            </w:pPr>
            <w:r>
              <w:rPr>
                <w:rFonts w:ascii="Arial" w:cs="Arial" w:eastAsia="Arial" w:hAnsi="Arial"/>
                <w:sz w:val="16"/>
                <w:szCs w:val="16"/>
                <w:b w:val="1"/>
                <w:bCs w:val="1"/>
                <w:color w:val="auto"/>
                <w:w w:val="97"/>
              </w:rPr>
              <w:t>Three Months Ended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7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gridSpan w:val="3"/>
          </w:tcPr>
          <w:p>
            <w:pPr>
              <w:jc w:val="center"/>
              <w:ind w:right="322"/>
              <w:spacing w:after="0"/>
              <w:rPr>
                <w:sz w:val="20"/>
                <w:szCs w:val="20"/>
                <w:color w:val="auto"/>
              </w:rPr>
            </w:pPr>
            <w:r>
              <w:rPr>
                <w:rFonts w:ascii="Arial" w:cs="Arial" w:eastAsia="Arial" w:hAnsi="Arial"/>
                <w:sz w:val="16"/>
                <w:szCs w:val="16"/>
                <w:b w:val="1"/>
                <w:bCs w:val="1"/>
                <w:color w:val="auto"/>
                <w:w w:val="97"/>
              </w:rPr>
              <w:t>March 31,</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7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7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40" w:type="dxa"/>
            <w:vAlign w:val="bottom"/>
            <w:gridSpan w:val="3"/>
          </w:tcPr>
          <w:p>
            <w:pPr>
              <w:jc w:val="center"/>
              <w:ind w:right="322"/>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7160" w:type="dxa"/>
            <w:vAlign w:val="bottom"/>
          </w:tcPr>
          <w:p>
            <w:pPr>
              <w:ind w:left="180"/>
              <w:spacing w:after="0"/>
              <w:rPr>
                <w:sz w:val="20"/>
                <w:szCs w:val="20"/>
                <w:color w:val="auto"/>
              </w:rPr>
            </w:pPr>
            <w:r>
              <w:rPr>
                <w:rFonts w:ascii="Arial" w:cs="Arial" w:eastAsia="Arial" w:hAnsi="Arial"/>
                <w:sz w:val="16"/>
                <w:szCs w:val="16"/>
                <w:color w:val="auto"/>
              </w:rPr>
              <w:t>Taxable</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19,428</w:t>
            </w:r>
          </w:p>
        </w:tc>
        <w:tc>
          <w:tcPr>
            <w:tcW w:w="1300" w:type="dxa"/>
            <w:vAlign w:val="bottom"/>
            <w:gridSpan w:val="2"/>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12,649</w:t>
            </w:r>
          </w:p>
        </w:tc>
        <w:tc>
          <w:tcPr>
            <w:tcW w:w="80" w:type="dxa"/>
            <w:vAlign w:val="bottom"/>
          </w:tcPr>
          <w:p>
            <w:pPr>
              <w:spacing w:after="0"/>
              <w:rPr>
                <w:sz w:val="17"/>
                <w:szCs w:val="17"/>
                <w:color w:val="auto"/>
              </w:rPr>
            </w:pPr>
          </w:p>
        </w:tc>
      </w:tr>
      <w:tr>
        <w:trPr>
          <w:trHeight w:val="205"/>
        </w:trPr>
        <w:tc>
          <w:tcPr>
            <w:tcW w:w="7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Tax-advantaged</w:t>
            </w:r>
          </w:p>
        </w:tc>
        <w:tc>
          <w:tcPr>
            <w:tcW w:w="9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FF0FC"/>
          </w:tcPr>
          <w:p>
            <w:pPr>
              <w:spacing w:after="0"/>
              <w:rPr>
                <w:sz w:val="17"/>
                <w:szCs w:val="17"/>
                <w:color w:val="auto"/>
              </w:rPr>
            </w:pPr>
          </w:p>
        </w:tc>
      </w:tr>
      <w:tr>
        <w:trPr>
          <w:trHeight w:val="203"/>
        </w:trPr>
        <w:tc>
          <w:tcPr>
            <w:tcW w:w="7160" w:type="dxa"/>
            <w:vAlign w:val="bottom"/>
          </w:tcPr>
          <w:p>
            <w:pPr>
              <w:ind w:left="260"/>
              <w:spacing w:after="0"/>
              <w:rPr>
                <w:sz w:val="20"/>
                <w:szCs w:val="20"/>
                <w:color w:val="auto"/>
              </w:rPr>
            </w:pPr>
            <w:r>
              <w:rPr>
                <w:rFonts w:ascii="Arial" w:cs="Arial" w:eastAsia="Arial" w:hAnsi="Arial"/>
                <w:sz w:val="16"/>
                <w:szCs w:val="16"/>
                <w:color w:val="auto"/>
              </w:rPr>
              <w:t>Total interest income from available-for-sale securities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19,596</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12,832</w:t>
            </w:r>
          </w:p>
        </w:tc>
        <w:tc>
          <w:tcPr>
            <w:tcW w:w="80" w:type="dxa"/>
            <w:vAlign w:val="bottom"/>
          </w:tcPr>
          <w:p>
            <w:pPr>
              <w:spacing w:after="0"/>
              <w:rPr>
                <w:sz w:val="17"/>
                <w:szCs w:val="17"/>
                <w:color w:val="auto"/>
              </w:rPr>
            </w:pPr>
          </w:p>
        </w:tc>
      </w:tr>
      <w:tr>
        <w:trPr>
          <w:trHeight w:val="205"/>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held-to-maturity:</w:t>
            </w:r>
          </w:p>
        </w:tc>
        <w:tc>
          <w:tcPr>
            <w:tcW w:w="9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160" w:type="dxa"/>
            <w:vAlign w:val="bottom"/>
          </w:tcPr>
          <w:p>
            <w:pPr>
              <w:ind w:left="180"/>
              <w:spacing w:after="0"/>
              <w:rPr>
                <w:sz w:val="20"/>
                <w:szCs w:val="20"/>
                <w:color w:val="auto"/>
              </w:rPr>
            </w:pPr>
            <w:r>
              <w:rPr>
                <w:rFonts w:ascii="Arial" w:cs="Arial" w:eastAsia="Arial" w:hAnsi="Arial"/>
                <w:sz w:val="16"/>
                <w:szCs w:val="16"/>
                <w:color w:val="auto"/>
              </w:rPr>
              <w:t>Taxable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11,507</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9,105</w:t>
            </w:r>
          </w:p>
        </w:tc>
        <w:tc>
          <w:tcPr>
            <w:tcW w:w="80" w:type="dxa"/>
            <w:vAlign w:val="bottom"/>
          </w:tcPr>
          <w:p>
            <w:pPr>
              <w:spacing w:after="0"/>
              <w:rPr>
                <w:sz w:val="17"/>
                <w:szCs w:val="17"/>
                <w:color w:val="auto"/>
              </w:rPr>
            </w:pPr>
          </w:p>
        </w:tc>
      </w:tr>
      <w:tr>
        <w:trPr>
          <w:trHeight w:val="205"/>
        </w:trPr>
        <w:tc>
          <w:tcPr>
            <w:tcW w:w="7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Tax-advantaged</w:t>
            </w:r>
          </w:p>
        </w:tc>
        <w:tc>
          <w:tcPr>
            <w:tcW w:w="9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2,449</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1,558</w:t>
            </w:r>
          </w:p>
        </w:tc>
        <w:tc>
          <w:tcPr>
            <w:tcW w:w="80" w:type="dxa"/>
            <w:vAlign w:val="bottom"/>
            <w:shd w:val="clear" w:color="auto" w:fill="CFF0FC"/>
          </w:tcPr>
          <w:p>
            <w:pPr>
              <w:spacing w:after="0"/>
              <w:rPr>
                <w:sz w:val="17"/>
                <w:szCs w:val="17"/>
                <w:color w:val="auto"/>
              </w:rPr>
            </w:pPr>
          </w:p>
        </w:tc>
      </w:tr>
      <w:tr>
        <w:trPr>
          <w:trHeight w:val="203"/>
        </w:trPr>
        <w:tc>
          <w:tcPr>
            <w:tcW w:w="7160" w:type="dxa"/>
            <w:vAlign w:val="bottom"/>
          </w:tcPr>
          <w:p>
            <w:pPr>
              <w:ind w:left="260"/>
              <w:spacing w:after="0"/>
              <w:rPr>
                <w:sz w:val="20"/>
                <w:szCs w:val="20"/>
                <w:color w:val="auto"/>
              </w:rPr>
            </w:pPr>
            <w:r>
              <w:rPr>
                <w:rFonts w:ascii="Arial" w:cs="Arial" w:eastAsia="Arial" w:hAnsi="Arial"/>
                <w:sz w:val="16"/>
                <w:szCs w:val="16"/>
                <w:color w:val="auto"/>
              </w:rPr>
              <w:t>Total interest income from held-to-maturity securities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13,956</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10,663</w:t>
            </w:r>
          </w:p>
        </w:tc>
        <w:tc>
          <w:tcPr>
            <w:tcW w:w="80" w:type="dxa"/>
            <w:vAlign w:val="bottom"/>
          </w:tcPr>
          <w:p>
            <w:pPr>
              <w:spacing w:after="0"/>
              <w:rPr>
                <w:sz w:val="17"/>
                <w:szCs w:val="17"/>
                <w:color w:val="auto"/>
              </w:rPr>
            </w:pPr>
          </w:p>
        </w:tc>
      </w:tr>
      <w:tr>
        <w:trPr>
          <w:trHeight w:val="245"/>
        </w:trPr>
        <w:tc>
          <w:tcPr>
            <w:tcW w:w="716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interest income from investment securities</w:t>
            </w: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33,552</w:t>
            </w: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23,495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73" w:lineRule="exact"/>
        <w:rPr>
          <w:sz w:val="20"/>
          <w:szCs w:val="20"/>
          <w:color w:val="auto"/>
        </w:rPr>
      </w:pPr>
    </w:p>
    <w:p>
      <w:pPr>
        <w:ind w:right="160" w:firstLine="432"/>
        <w:spacing w:after="0"/>
        <w:rPr>
          <w:sz w:val="20"/>
          <w:szCs w:val="20"/>
          <w:color w:val="auto"/>
        </w:rPr>
      </w:pPr>
      <w:r>
        <w:rPr>
          <w:rFonts w:ascii="Arial" w:cs="Arial" w:eastAsia="Arial" w:hAnsi="Arial"/>
          <w:sz w:val="16"/>
          <w:szCs w:val="16"/>
          <w:color w:val="auto"/>
        </w:rPr>
        <w:t>Approximately 91% of the total investment securities portfolio at March 31, 2023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CECL model was zero at March 31, 2023 and December 31, 2022.</w:t>
      </w:r>
    </w:p>
    <w:p>
      <w:pPr>
        <w:spacing w:after="0" w:line="164" w:lineRule="exact"/>
        <w:rPr>
          <w:sz w:val="20"/>
          <w:szCs w:val="20"/>
          <w:color w:val="auto"/>
        </w:rPr>
      </w:pPr>
    </w:p>
    <w:p>
      <w:pPr>
        <w:ind w:right="60" w:firstLine="432"/>
        <w:spacing w:after="0" w:line="252" w:lineRule="auto"/>
        <w:rPr>
          <w:sz w:val="20"/>
          <w:szCs w:val="20"/>
          <w:color w:val="auto"/>
        </w:rPr>
      </w:pPr>
      <w:r>
        <w:rPr>
          <w:rFonts w:ascii="Arial" w:cs="Arial" w:eastAsia="Arial" w:hAnsi="Arial"/>
          <w:sz w:val="16"/>
          <w:szCs w:val="16"/>
          <w:color w:val="auto"/>
        </w:rPr>
        <w:t>The following table presents the Company’s available-for-sale and held-to-maturity investment securities, by investment category, in an unrealized loss position for which an allowance for credit losses has not been recorded as of March 31, 2023 and December 31,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12 Months or Longer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4"/>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9"/>
              </w:rPr>
              <w:t>Holding</w:t>
            </w:r>
          </w:p>
        </w:tc>
        <w:tc>
          <w:tcPr>
            <w:tcW w:w="80" w:type="dxa"/>
            <w:vAlign w:val="bottom"/>
          </w:tcPr>
          <w:p>
            <w:pPr>
              <w:spacing w:after="0"/>
              <w:rPr>
                <w:sz w:val="14"/>
                <w:szCs w:val="14"/>
                <w:color w:val="auto"/>
              </w:rPr>
            </w:pP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7"/>
                <w:szCs w:val="17"/>
                <w:color w:val="auto"/>
              </w:rPr>
            </w:pP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753,978</w:t>
            </w:r>
          </w:p>
        </w:tc>
        <w:tc>
          <w:tcPr>
            <w:tcW w:w="12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(43,323 )</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1,992,196</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(318,240 )</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2,746,174</w:t>
            </w:r>
          </w:p>
        </w:tc>
        <w:tc>
          <w:tcPr>
            <w:tcW w:w="8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(361,563 )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6,062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(148 )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423,357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(97,352 )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429,419</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(97,500 )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(51 )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(667 )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(718 )</w:t>
            </w:r>
          </w:p>
        </w:tc>
      </w:tr>
      <w:tr>
        <w:trPr>
          <w:trHeight w:val="23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764,181</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(43,522 )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2,430,213</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(416,259 )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3,194,394</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(459,781 )</w:t>
            </w:r>
          </w:p>
        </w:tc>
      </w:tr>
      <w:tr>
        <w:trPr>
          <w:trHeight w:val="165"/>
        </w:trPr>
        <w:tc>
          <w:tcPr>
            <w:tcW w:w="334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23,225</w:t>
            </w:r>
          </w:p>
        </w:tc>
        <w:tc>
          <w:tcPr>
            <w:tcW w:w="12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(579 )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419,597</w:t>
            </w:r>
          </w:p>
        </w:tc>
        <w:tc>
          <w:tcPr>
            <w:tcW w:w="10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(99,917 )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442,822</w:t>
            </w:r>
          </w:p>
        </w:tc>
        <w:tc>
          <w:tcPr>
            <w:tcW w:w="8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(100,496 )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128,307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(2,858 )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471,641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(94,960 )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599,948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(97,818 )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48,202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(2,033 )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639,623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(132,741 )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687,825</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(134,774 )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98,653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(2,271 )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220,735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(34,456 )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319,388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(36,727 )</w:t>
            </w:r>
          </w:p>
        </w:tc>
      </w:tr>
      <w:tr>
        <w:trPr>
          <w:trHeight w:val="21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298,387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(7,741 )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1,751,596</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(362,074 )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2,049,983</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(369,815 )</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40" w:orient="portrait"/>
          <w:cols w:equalWidth="0" w:num="1">
            <w:col w:w="10560"/>
          </w:cols>
          <w:pgMar w:left="660" w:top="790" w:right="68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12 Months or Longer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Holding</w:t>
            </w: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r>
      <w:tr>
        <w:trPr>
          <w:trHeight w:val="186"/>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1,658,331</w:t>
            </w:r>
          </w:p>
        </w:tc>
        <w:tc>
          <w:tcPr>
            <w:tcW w:w="4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(187,842 )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1,129,257</w:t>
            </w:r>
          </w:p>
        </w:tc>
        <w:tc>
          <w:tcPr>
            <w:tcW w:w="10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(215,207 )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2,787,588</w:t>
            </w:r>
          </w:p>
        </w:tc>
        <w:tc>
          <w:tcPr>
            <w:tcW w:w="8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(403,049 )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54,005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(4,796 )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385,295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(91,170 )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439,300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(95,966 )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24,507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(1,177 )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24,507</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(1,177 )</w:t>
            </w:r>
          </w:p>
        </w:tc>
      </w:tr>
      <w:tr>
        <w:trPr>
          <w:trHeight w:val="192"/>
        </w:trPr>
        <w:tc>
          <w:tcPr>
            <w:tcW w:w="3340" w:type="dxa"/>
            <w:vAlign w:val="bottom"/>
          </w:tcPr>
          <w:p>
            <w:pPr>
              <w:ind w:left="42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1,736,843</w:t>
            </w:r>
          </w:p>
        </w:tc>
        <w:tc>
          <w:tcPr>
            <w:tcW w:w="12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(193,815 )</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1,514,552</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(306,377 )</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3,251,395</w:t>
            </w:r>
          </w:p>
        </w:tc>
        <w:tc>
          <w:tcPr>
            <w:tcW w:w="8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(500,192 )</w:t>
            </w: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179,348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(39,866 )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255,080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(74,477 )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434,428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(114,343 )</w:t>
            </w:r>
          </w:p>
        </w:tc>
      </w:tr>
      <w:tr>
        <w:trPr>
          <w:trHeight w:val="163"/>
        </w:trPr>
        <w:tc>
          <w:tcPr>
            <w:tcW w:w="3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188,480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412,449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(96,825</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600,929</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8"/>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(9,042 )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(105,867 )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376,540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(60,598 )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319,076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(71,132 )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695,616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(131,730 )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312,702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(35,656 )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53,350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(12,031 )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366,052</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(47,687 )</w:t>
            </w:r>
          </w:p>
        </w:tc>
      </w:tr>
      <w:tr>
        <w:trPr>
          <w:trHeight w:val="192"/>
        </w:trPr>
        <w:tc>
          <w:tcPr>
            <w:tcW w:w="3340" w:type="dxa"/>
            <w:vAlign w:val="bottom"/>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1,057,070</w:t>
            </w:r>
          </w:p>
        </w:tc>
        <w:tc>
          <w:tcPr>
            <w:tcW w:w="12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(145,162 )</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1,039,955</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(254,465 )</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2,097,025</w:t>
            </w:r>
          </w:p>
        </w:tc>
        <w:tc>
          <w:tcPr>
            <w:tcW w:w="8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(399,627 )</w:t>
            </w: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ind w:right="760" w:firstLine="432"/>
        <w:spacing w:after="0" w:line="322" w:lineRule="auto"/>
        <w:rPr>
          <w:sz w:val="20"/>
          <w:szCs w:val="20"/>
          <w:color w:val="auto"/>
        </w:rPr>
      </w:pPr>
      <w:r>
        <w:rPr>
          <w:rFonts w:ascii="Arial" w:cs="Arial" w:eastAsia="Arial" w:hAnsi="Arial"/>
          <w:sz w:val="14"/>
          <w:szCs w:val="14"/>
          <w:color w:val="auto"/>
        </w:rPr>
        <w:t>At March 31, 2023 and December 31, 2022, investment securities having a carrying value of approximately $4.0 billion and $2.90 billion, respectively, were pledged to secure public deposits, short and long-term borrowings, and for other purposes as required or permitted by law.</w:t>
      </w:r>
    </w:p>
    <w:p>
      <w:pPr>
        <w:spacing w:after="0" w:line="108" w:lineRule="exact"/>
        <w:rPr>
          <w:sz w:val="20"/>
          <w:szCs w:val="20"/>
          <w:color w:val="auto"/>
        </w:rPr>
      </w:pPr>
    </w:p>
    <w:p>
      <w:pPr>
        <w:ind w:right="120" w:firstLine="432"/>
        <w:spacing w:after="0" w:line="286" w:lineRule="auto"/>
        <w:rPr>
          <w:sz w:val="20"/>
          <w:szCs w:val="20"/>
          <w:color w:val="auto"/>
        </w:rPr>
      </w:pPr>
      <w:r>
        <w:rPr>
          <w:rFonts w:ascii="Arial" w:cs="Arial" w:eastAsia="Arial" w:hAnsi="Arial"/>
          <w:sz w:val="14"/>
          <w:szCs w:val="14"/>
          <w:color w:val="auto"/>
        </w:rPr>
        <w:t>The amortized cost and fair value of debt securities at March 31, 2023,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154"/>
              <w:spacing w:after="0"/>
              <w:rPr>
                <w:sz w:val="20"/>
                <w:szCs w:val="20"/>
                <w:color w:val="auto"/>
              </w:rPr>
            </w:pPr>
            <w:r>
              <w:rPr>
                <w:rFonts w:ascii="Arial" w:cs="Arial" w:eastAsia="Arial" w:hAnsi="Arial"/>
                <w:sz w:val="13"/>
                <w:szCs w:val="13"/>
                <w:b w:val="1"/>
                <w:bCs w:val="1"/>
                <w:color w:val="auto"/>
              </w:rPr>
              <w:t>March 31, 2023</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gridSpan w:val="5"/>
          </w:tcPr>
          <w:p>
            <w:pPr>
              <w:ind w:left="680"/>
              <w:spacing w:after="0"/>
              <w:rPr>
                <w:sz w:val="20"/>
                <w:szCs w:val="20"/>
                <w:color w:val="auto"/>
              </w:rPr>
            </w:pPr>
            <w:r>
              <w:rPr>
                <w:rFonts w:ascii="Arial" w:cs="Arial" w:eastAsia="Arial" w:hAnsi="Arial"/>
                <w:sz w:val="13"/>
                <w:szCs w:val="13"/>
                <w:b w:val="1"/>
                <w:bCs w:val="1"/>
                <w:color w:val="auto"/>
              </w:rPr>
              <w:t>Available-for-sale</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gridSpan w:val="6"/>
          </w:tcPr>
          <w:p>
            <w:pPr>
              <w:ind w:left="280"/>
              <w:spacing w:after="0"/>
              <w:rPr>
                <w:sz w:val="20"/>
                <w:szCs w:val="20"/>
                <w:color w:val="auto"/>
              </w:rPr>
            </w:pPr>
            <w:r>
              <w:rPr>
                <w:rFonts w:ascii="Arial" w:cs="Arial" w:eastAsia="Arial" w:hAnsi="Arial"/>
                <w:sz w:val="13"/>
                <w:szCs w:val="13"/>
                <w:b w:val="1"/>
                <w:bCs w:val="1"/>
                <w:color w:val="auto"/>
              </w:rPr>
              <w:t>Held-to-maturity</w:t>
            </w:r>
          </w:p>
        </w:tc>
      </w:tr>
      <w:tr>
        <w:trPr>
          <w:trHeight w:val="180"/>
        </w:trPr>
        <w:tc>
          <w:tcPr>
            <w:tcW w:w="5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Amortized Cost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3"/>
                <w:szCs w:val="13"/>
                <w:b w:val="1"/>
                <w:bCs w:val="1"/>
                <w:color w:val="auto"/>
              </w:rPr>
              <w:t>Amortized Cost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r>
      <w:tr>
        <w:trPr>
          <w:trHeight w:val="235"/>
        </w:trPr>
        <w:tc>
          <w:tcPr>
            <w:tcW w:w="5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4"/>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5"/>
        </w:trPr>
        <w:tc>
          <w:tcPr>
            <w:tcW w:w="5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Due in one year or less</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1,495</w:t>
            </w:r>
          </w:p>
        </w:tc>
        <w:tc>
          <w:tcPr>
            <w:tcW w:w="48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334"/>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11,608</w:t>
            </w:r>
          </w:p>
        </w:tc>
        <w:tc>
          <w:tcPr>
            <w:tcW w:w="10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11,147</w:t>
            </w:r>
          </w:p>
        </w:tc>
        <w:tc>
          <w:tcPr>
            <w:tcW w:w="80" w:type="dxa"/>
            <w:vAlign w:val="bottom"/>
            <w:shd w:val="clear" w:color="auto" w:fill="CFF0FC"/>
          </w:tcPr>
          <w:p>
            <w:pPr>
              <w:spacing w:after="0"/>
              <w:rPr>
                <w:sz w:val="16"/>
                <w:szCs w:val="16"/>
                <w:color w:val="auto"/>
              </w:rPr>
            </w:pPr>
          </w:p>
        </w:tc>
      </w:tr>
      <w:tr>
        <w:trPr>
          <w:trHeight w:val="175"/>
        </w:trPr>
        <w:tc>
          <w:tcPr>
            <w:tcW w:w="500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327,651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314,059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35,679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34,823</w:t>
            </w:r>
          </w:p>
        </w:tc>
        <w:tc>
          <w:tcPr>
            <w:tcW w:w="80" w:type="dxa"/>
            <w:vAlign w:val="bottom"/>
          </w:tcPr>
          <w:p>
            <w:pPr>
              <w:spacing w:after="0"/>
              <w:rPr>
                <w:sz w:val="15"/>
                <w:szCs w:val="15"/>
                <w:color w:val="auto"/>
              </w:rPr>
            </w:pPr>
          </w:p>
        </w:tc>
      </w:tr>
      <w:tr>
        <w:trPr>
          <w:trHeight w:val="185"/>
        </w:trPr>
        <w:tc>
          <w:tcPr>
            <w:tcW w:w="5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Due after five years through ten years</w:t>
            </w: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1,945,392</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1,688,229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299,200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270,717</w:t>
            </w:r>
          </w:p>
        </w:tc>
        <w:tc>
          <w:tcPr>
            <w:tcW w:w="80" w:type="dxa"/>
            <w:vAlign w:val="bottom"/>
            <w:shd w:val="clear" w:color="auto" w:fill="CFF0FC"/>
          </w:tcPr>
          <w:p>
            <w:pPr>
              <w:spacing w:after="0"/>
              <w:rPr>
                <w:sz w:val="16"/>
                <w:szCs w:val="16"/>
                <w:color w:val="auto"/>
              </w:rPr>
            </w:pPr>
          </w:p>
        </w:tc>
      </w:tr>
      <w:tr>
        <w:trPr>
          <w:trHeight w:val="175"/>
        </w:trPr>
        <w:tc>
          <w:tcPr>
            <w:tcW w:w="5000" w:type="dxa"/>
            <w:vAlign w:val="bottom"/>
          </w:tcPr>
          <w:p>
            <w:pPr>
              <w:ind w:left="20"/>
              <w:spacing w:after="0"/>
              <w:rPr>
                <w:sz w:val="20"/>
                <w:szCs w:val="20"/>
                <w:color w:val="auto"/>
              </w:rPr>
            </w:pPr>
            <w:r>
              <w:rPr>
                <w:rFonts w:ascii="Arial" w:cs="Arial" w:eastAsia="Arial" w:hAnsi="Arial"/>
                <w:sz w:val="13"/>
                <w:szCs w:val="13"/>
                <w:color w:val="auto"/>
              </w:rPr>
              <w:t>Due after ten years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1,389,646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1,200,736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2,189,492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1,851,882</w:t>
            </w:r>
          </w:p>
        </w:tc>
        <w:tc>
          <w:tcPr>
            <w:tcW w:w="80" w:type="dxa"/>
            <w:vAlign w:val="bottom"/>
          </w:tcPr>
          <w:p>
            <w:pPr>
              <w:spacing w:after="0"/>
              <w:rPr>
                <w:sz w:val="15"/>
                <w:szCs w:val="15"/>
                <w:color w:val="auto"/>
              </w:rPr>
            </w:pPr>
          </w:p>
        </w:tc>
      </w:tr>
      <w:tr>
        <w:trPr>
          <w:trHeight w:val="225"/>
        </w:trPr>
        <w:tc>
          <w:tcPr>
            <w:tcW w:w="50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Total investment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3,664,184</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3,204,524</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4"/>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2,535,979</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2,168,569</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73" w:lineRule="exact"/>
        <w:rPr>
          <w:sz w:val="20"/>
          <w:szCs w:val="20"/>
          <w:color w:val="auto"/>
        </w:rPr>
      </w:pPr>
    </w:p>
    <w:p>
      <w:pPr>
        <w:ind w:right="300" w:firstLine="432"/>
        <w:spacing w:after="0" w:line="252" w:lineRule="auto"/>
        <w:rPr>
          <w:sz w:val="20"/>
          <w:szCs w:val="20"/>
          <w:color w:val="auto"/>
        </w:rPr>
      </w:pPr>
      <w:r>
        <w:rPr>
          <w:rFonts w:ascii="Arial" w:cs="Arial" w:eastAsia="Arial" w:hAnsi="Arial"/>
          <w:sz w:val="16"/>
          <w:szCs w:val="16"/>
          <w:color w:val="auto"/>
        </w:rPr>
        <w:t>The investment in FHLB stock is periodically evaluated for impairment based on, among other things, the capital adequacy of the FHLB and its overall financial condition. No impairment losses have been recorded through March 31, 2023.</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40" w:orient="portrait"/>
          <w:cols w:equalWidth="0" w:num="1">
            <w:col w:w="10560"/>
          </w:cols>
          <w:pgMar w:left="660" w:top="997" w:right="680" w:bottom="1440" w:gutter="0" w:footer="0" w:header="0"/>
        </w:sectPr>
      </w:pPr>
    </w:p>
    <w:bookmarkStart w:id="13" w:name="page14"/>
    <w:bookmarkEnd w:id="13"/>
    <w:p>
      <w:pPr>
        <w:jc w:val="right"/>
        <w:ind w:left="440" w:right="3780" w:hanging="434"/>
        <w:spacing w:after="0" w:line="563" w:lineRule="auto"/>
        <w:tabs>
          <w:tab w:leader="none" w:pos="311"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 xml:space="preserve">LOANS AND LEASE FINANCE RECEIVABLES AND ALLOWANCE FOR CREDIT LOSSES </w:t>
      </w:r>
      <w:r>
        <w:rPr>
          <w:rFonts w:ascii="Arial" w:cs="Arial" w:eastAsia="Arial" w:hAnsi="Arial"/>
          <w:sz w:val="14"/>
          <w:szCs w:val="14"/>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 2023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December 31, 2022</w:t>
            </w:r>
          </w:p>
        </w:tc>
      </w:tr>
      <w:tr>
        <w:trPr>
          <w:trHeight w:val="188"/>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40" w:type="dxa"/>
            <w:vAlign w:val="bottom"/>
            <w:gridSpan w:val="6"/>
          </w:tcPr>
          <w:p>
            <w:pPr>
              <w:jc w:val="right"/>
              <w:ind w:right="1380"/>
              <w:spacing w:after="0"/>
              <w:rPr>
                <w:sz w:val="20"/>
                <w:szCs w:val="20"/>
                <w:color w:val="auto"/>
              </w:rPr>
            </w:pPr>
            <w:r>
              <w:rPr>
                <w:rFonts w:ascii="Arial" w:cs="Arial" w:eastAsia="Arial" w:hAnsi="Arial"/>
                <w:sz w:val="14"/>
                <w:szCs w:val="14"/>
                <w:i w:val="1"/>
                <w:iCs w:val="1"/>
                <w:color w:val="auto"/>
              </w:rPr>
              <w:t>(Dollars in thousands)</w:t>
            </w:r>
          </w:p>
        </w:tc>
      </w:tr>
      <w:tr>
        <w:trPr>
          <w:trHeight w:val="210"/>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6,950,302</w:t>
            </w: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6,884,948</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83,992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88,271</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283,464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290,908</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SBA - Paycheck Protection Program (PPP)</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9,087</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898,167</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948,683</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307,820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433,564</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79,552</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81,126</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262,324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266,024</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71,044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76,781</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60"/>
              <w:spacing w:after="0"/>
              <w:rPr>
                <w:sz w:val="20"/>
                <w:szCs w:val="20"/>
                <w:color w:val="auto"/>
              </w:rPr>
            </w:pPr>
            <w:r>
              <w:rPr>
                <w:rFonts w:ascii="Arial" w:cs="Arial" w:eastAsia="Arial" w:hAnsi="Arial"/>
                <w:sz w:val="16"/>
                <w:szCs w:val="16"/>
                <w:color w:val="auto"/>
              </w:rPr>
              <w:t>Total loans, at amortized cost</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8,942,489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9,079,392</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2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(86,540 )</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(85,117 )</w:t>
            </w:r>
          </w:p>
        </w:tc>
      </w:tr>
      <w:tr>
        <w:trPr>
          <w:trHeight w:val="204"/>
        </w:trPr>
        <w:tc>
          <w:tcPr>
            <w:tcW w:w="6500" w:type="dxa"/>
            <w:vAlign w:val="bottom"/>
          </w:tcPr>
          <w:p>
            <w:pPr>
              <w:ind w:left="380"/>
              <w:spacing w:after="0"/>
              <w:rPr>
                <w:sz w:val="20"/>
                <w:szCs w:val="20"/>
                <w:color w:val="auto"/>
              </w:rPr>
            </w:pPr>
            <w:r>
              <w:rPr>
                <w:rFonts w:ascii="Arial" w:cs="Arial" w:eastAsia="Arial" w:hAnsi="Arial"/>
                <w:sz w:val="16"/>
                <w:szCs w:val="16"/>
                <w:color w:val="auto"/>
              </w:rPr>
              <w:t>Total loans and lease finance receivables, net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8,855,949</w:t>
            </w:r>
          </w:p>
        </w:tc>
        <w:tc>
          <w:tcPr>
            <w:tcW w:w="1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8,994,275</w:t>
            </w:r>
          </w:p>
        </w:tc>
        <w:tc>
          <w:tcPr>
            <w:tcW w:w="80" w:type="dxa"/>
            <w:vAlign w:val="bottom"/>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right="40" w:firstLine="432"/>
        <w:spacing w:after="0" w:line="237" w:lineRule="auto"/>
        <w:rPr>
          <w:sz w:val="20"/>
          <w:szCs w:val="20"/>
          <w:color w:val="auto"/>
        </w:rPr>
      </w:pPr>
      <w:r>
        <w:rPr>
          <w:rFonts w:ascii="Arial" w:cs="Arial" w:eastAsia="Arial" w:hAnsi="Arial"/>
          <w:sz w:val="16"/>
          <w:szCs w:val="16"/>
          <w:color w:val="auto"/>
        </w:rPr>
        <w:t>As of March 31, 2023, 81.59% of the Company’s total loan portfolio consisted of real estate loans, with commercial real estate loans representing 77. 72% of total loans. The Company’s real estate loans and construction loans are secured by real properties primarily located in California. As of March 31, 2023, $517.8 million, or 7.45% of the total commercial real estate loans included loans secured by farmland, compared to $517.8 million, or 7.52%, at December 31, 2022. The loans secured by farmland included $138.4 million for loans secured by dairy &amp; livestock land and $379.4 million secured by agricultural land at March 31, 2023, compared to $140.5 million for loans secured by dairy &amp; livestock land and $377.3 million for loans secured by agricultural land at December 31, 2022. As of March 31, 2023, dairy &amp; livestock and agribusiness loans of $ 307.8 million were comprised of $261.3 million for dairy &amp; livestock loans and $46.5 million for agribusiness loans, compared to $433.6 million were comprised of $388.5 million for dairy &amp; livestock loans and $45.1 million for agribusiness loans at December 31, 2022.</w:t>
      </w:r>
    </w:p>
    <w:p>
      <w:pPr>
        <w:spacing w:after="0" w:line="167" w:lineRule="exact"/>
        <w:rPr>
          <w:sz w:val="20"/>
          <w:szCs w:val="20"/>
          <w:color w:val="auto"/>
        </w:rPr>
      </w:pPr>
    </w:p>
    <w:p>
      <w:pPr>
        <w:ind w:right="120" w:firstLine="432"/>
        <w:spacing w:after="0" w:line="252" w:lineRule="auto"/>
        <w:rPr>
          <w:sz w:val="20"/>
          <w:szCs w:val="20"/>
          <w:color w:val="auto"/>
        </w:rPr>
      </w:pPr>
      <w:r>
        <w:rPr>
          <w:rFonts w:ascii="Arial" w:cs="Arial" w:eastAsia="Arial" w:hAnsi="Arial"/>
          <w:sz w:val="16"/>
          <w:szCs w:val="16"/>
          <w:color w:val="auto"/>
        </w:rPr>
        <w:t>At March 31, 2023 and December 31, 2022, loans totaling $4.32 billion and $4.30 billion, respectively, were pledged to secure the borrowings and available lines of credit from the FHLB and the Federal Reserve Bank.</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were no outstanding loans held-for-sale as of March 31, 2023 and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Quality Indicators</w:t>
      </w:r>
    </w:p>
    <w:p>
      <w:pPr>
        <w:spacing w:after="0" w:line="184" w:lineRule="exact"/>
        <w:rPr>
          <w:sz w:val="20"/>
          <w:szCs w:val="20"/>
          <w:color w:val="auto"/>
        </w:rPr>
      </w:pPr>
    </w:p>
    <w:p>
      <w:pPr>
        <w:ind w:right="60" w:firstLine="432"/>
        <w:spacing w:after="0" w:line="322" w:lineRule="auto"/>
        <w:rPr>
          <w:sz w:val="20"/>
          <w:szCs w:val="20"/>
          <w:color w:val="auto"/>
        </w:rPr>
      </w:pPr>
      <w:r>
        <w:rPr>
          <w:rFonts w:ascii="Arial" w:cs="Arial" w:eastAsia="Arial" w:hAnsi="Arial"/>
          <w:sz w:val="14"/>
          <w:szCs w:val="14"/>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08" w:lineRule="exact"/>
        <w:rPr>
          <w:sz w:val="20"/>
          <w:szCs w:val="20"/>
          <w:color w:val="auto"/>
        </w:rPr>
      </w:pPr>
    </w:p>
    <w:p>
      <w:pPr>
        <w:ind w:right="40" w:firstLine="432"/>
        <w:spacing w:after="0" w:line="239" w:lineRule="auto"/>
        <w:rPr>
          <w:sz w:val="20"/>
          <w:szCs w:val="20"/>
          <w:color w:val="auto"/>
        </w:rPr>
      </w:pPr>
      <w:r>
        <w:rPr>
          <w:rFonts w:ascii="Arial" w:cs="Arial" w:eastAsia="Arial" w:hAnsi="Arial"/>
          <w:sz w:val="16"/>
          <w:szCs w:val="16"/>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64" w:lineRule="exact"/>
        <w:rPr>
          <w:sz w:val="20"/>
          <w:szCs w:val="20"/>
          <w:color w:val="auto"/>
        </w:rPr>
      </w:pPr>
    </w:p>
    <w:p>
      <w:pPr>
        <w:ind w:right="220" w:firstLine="432"/>
        <w:spacing w:after="0" w:line="322" w:lineRule="auto"/>
        <w:rPr>
          <w:sz w:val="20"/>
          <w:szCs w:val="20"/>
          <w:color w:val="auto"/>
        </w:rPr>
      </w:pPr>
      <w:r>
        <w:rPr>
          <w:rFonts w:ascii="Arial" w:cs="Arial" w:eastAsia="Arial" w:hAnsi="Arial"/>
          <w:sz w:val="14"/>
          <w:szCs w:val="14"/>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08" w:lineRule="exact"/>
        <w:rPr>
          <w:sz w:val="20"/>
          <w:szCs w:val="20"/>
          <w:color w:val="auto"/>
        </w:rPr>
      </w:pPr>
    </w:p>
    <w:p>
      <w:pPr>
        <w:ind w:firstLine="432"/>
        <w:spacing w:after="0"/>
        <w:rPr>
          <w:sz w:val="20"/>
          <w:szCs w:val="20"/>
          <w:color w:val="auto"/>
        </w:rPr>
      </w:pPr>
      <w:r>
        <w:rPr>
          <w:rFonts w:ascii="Arial" w:cs="Arial" w:eastAsia="Arial" w:hAnsi="Arial"/>
          <w:sz w:val="16"/>
          <w:szCs w:val="16"/>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40" w:orient="portrait"/>
          <w:cols w:equalWidth="0" w:num="1">
            <w:col w:w="10580"/>
          </w:cols>
          <w:pgMar w:left="660" w:top="938" w:right="660" w:bottom="1440" w:gutter="0" w:footer="0" w:header="0"/>
        </w:sectPr>
      </w:pPr>
    </w:p>
    <w:bookmarkStart w:id="14" w:name="page15"/>
    <w:bookmarkEnd w:id="14"/>
    <w:p>
      <w:pPr>
        <w:ind w:firstLine="432"/>
        <w:spacing w:after="0" w:line="243" w:lineRule="auto"/>
        <w:rPr>
          <w:sz w:val="20"/>
          <w:szCs w:val="20"/>
          <w:color w:val="auto"/>
        </w:rPr>
      </w:pPr>
      <w:r>
        <w:rPr>
          <w:rFonts w:ascii="Arial" w:cs="Arial" w:eastAsia="Arial" w:hAnsi="Arial"/>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61" w:lineRule="exact"/>
        <w:rPr>
          <w:sz w:val="20"/>
          <w:szCs w:val="20"/>
          <w:color w:val="auto"/>
        </w:rPr>
      </w:pPr>
    </w:p>
    <w:p>
      <w:pPr>
        <w:ind w:firstLine="432"/>
        <w:spacing w:after="0" w:line="243" w:lineRule="auto"/>
        <w:rPr>
          <w:sz w:val="20"/>
          <w:szCs w:val="20"/>
          <w:color w:val="auto"/>
        </w:rPr>
      </w:pPr>
      <w:r>
        <w:rPr>
          <w:rFonts w:ascii="Arial" w:cs="Arial" w:eastAsia="Arial" w:hAnsi="Arial"/>
          <w:sz w:val="16"/>
          <w:szCs w:val="16"/>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61" w:lineRule="exact"/>
        <w:rPr>
          <w:sz w:val="20"/>
          <w:szCs w:val="20"/>
          <w:color w:val="auto"/>
        </w:rPr>
      </w:pPr>
    </w:p>
    <w:p>
      <w:pPr>
        <w:ind w:right="120" w:firstLine="432"/>
        <w:spacing w:after="0" w:line="322" w:lineRule="auto"/>
        <w:rPr>
          <w:sz w:val="20"/>
          <w:szCs w:val="20"/>
          <w:color w:val="auto"/>
        </w:rPr>
      </w:pPr>
      <w:r>
        <w:rPr>
          <w:rFonts w:ascii="Arial" w:cs="Arial" w:eastAsia="Arial" w:hAnsi="Arial"/>
          <w:sz w:val="14"/>
          <w:szCs w:val="14"/>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08" w:lineRule="exact"/>
        <w:rPr>
          <w:sz w:val="20"/>
          <w:szCs w:val="20"/>
          <w:color w:val="auto"/>
        </w:rPr>
      </w:pPr>
    </w:p>
    <w:p>
      <w:pPr>
        <w:ind w:right="120" w:firstLine="432"/>
        <w:spacing w:after="0" w:line="243" w:lineRule="auto"/>
        <w:rPr>
          <w:sz w:val="20"/>
          <w:szCs w:val="20"/>
          <w:color w:val="auto"/>
        </w:rPr>
      </w:pPr>
      <w:r>
        <w:rPr>
          <w:rFonts w:ascii="Arial" w:cs="Arial" w:eastAsia="Arial" w:hAnsi="Arial"/>
          <w:sz w:val="16"/>
          <w:szCs w:val="16"/>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15" w:name="page16"/>
    <w:bookmarkEnd w:id="15"/>
    <w:p>
      <w:pPr>
        <w:ind w:right="640" w:firstLine="432"/>
        <w:spacing w:after="0" w:line="252" w:lineRule="auto"/>
        <w:rPr>
          <w:sz w:val="20"/>
          <w:szCs w:val="20"/>
          <w:color w:val="auto"/>
        </w:rPr>
      </w:pPr>
      <w:r>
        <w:rPr>
          <w:rFonts w:ascii="Arial" w:cs="Arial" w:eastAsia="Arial" w:hAnsi="Arial"/>
          <w:sz w:val="16"/>
          <w:szCs w:val="16"/>
          <w:color w:val="auto"/>
        </w:rPr>
        <w:t>The following table summarizes loans by type and origination year, according to our internal risk ratings, and includes gross charge-offs in accordance with ASU 2022-02 effective January 1, 2023, as of the dates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ind w:right="167"/>
              <w:spacing w:after="0"/>
              <w:rPr>
                <w:sz w:val="20"/>
                <w:szCs w:val="20"/>
                <w:color w:val="auto"/>
              </w:rPr>
            </w:pPr>
            <w:r>
              <w:rPr>
                <w:rFonts w:ascii="Arial" w:cs="Arial" w:eastAsia="Arial" w:hAnsi="Arial"/>
                <w:sz w:val="11"/>
                <w:szCs w:val="11"/>
                <w:b w:val="1"/>
                <w:bCs w:val="1"/>
                <w:color w:val="auto"/>
                <w:w w:val="98"/>
              </w:rPr>
              <w:t>Revolving</w:t>
            </w:r>
          </w:p>
        </w:tc>
        <w:tc>
          <w:tcPr>
            <w:tcW w:w="160" w:type="dxa"/>
            <w:vAlign w:val="bottom"/>
          </w:tcPr>
          <w:p>
            <w:pPr>
              <w:spacing w:after="0"/>
              <w:rPr>
                <w:sz w:val="11"/>
                <w:szCs w:val="11"/>
                <w:color w:val="auto"/>
              </w:rPr>
            </w:pPr>
          </w:p>
        </w:tc>
        <w:tc>
          <w:tcPr>
            <w:tcW w:w="820" w:type="dxa"/>
            <w:vAlign w:val="bottom"/>
          </w:tcPr>
          <w:p>
            <w:pPr>
              <w:jc w:val="center"/>
              <w:ind w:right="107"/>
              <w:spacing w:after="0"/>
              <w:rPr>
                <w:sz w:val="20"/>
                <w:szCs w:val="20"/>
                <w:color w:val="auto"/>
              </w:rPr>
            </w:pPr>
            <w:r>
              <w:rPr>
                <w:rFonts w:ascii="Arial" w:cs="Arial" w:eastAsia="Arial" w:hAnsi="Arial"/>
                <w:sz w:val="11"/>
                <w:szCs w:val="11"/>
                <w:b w:val="1"/>
                <w:bCs w:val="1"/>
                <w:color w:val="auto"/>
                <w:w w:val="95"/>
              </w:rPr>
              <w:t>Revolving</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ind w:right="167"/>
              <w:spacing w:after="0"/>
              <w:rPr>
                <w:sz w:val="20"/>
                <w:szCs w:val="20"/>
                <w:color w:val="auto"/>
              </w:rPr>
            </w:pPr>
            <w:r>
              <w:rPr>
                <w:rFonts w:ascii="Arial" w:cs="Arial" w:eastAsia="Arial" w:hAnsi="Arial"/>
                <w:sz w:val="11"/>
                <w:szCs w:val="11"/>
                <w:b w:val="1"/>
                <w:bCs w:val="1"/>
                <w:color w:val="auto"/>
                <w:w w:val="97"/>
              </w:rPr>
              <w:t>loans</w:t>
            </w:r>
          </w:p>
        </w:tc>
        <w:tc>
          <w:tcPr>
            <w:tcW w:w="160" w:type="dxa"/>
            <w:vAlign w:val="bottom"/>
          </w:tcPr>
          <w:p>
            <w:pPr>
              <w:spacing w:after="0"/>
              <w:rPr>
                <w:sz w:val="11"/>
                <w:szCs w:val="11"/>
                <w:color w:val="auto"/>
              </w:rPr>
            </w:pPr>
          </w:p>
        </w:tc>
        <w:tc>
          <w:tcPr>
            <w:tcW w:w="820" w:type="dxa"/>
            <w:vAlign w:val="bottom"/>
          </w:tcPr>
          <w:p>
            <w:pPr>
              <w:jc w:val="center"/>
              <w:ind w:right="87"/>
              <w:spacing w:after="0"/>
              <w:rPr>
                <w:sz w:val="20"/>
                <w:szCs w:val="20"/>
                <w:color w:val="auto"/>
              </w:rPr>
            </w:pPr>
            <w:r>
              <w:rPr>
                <w:rFonts w:ascii="Arial" w:cs="Arial" w:eastAsia="Arial" w:hAnsi="Arial"/>
                <w:sz w:val="11"/>
                <w:szCs w:val="11"/>
                <w:b w:val="1"/>
                <w:bCs w:val="1"/>
                <w:color w:val="auto"/>
                <w:w w:val="97"/>
              </w:rPr>
              <w:t>loans</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b w:val="1"/>
                <w:bCs w:val="1"/>
                <w:color w:val="auto"/>
              </w:rPr>
              <w:t>Origination Year</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center"/>
              <w:ind w:right="147"/>
              <w:spacing w:after="0"/>
              <w:rPr>
                <w:sz w:val="20"/>
                <w:szCs w:val="20"/>
                <w:color w:val="auto"/>
              </w:rPr>
            </w:pPr>
            <w:r>
              <w:rPr>
                <w:rFonts w:ascii="Arial" w:cs="Arial" w:eastAsia="Arial" w:hAnsi="Arial"/>
                <w:sz w:val="11"/>
                <w:szCs w:val="11"/>
                <w:b w:val="1"/>
                <w:bCs w:val="1"/>
                <w:color w:val="auto"/>
                <w:w w:val="96"/>
              </w:rPr>
              <w:t>amortized</w:t>
            </w:r>
          </w:p>
        </w:tc>
        <w:tc>
          <w:tcPr>
            <w:tcW w:w="160" w:type="dxa"/>
            <w:vAlign w:val="bottom"/>
          </w:tcPr>
          <w:p>
            <w:pPr>
              <w:spacing w:after="0"/>
              <w:rPr>
                <w:sz w:val="13"/>
                <w:szCs w:val="13"/>
                <w:color w:val="auto"/>
              </w:rPr>
            </w:pPr>
          </w:p>
        </w:tc>
        <w:tc>
          <w:tcPr>
            <w:tcW w:w="820" w:type="dxa"/>
            <w:vAlign w:val="bottom"/>
          </w:tcPr>
          <w:p>
            <w:pPr>
              <w:jc w:val="center"/>
              <w:ind w:right="107"/>
              <w:spacing w:after="0"/>
              <w:rPr>
                <w:sz w:val="20"/>
                <w:szCs w:val="20"/>
                <w:color w:val="auto"/>
              </w:rPr>
            </w:pPr>
            <w:r>
              <w:rPr>
                <w:rFonts w:ascii="Arial" w:cs="Arial" w:eastAsia="Arial" w:hAnsi="Arial"/>
                <w:sz w:val="11"/>
                <w:szCs w:val="11"/>
                <w:b w:val="1"/>
                <w:bCs w:val="1"/>
                <w:color w:val="auto"/>
                <w:w w:val="99"/>
              </w:rPr>
              <w:t>converted to</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March 31, 2023</w:t>
            </w:r>
          </w:p>
        </w:tc>
        <w:tc>
          <w:tcPr>
            <w:tcW w:w="500" w:type="dxa"/>
            <w:vAlign w:val="bottom"/>
          </w:tcPr>
          <w:p>
            <w:pPr>
              <w:spacing w:after="0"/>
              <w:rPr>
                <w:sz w:val="13"/>
                <w:szCs w:val="13"/>
                <w:color w:val="auto"/>
              </w:rPr>
            </w:pPr>
          </w:p>
        </w:tc>
        <w:tc>
          <w:tcPr>
            <w:tcW w:w="700" w:type="dxa"/>
            <w:vAlign w:val="bottom"/>
          </w:tcPr>
          <w:p>
            <w:pPr>
              <w:jc w:val="right"/>
              <w:ind w:right="328"/>
              <w:spacing w:after="0"/>
              <w:rPr>
                <w:sz w:val="20"/>
                <w:szCs w:val="20"/>
                <w:color w:val="auto"/>
              </w:rPr>
            </w:pPr>
            <w:r>
              <w:rPr>
                <w:rFonts w:ascii="Arial" w:cs="Arial" w:eastAsia="Arial" w:hAnsi="Arial"/>
                <w:sz w:val="11"/>
                <w:szCs w:val="11"/>
                <w:b w:val="1"/>
                <w:bCs w:val="1"/>
                <w:color w:val="auto"/>
              </w:rPr>
              <w:t>2023</w:t>
            </w:r>
          </w:p>
        </w:tc>
        <w:tc>
          <w:tcPr>
            <w:tcW w:w="280" w:type="dxa"/>
            <w:vAlign w:val="bottom"/>
          </w:tcPr>
          <w:p>
            <w:pPr>
              <w:spacing w:after="0"/>
              <w:rPr>
                <w:sz w:val="13"/>
                <w:szCs w:val="13"/>
                <w:color w:val="auto"/>
              </w:rPr>
            </w:pPr>
          </w:p>
        </w:tc>
        <w:tc>
          <w:tcPr>
            <w:tcW w:w="720" w:type="dxa"/>
            <w:vAlign w:val="bottom"/>
          </w:tcPr>
          <w:p>
            <w:pPr>
              <w:jc w:val="right"/>
              <w:ind w:right="328"/>
              <w:spacing w:after="0"/>
              <w:rPr>
                <w:sz w:val="20"/>
                <w:szCs w:val="20"/>
                <w:color w:val="auto"/>
              </w:rPr>
            </w:pPr>
            <w:r>
              <w:rPr>
                <w:rFonts w:ascii="Arial" w:cs="Arial" w:eastAsia="Arial" w:hAnsi="Arial"/>
                <w:sz w:val="11"/>
                <w:szCs w:val="11"/>
                <w:b w:val="1"/>
                <w:bCs w:val="1"/>
                <w:color w:val="auto"/>
              </w:rPr>
              <w:t>2022</w:t>
            </w:r>
          </w:p>
        </w:tc>
        <w:tc>
          <w:tcPr>
            <w:tcW w:w="280" w:type="dxa"/>
            <w:vAlign w:val="bottom"/>
          </w:tcPr>
          <w:p>
            <w:pPr>
              <w:spacing w:after="0"/>
              <w:rPr>
                <w:sz w:val="13"/>
                <w:szCs w:val="13"/>
                <w:color w:val="auto"/>
              </w:rPr>
            </w:pPr>
          </w:p>
        </w:tc>
        <w:tc>
          <w:tcPr>
            <w:tcW w:w="720" w:type="dxa"/>
            <w:vAlign w:val="bottom"/>
          </w:tcPr>
          <w:p>
            <w:pPr>
              <w:jc w:val="right"/>
              <w:ind w:right="328"/>
              <w:spacing w:after="0"/>
              <w:rPr>
                <w:sz w:val="20"/>
                <w:szCs w:val="20"/>
                <w:color w:val="auto"/>
              </w:rPr>
            </w:pPr>
            <w:r>
              <w:rPr>
                <w:rFonts w:ascii="Arial" w:cs="Arial" w:eastAsia="Arial" w:hAnsi="Arial"/>
                <w:sz w:val="11"/>
                <w:szCs w:val="11"/>
                <w:b w:val="1"/>
                <w:bCs w:val="1"/>
                <w:color w:val="auto"/>
              </w:rPr>
              <w:t>2021</w:t>
            </w:r>
          </w:p>
        </w:tc>
        <w:tc>
          <w:tcPr>
            <w:tcW w:w="360" w:type="dxa"/>
            <w:vAlign w:val="bottom"/>
          </w:tcPr>
          <w:p>
            <w:pPr>
              <w:spacing w:after="0"/>
              <w:rPr>
                <w:sz w:val="13"/>
                <w:szCs w:val="13"/>
                <w:color w:val="auto"/>
              </w:rPr>
            </w:pPr>
          </w:p>
        </w:tc>
        <w:tc>
          <w:tcPr>
            <w:tcW w:w="520" w:type="dxa"/>
            <w:vAlign w:val="bottom"/>
          </w:tcPr>
          <w:p>
            <w:pPr>
              <w:jc w:val="right"/>
              <w:ind w:right="228"/>
              <w:spacing w:after="0"/>
              <w:rPr>
                <w:sz w:val="20"/>
                <w:szCs w:val="20"/>
                <w:color w:val="auto"/>
              </w:rPr>
            </w:pPr>
            <w:r>
              <w:rPr>
                <w:rFonts w:ascii="Arial" w:cs="Arial" w:eastAsia="Arial" w:hAnsi="Arial"/>
                <w:sz w:val="11"/>
                <w:szCs w:val="11"/>
                <w:b w:val="1"/>
                <w:bCs w:val="1"/>
                <w:color w:val="auto"/>
                <w:w w:val="89"/>
              </w:rPr>
              <w:t>2020</w:t>
            </w:r>
          </w:p>
        </w:tc>
        <w:tc>
          <w:tcPr>
            <w:tcW w:w="340" w:type="dxa"/>
            <w:vAlign w:val="bottom"/>
          </w:tcPr>
          <w:p>
            <w:pPr>
              <w:spacing w:after="0"/>
              <w:rPr>
                <w:sz w:val="13"/>
                <w:szCs w:val="13"/>
                <w:color w:val="auto"/>
              </w:rPr>
            </w:pPr>
          </w:p>
        </w:tc>
        <w:tc>
          <w:tcPr>
            <w:tcW w:w="740" w:type="dxa"/>
            <w:vAlign w:val="bottom"/>
          </w:tcPr>
          <w:p>
            <w:pPr>
              <w:jc w:val="right"/>
              <w:ind w:right="368"/>
              <w:spacing w:after="0"/>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13"/>
                <w:szCs w:val="13"/>
                <w:color w:val="auto"/>
              </w:rPr>
            </w:pPr>
          </w:p>
        </w:tc>
        <w:tc>
          <w:tcPr>
            <w:tcW w:w="720" w:type="dxa"/>
            <w:vAlign w:val="bottom"/>
          </w:tcPr>
          <w:p>
            <w:pPr>
              <w:jc w:val="right"/>
              <w:ind w:right="308"/>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3"/>
                <w:szCs w:val="13"/>
                <w:color w:val="auto"/>
              </w:rPr>
            </w:pPr>
          </w:p>
        </w:tc>
        <w:tc>
          <w:tcPr>
            <w:tcW w:w="780" w:type="dxa"/>
            <w:vAlign w:val="bottom"/>
          </w:tcPr>
          <w:p>
            <w:pPr>
              <w:jc w:val="center"/>
              <w:ind w:right="167"/>
              <w:spacing w:after="0"/>
              <w:rPr>
                <w:sz w:val="20"/>
                <w:szCs w:val="20"/>
                <w:color w:val="auto"/>
              </w:rPr>
            </w:pPr>
            <w:r>
              <w:rPr>
                <w:rFonts w:ascii="Arial" w:cs="Arial" w:eastAsia="Arial" w:hAnsi="Arial"/>
                <w:sz w:val="11"/>
                <w:szCs w:val="11"/>
                <w:b w:val="1"/>
                <w:bCs w:val="1"/>
                <w:color w:val="auto"/>
                <w:w w:val="96"/>
              </w:rPr>
              <w:t>cost basis</w:t>
            </w:r>
          </w:p>
        </w:tc>
        <w:tc>
          <w:tcPr>
            <w:tcW w:w="160" w:type="dxa"/>
            <w:vAlign w:val="bottom"/>
          </w:tcPr>
          <w:p>
            <w:pPr>
              <w:spacing w:after="0"/>
              <w:rPr>
                <w:sz w:val="13"/>
                <w:szCs w:val="13"/>
                <w:color w:val="auto"/>
              </w:rPr>
            </w:pPr>
          </w:p>
        </w:tc>
        <w:tc>
          <w:tcPr>
            <w:tcW w:w="820" w:type="dxa"/>
            <w:vAlign w:val="bottom"/>
          </w:tcPr>
          <w:p>
            <w:pPr>
              <w:jc w:val="center"/>
              <w:ind w:right="107"/>
              <w:spacing w:after="0"/>
              <w:rPr>
                <w:sz w:val="20"/>
                <w:szCs w:val="20"/>
                <w:color w:val="auto"/>
              </w:rPr>
            </w:pPr>
            <w:r>
              <w:rPr>
                <w:rFonts w:ascii="Arial" w:cs="Arial" w:eastAsia="Arial" w:hAnsi="Arial"/>
                <w:sz w:val="11"/>
                <w:szCs w:val="11"/>
                <w:b w:val="1"/>
                <w:bCs w:val="1"/>
                <w:color w:val="auto"/>
                <w:w w:val="96"/>
              </w:rPr>
              <w:t>term loans</w:t>
            </w:r>
          </w:p>
        </w:tc>
        <w:tc>
          <w:tcPr>
            <w:tcW w:w="280" w:type="dxa"/>
            <w:vAlign w:val="bottom"/>
          </w:tcPr>
          <w:p>
            <w:pPr>
              <w:spacing w:after="0"/>
              <w:rPr>
                <w:sz w:val="13"/>
                <w:szCs w:val="13"/>
                <w:color w:val="auto"/>
              </w:rPr>
            </w:pPr>
          </w:p>
        </w:tc>
        <w:tc>
          <w:tcPr>
            <w:tcW w:w="740" w:type="dxa"/>
            <w:vAlign w:val="bottom"/>
          </w:tcPr>
          <w:p>
            <w:pPr>
              <w:jc w:val="right"/>
              <w:ind w:right="30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0"/>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i w:val="1"/>
                <w:iCs w:val="1"/>
                <w:color w:val="auto"/>
                <w:w w:val="99"/>
              </w:rPr>
              <w:t>(Dollars in thousands)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185,194</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1,356,290</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1,192,562</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950,317</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8"/>
              <w:spacing w:after="0"/>
              <w:rPr>
                <w:sz w:val="20"/>
                <w:szCs w:val="20"/>
                <w:color w:val="auto"/>
              </w:rPr>
            </w:pPr>
            <w:r>
              <w:rPr>
                <w:rFonts w:ascii="Arial" w:cs="Arial" w:eastAsia="Arial" w:hAnsi="Arial"/>
                <w:sz w:val="11"/>
                <w:szCs w:val="11"/>
                <w:color w:val="auto"/>
              </w:rPr>
              <w:t>532,910</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2,302,301</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180,989</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37,602</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6,738,165</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1,587</w:t>
            </w:r>
          </w:p>
        </w:tc>
        <w:tc>
          <w:tcPr>
            <w:tcW w:w="280" w:type="dxa"/>
            <w:vAlign w:val="bottom"/>
          </w:tcPr>
          <w:p>
            <w:pPr>
              <w:spacing w:after="0"/>
              <w:rPr>
                <w:sz w:val="13"/>
                <w:szCs w:val="13"/>
                <w:color w:val="auto"/>
              </w:rPr>
            </w:pPr>
          </w:p>
        </w:tc>
        <w:tc>
          <w:tcPr>
            <w:tcW w:w="720" w:type="dxa"/>
            <w:vAlign w:val="bottom"/>
          </w:tcPr>
          <w:p>
            <w:pPr>
              <w:jc w:val="right"/>
              <w:ind w:right="88"/>
              <w:spacing w:after="0"/>
              <w:rPr>
                <w:sz w:val="20"/>
                <w:szCs w:val="20"/>
                <w:color w:val="auto"/>
              </w:rPr>
            </w:pPr>
            <w:r>
              <w:rPr>
                <w:rFonts w:ascii="Arial" w:cs="Arial" w:eastAsia="Arial" w:hAnsi="Arial"/>
                <w:sz w:val="11"/>
                <w:szCs w:val="11"/>
                <w:color w:val="auto"/>
              </w:rPr>
              <w:t>3,259</w:t>
            </w:r>
          </w:p>
        </w:tc>
        <w:tc>
          <w:tcPr>
            <w:tcW w:w="280" w:type="dxa"/>
            <w:vAlign w:val="bottom"/>
          </w:tcPr>
          <w:p>
            <w:pPr>
              <w:spacing w:after="0"/>
              <w:rPr>
                <w:sz w:val="13"/>
                <w:szCs w:val="13"/>
                <w:color w:val="auto"/>
              </w:rPr>
            </w:pPr>
          </w:p>
        </w:tc>
        <w:tc>
          <w:tcPr>
            <w:tcW w:w="720" w:type="dxa"/>
            <w:vAlign w:val="bottom"/>
          </w:tcPr>
          <w:p>
            <w:pPr>
              <w:jc w:val="right"/>
              <w:ind w:right="88"/>
              <w:spacing w:after="0"/>
              <w:rPr>
                <w:sz w:val="20"/>
                <w:szCs w:val="20"/>
                <w:color w:val="auto"/>
              </w:rPr>
            </w:pPr>
            <w:r>
              <w:rPr>
                <w:rFonts w:ascii="Arial" w:cs="Arial" w:eastAsia="Arial" w:hAnsi="Arial"/>
                <w:sz w:val="11"/>
                <w:szCs w:val="11"/>
                <w:color w:val="auto"/>
              </w:rPr>
              <w:t>7,662</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16,927</w:t>
            </w:r>
          </w:p>
        </w:tc>
        <w:tc>
          <w:tcPr>
            <w:tcW w:w="340" w:type="dxa"/>
            <w:vAlign w:val="bottom"/>
          </w:tcPr>
          <w:p>
            <w:pPr>
              <w:spacing w:after="0"/>
              <w:rPr>
                <w:sz w:val="13"/>
                <w:szCs w:val="13"/>
                <w:color w:val="auto"/>
              </w:rPr>
            </w:pPr>
          </w:p>
        </w:tc>
        <w:tc>
          <w:tcPr>
            <w:tcW w:w="740" w:type="dxa"/>
            <w:vAlign w:val="bottom"/>
          </w:tcPr>
          <w:p>
            <w:pPr>
              <w:jc w:val="right"/>
              <w:ind w:right="188"/>
              <w:spacing w:after="0"/>
              <w:rPr>
                <w:sz w:val="20"/>
                <w:szCs w:val="20"/>
                <w:color w:val="auto"/>
              </w:rPr>
            </w:pPr>
            <w:r>
              <w:rPr>
                <w:rFonts w:ascii="Arial" w:cs="Arial" w:eastAsia="Arial" w:hAnsi="Arial"/>
                <w:sz w:val="11"/>
                <w:szCs w:val="11"/>
                <w:color w:val="auto"/>
              </w:rPr>
              <w:t>35,911</w:t>
            </w:r>
          </w:p>
        </w:tc>
        <w:tc>
          <w:tcPr>
            <w:tcW w:w="16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100,504</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592</w:t>
            </w:r>
          </w:p>
        </w:tc>
        <w:tc>
          <w:tcPr>
            <w:tcW w:w="160" w:type="dxa"/>
            <w:vAlign w:val="bottom"/>
          </w:tcPr>
          <w:p>
            <w:pPr>
              <w:spacing w:after="0"/>
              <w:rPr>
                <w:sz w:val="13"/>
                <w:szCs w:val="13"/>
                <w:color w:val="auto"/>
              </w:rPr>
            </w:pP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166,442</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15,192</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88"/>
              <w:spacing w:after="0"/>
              <w:rPr>
                <w:sz w:val="20"/>
                <w:szCs w:val="20"/>
                <w:color w:val="auto"/>
              </w:rPr>
            </w:pPr>
            <w:r>
              <w:rPr>
                <w:rFonts w:ascii="Arial" w:cs="Arial" w:eastAsia="Arial" w:hAnsi="Arial"/>
                <w:sz w:val="11"/>
                <w:szCs w:val="11"/>
                <w:color w:val="auto"/>
              </w:rPr>
              <w:t>12,997</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17,506</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45,695</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Commercial real</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estate 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186,781</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1,359,549</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1,200,224</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982,436</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8"/>
              <w:spacing w:after="0"/>
              <w:rPr>
                <w:sz w:val="20"/>
                <w:szCs w:val="20"/>
                <w:color w:val="auto"/>
              </w:rPr>
            </w:pPr>
            <w:r>
              <w:rPr>
                <w:rFonts w:ascii="Arial" w:cs="Arial" w:eastAsia="Arial" w:hAnsi="Arial"/>
                <w:sz w:val="11"/>
                <w:szCs w:val="11"/>
                <w:color w:val="auto"/>
              </w:rPr>
              <w:t>581,818</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2,420,311</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181,581</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37,602</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6,950,302</w:t>
            </w:r>
          </w:p>
        </w:tc>
        <w:tc>
          <w:tcPr>
            <w:tcW w:w="0" w:type="dxa"/>
            <w:vAlign w:val="bottom"/>
          </w:tcPr>
          <w:p>
            <w:pPr>
              <w:spacing w:after="0"/>
              <w:rPr>
                <w:sz w:val="1"/>
                <w:szCs w:val="1"/>
                <w:color w:val="auto"/>
              </w:rPr>
            </w:pP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Construction loans:</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3,704</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1"/>
                <w:szCs w:val="11"/>
                <w:color w:val="auto"/>
              </w:rPr>
              <w:t>13,503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1"/>
                <w:szCs w:val="11"/>
                <w:color w:val="auto"/>
              </w:rPr>
              <w:t>34,209</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7,651</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19,881</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78,948</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5,044</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5,044</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Construction</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3,704</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1"/>
                <w:szCs w:val="11"/>
                <w:color w:val="auto"/>
              </w:rPr>
              <w:t>13,503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1"/>
                <w:szCs w:val="11"/>
                <w:color w:val="auto"/>
              </w:rPr>
              <w:t>34,209</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7,651</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5,044</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19,881</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83,992</w:t>
            </w:r>
          </w:p>
        </w:tc>
        <w:tc>
          <w:tcPr>
            <w:tcW w:w="0" w:type="dxa"/>
            <w:vAlign w:val="bottom"/>
          </w:tcPr>
          <w:p>
            <w:pPr>
              <w:spacing w:after="0"/>
              <w:rPr>
                <w:sz w:val="1"/>
                <w:szCs w:val="1"/>
                <w:color w:val="auto"/>
              </w:rPr>
            </w:pP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vMerge w:val="restart"/>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SBA loans:</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805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1"/>
                <w:szCs w:val="11"/>
                <w:color w:val="auto"/>
              </w:rPr>
              <w:t>58,361</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1"/>
                <w:szCs w:val="11"/>
                <w:color w:val="auto"/>
              </w:rPr>
              <w:t>54,368</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34,951</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8"/>
              <w:spacing w:after="0"/>
              <w:rPr>
                <w:sz w:val="20"/>
                <w:szCs w:val="20"/>
                <w:color w:val="auto"/>
              </w:rPr>
            </w:pPr>
            <w:r>
              <w:rPr>
                <w:rFonts w:ascii="Arial" w:cs="Arial" w:eastAsia="Arial" w:hAnsi="Arial"/>
                <w:sz w:val="11"/>
                <w:szCs w:val="11"/>
                <w:color w:val="auto"/>
              </w:rPr>
              <w:t>7,277</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120,940</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50</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276,752</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88"/>
              <w:spacing w:after="0"/>
              <w:rPr>
                <w:sz w:val="20"/>
                <w:szCs w:val="20"/>
                <w:color w:val="auto"/>
              </w:rPr>
            </w:pPr>
            <w:r>
              <w:rPr>
                <w:rFonts w:ascii="Arial" w:cs="Arial" w:eastAsia="Arial" w:hAnsi="Arial"/>
                <w:sz w:val="11"/>
                <w:szCs w:val="11"/>
                <w:color w:val="auto"/>
              </w:rPr>
              <w:t>1,312</w:t>
            </w:r>
          </w:p>
        </w:tc>
        <w:tc>
          <w:tcPr>
            <w:tcW w:w="16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3,630</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4,942</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1,770</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1,770</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SBA 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805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1"/>
                <w:szCs w:val="11"/>
                <w:color w:val="auto"/>
              </w:rPr>
              <w:t>58,361</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1"/>
                <w:szCs w:val="11"/>
                <w:color w:val="auto"/>
              </w:rPr>
              <w:t>54,368</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34,951</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8"/>
              <w:spacing w:after="0"/>
              <w:rPr>
                <w:sz w:val="20"/>
                <w:szCs w:val="20"/>
                <w:color w:val="auto"/>
              </w:rPr>
            </w:pPr>
            <w:r>
              <w:rPr>
                <w:rFonts w:ascii="Arial" w:cs="Arial" w:eastAsia="Arial" w:hAnsi="Arial"/>
                <w:sz w:val="11"/>
                <w:szCs w:val="11"/>
                <w:color w:val="auto"/>
              </w:rPr>
              <w:t>8,589</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126,340</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50</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283,464</w:t>
            </w:r>
          </w:p>
        </w:tc>
        <w:tc>
          <w:tcPr>
            <w:tcW w:w="0" w:type="dxa"/>
            <w:vAlign w:val="bottom"/>
          </w:tcPr>
          <w:p>
            <w:pPr>
              <w:spacing w:after="0"/>
              <w:rPr>
                <w:sz w:val="1"/>
                <w:szCs w:val="1"/>
                <w:color w:val="auto"/>
              </w:rPr>
            </w:pP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94</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52"/>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SBA - PPP loans:</w:t>
            </w:r>
          </w:p>
        </w:tc>
        <w:tc>
          <w:tcPr>
            <w:tcW w:w="5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1"/>
                <w:szCs w:val="11"/>
                <w:color w:val="auto"/>
              </w:rPr>
              <w:t>2,638</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3,186</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5,824</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SBA - PPP 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1"/>
                <w:szCs w:val="11"/>
                <w:color w:val="auto"/>
              </w:rPr>
              <w:t>2,638</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3,186</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5,824</w:t>
            </w:r>
          </w:p>
        </w:tc>
        <w:tc>
          <w:tcPr>
            <w:tcW w:w="0" w:type="dxa"/>
            <w:vAlign w:val="bottom"/>
          </w:tcPr>
          <w:p>
            <w:pPr>
              <w:spacing w:after="0"/>
              <w:rPr>
                <w:sz w:val="1"/>
                <w:szCs w:val="1"/>
                <w:color w:val="auto"/>
              </w:rPr>
            </w:pPr>
          </w:p>
        </w:tc>
      </w:tr>
      <w:tr>
        <w:trPr>
          <w:trHeight w:val="298"/>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Commercial and</w:t>
            </w:r>
          </w:p>
        </w:tc>
        <w:tc>
          <w:tcPr>
            <w:tcW w:w="5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w w:val="97"/>
              </w:rPr>
              <w:t>—$</w:t>
            </w:r>
          </w:p>
        </w:tc>
        <w:tc>
          <w:tcPr>
            <w:tcW w:w="10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w w:val="97"/>
              </w:rPr>
              <w:t>—$</w:t>
            </w:r>
          </w:p>
        </w:tc>
        <w:tc>
          <w:tcPr>
            <w:tcW w:w="1080" w:type="dxa"/>
            <w:vAlign w:val="bottom"/>
            <w:gridSpan w:val="2"/>
            <w:vMerge w:val="restart"/>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gridSpan w:val="2"/>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gridSpan w:val="2"/>
            <w:vMerge w:val="restart"/>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vMerge w:val="restart"/>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70"/>
        </w:trPr>
        <w:tc>
          <w:tcPr>
            <w:tcW w:w="1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industrial loans:</w:t>
            </w:r>
          </w:p>
        </w:tc>
        <w:tc>
          <w:tcPr>
            <w:tcW w:w="50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5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Pass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32,519</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8"/>
              <w:spacing w:after="0"/>
              <w:rPr>
                <w:sz w:val="20"/>
                <w:szCs w:val="20"/>
                <w:color w:val="auto"/>
              </w:rPr>
            </w:pPr>
            <w:r>
              <w:rPr>
                <w:rFonts w:ascii="Arial" w:cs="Arial" w:eastAsia="Arial" w:hAnsi="Arial"/>
                <w:sz w:val="11"/>
                <w:szCs w:val="11"/>
                <w:color w:val="auto"/>
              </w:rPr>
              <w:t>155,350</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8"/>
              <w:spacing w:after="0"/>
              <w:rPr>
                <w:sz w:val="20"/>
                <w:szCs w:val="20"/>
                <w:color w:val="auto"/>
              </w:rPr>
            </w:pPr>
            <w:r>
              <w:rPr>
                <w:rFonts w:ascii="Arial" w:cs="Arial" w:eastAsia="Arial" w:hAnsi="Arial"/>
                <w:sz w:val="11"/>
                <w:szCs w:val="11"/>
                <w:color w:val="auto"/>
              </w:rPr>
              <w:t>122,428</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79,288</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88"/>
              <w:spacing w:after="0"/>
              <w:rPr>
                <w:sz w:val="20"/>
                <w:szCs w:val="20"/>
                <w:color w:val="auto"/>
              </w:rPr>
            </w:pPr>
            <w:r>
              <w:rPr>
                <w:rFonts w:ascii="Arial" w:cs="Arial" w:eastAsia="Arial" w:hAnsi="Arial"/>
                <w:sz w:val="11"/>
                <w:szCs w:val="11"/>
                <w:color w:val="auto"/>
              </w:rPr>
              <w:t>85,046</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114,270</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264,205</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5,865</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858,971</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5,087</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709</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714</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468</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88"/>
              <w:spacing w:after="0"/>
              <w:rPr>
                <w:sz w:val="20"/>
                <w:szCs w:val="20"/>
                <w:color w:val="auto"/>
              </w:rPr>
            </w:pPr>
            <w:r>
              <w:rPr>
                <w:rFonts w:ascii="Arial" w:cs="Arial" w:eastAsia="Arial" w:hAnsi="Arial"/>
                <w:sz w:val="11"/>
                <w:szCs w:val="11"/>
                <w:color w:val="auto"/>
              </w:rPr>
              <w:t>5,183</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438</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12,370</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3,855</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28,824</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486</w:t>
            </w:r>
          </w:p>
        </w:tc>
        <w:tc>
          <w:tcPr>
            <w:tcW w:w="28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682</w:t>
            </w:r>
          </w:p>
        </w:tc>
        <w:tc>
          <w:tcPr>
            <w:tcW w:w="340" w:type="dxa"/>
            <w:vAlign w:val="bottom"/>
          </w:tcPr>
          <w:p>
            <w:pPr>
              <w:spacing w:after="0"/>
              <w:rPr>
                <w:sz w:val="13"/>
                <w:szCs w:val="13"/>
                <w:color w:val="auto"/>
              </w:rPr>
            </w:pPr>
          </w:p>
        </w:tc>
        <w:tc>
          <w:tcPr>
            <w:tcW w:w="740" w:type="dxa"/>
            <w:vAlign w:val="bottom"/>
          </w:tcPr>
          <w:p>
            <w:pPr>
              <w:jc w:val="right"/>
              <w:ind w:right="168"/>
              <w:spacing w:after="0"/>
              <w:rPr>
                <w:sz w:val="20"/>
                <w:szCs w:val="20"/>
                <w:color w:val="auto"/>
              </w:rPr>
            </w:pPr>
            <w:r>
              <w:rPr>
                <w:rFonts w:ascii="Arial" w:cs="Arial" w:eastAsia="Arial" w:hAnsi="Arial"/>
                <w:sz w:val="11"/>
                <w:szCs w:val="11"/>
                <w:color w:val="auto"/>
              </w:rPr>
              <w:t>842</w:t>
            </w:r>
          </w:p>
        </w:tc>
        <w:tc>
          <w:tcPr>
            <w:tcW w:w="16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4,120</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3,430</w:t>
            </w:r>
          </w:p>
        </w:tc>
        <w:tc>
          <w:tcPr>
            <w:tcW w:w="160" w:type="dxa"/>
            <w:vAlign w:val="bottom"/>
          </w:tcPr>
          <w:p>
            <w:pPr>
              <w:spacing w:after="0"/>
              <w:rPr>
                <w:sz w:val="13"/>
                <w:szCs w:val="13"/>
                <w:color w:val="auto"/>
              </w:rPr>
            </w:pP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812</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10,372</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Total Commercial and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100"/>
              <w:spacing w:after="0"/>
              <w:rPr>
                <w:sz w:val="20"/>
                <w:szCs w:val="20"/>
                <w:color w:val="auto"/>
              </w:rPr>
            </w:pPr>
            <w:r>
              <w:rPr>
                <w:rFonts w:ascii="Arial" w:cs="Arial" w:eastAsia="Arial" w:hAnsi="Arial"/>
                <w:sz w:val="11"/>
                <w:szCs w:val="11"/>
                <w:b w:val="1"/>
                <w:bCs w:val="1"/>
                <w:color w:val="auto"/>
              </w:rPr>
              <w:t>industrial loans: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8"/>
              <w:spacing w:after="0"/>
              <w:rPr>
                <w:sz w:val="20"/>
                <w:szCs w:val="20"/>
                <w:color w:val="auto"/>
              </w:rPr>
            </w:pPr>
            <w:r>
              <w:rPr>
                <w:rFonts w:ascii="Arial" w:cs="Arial" w:eastAsia="Arial" w:hAnsi="Arial"/>
                <w:sz w:val="11"/>
                <w:szCs w:val="11"/>
                <w:color w:val="auto"/>
              </w:rPr>
              <w:t>37,606</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8"/>
              <w:spacing w:after="0"/>
              <w:rPr>
                <w:sz w:val="20"/>
                <w:szCs w:val="20"/>
                <w:color w:val="auto"/>
              </w:rPr>
            </w:pPr>
            <w:r>
              <w:rPr>
                <w:rFonts w:ascii="Arial" w:cs="Arial" w:eastAsia="Arial" w:hAnsi="Arial"/>
                <w:sz w:val="11"/>
                <w:szCs w:val="11"/>
                <w:color w:val="auto"/>
              </w:rPr>
              <w:t>156,545</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8"/>
              <w:spacing w:after="0"/>
              <w:rPr>
                <w:sz w:val="20"/>
                <w:szCs w:val="20"/>
                <w:color w:val="auto"/>
              </w:rPr>
            </w:pPr>
            <w:r>
              <w:rPr>
                <w:rFonts w:ascii="Arial" w:cs="Arial" w:eastAsia="Arial" w:hAnsi="Arial"/>
                <w:sz w:val="11"/>
                <w:szCs w:val="11"/>
                <w:color w:val="auto"/>
              </w:rPr>
              <w:t>123,142</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80,438</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88"/>
              <w:spacing w:after="0"/>
              <w:rPr>
                <w:sz w:val="20"/>
                <w:szCs w:val="20"/>
                <w:color w:val="auto"/>
              </w:rPr>
            </w:pPr>
            <w:r>
              <w:rPr>
                <w:rFonts w:ascii="Arial" w:cs="Arial" w:eastAsia="Arial" w:hAnsi="Arial"/>
                <w:sz w:val="11"/>
                <w:szCs w:val="11"/>
                <w:color w:val="auto"/>
              </w:rPr>
              <w:t>91,071</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118,828</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280,005</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7"/>
              <w:spacing w:after="0"/>
              <w:rPr>
                <w:sz w:val="20"/>
                <w:szCs w:val="20"/>
                <w:color w:val="auto"/>
              </w:rPr>
            </w:pPr>
            <w:r>
              <w:rPr>
                <w:rFonts w:ascii="Arial" w:cs="Arial" w:eastAsia="Arial" w:hAnsi="Arial"/>
                <w:sz w:val="11"/>
                <w:szCs w:val="11"/>
                <w:color w:val="auto"/>
              </w:rPr>
              <w:t>10,532</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898,167</w:t>
            </w:r>
          </w:p>
        </w:tc>
        <w:tc>
          <w:tcPr>
            <w:tcW w:w="0" w:type="dxa"/>
            <w:vAlign w:val="bottom"/>
          </w:tcPr>
          <w:p>
            <w:pPr>
              <w:spacing w:after="0"/>
              <w:rPr>
                <w:sz w:val="1"/>
                <w:szCs w:val="1"/>
                <w:color w:val="auto"/>
              </w:rPr>
            </w:pPr>
          </w:p>
        </w:tc>
      </w:tr>
      <w:tr>
        <w:trPr>
          <w:trHeight w:val="142"/>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FF0FC"/>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8"/>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1"/>
                <w:szCs w:val="11"/>
                <w:color w:val="auto"/>
              </w:rPr>
              <w:t>16</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32"/>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Revolving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Revolving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loans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loans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4"/>
          </w:tcPr>
          <w:p>
            <w:pPr>
              <w:jc w:val="right"/>
              <w:spacing w:after="0"/>
              <w:rPr>
                <w:sz w:val="20"/>
                <w:szCs w:val="20"/>
                <w:color w:val="auto"/>
              </w:rPr>
            </w:pPr>
            <w:r>
              <w:rPr>
                <w:rFonts w:ascii="Arial" w:cs="Arial" w:eastAsia="Arial" w:hAnsi="Arial"/>
                <w:sz w:val="11"/>
                <w:szCs w:val="11"/>
                <w:b w:val="1"/>
                <w:bCs w:val="1"/>
                <w:color w:val="auto"/>
              </w:rPr>
              <w:t>Origination Year</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amortized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9"/>
              </w:rPr>
              <w:t>converted to</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March 31, 2023</w:t>
            </w:r>
          </w:p>
        </w:tc>
        <w:tc>
          <w:tcPr>
            <w:tcW w:w="180" w:type="dxa"/>
            <w:vAlign w:val="bottom"/>
          </w:tcPr>
          <w:p>
            <w:pPr>
              <w:spacing w:after="0"/>
              <w:rPr>
                <w:sz w:val="13"/>
                <w:szCs w:val="13"/>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ind w:right="206"/>
              <w:spacing w:after="0"/>
              <w:rPr>
                <w:sz w:val="20"/>
                <w:szCs w:val="20"/>
                <w:color w:val="auto"/>
              </w:rPr>
            </w:pPr>
            <w:r>
              <w:rPr>
                <w:rFonts w:ascii="Arial" w:cs="Arial" w:eastAsia="Arial" w:hAnsi="Arial"/>
                <w:sz w:val="11"/>
                <w:szCs w:val="11"/>
                <w:b w:val="1"/>
                <w:bCs w:val="1"/>
                <w:color w:val="auto"/>
                <w:w w:val="89"/>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Prior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cost basis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term loans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0"/>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6"/>
          </w:tcPr>
          <w:p>
            <w:pPr>
              <w:ind w:left="60"/>
              <w:spacing w:after="0"/>
              <w:rPr>
                <w:sz w:val="20"/>
                <w:szCs w:val="20"/>
                <w:color w:val="auto"/>
              </w:rPr>
            </w:pPr>
            <w:r>
              <w:rPr>
                <w:rFonts w:ascii="Arial" w:cs="Arial" w:eastAsia="Arial" w:hAnsi="Arial"/>
                <w:sz w:val="11"/>
                <w:szCs w:val="11"/>
                <w:i w:val="1"/>
                <w:iCs w:val="1"/>
                <w:color w:val="auto"/>
                <w:w w:val="95"/>
              </w:rPr>
              <w:t>(Dollars in thousands)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Dairy &amp; livestock and</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agribusiness loans:</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1,005</w:t>
            </w:r>
          </w:p>
        </w:tc>
        <w:tc>
          <w:tcPr>
            <w:tcW w:w="380" w:type="dxa"/>
            <w:vAlign w:val="bottom"/>
            <w:gridSpan w:val="3"/>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1,842</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1,478</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739</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275,431</w:t>
            </w:r>
          </w:p>
        </w:tc>
        <w:tc>
          <w:tcPr>
            <w:tcW w:w="10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342</w:t>
            </w:r>
          </w:p>
        </w:tc>
        <w:tc>
          <w:tcPr>
            <w:tcW w:w="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281,111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18,929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751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19,843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5,182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6,866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Dairy &amp; livestock</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and agribusiness</w:t>
            </w: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1,005</w:t>
            </w:r>
          </w:p>
        </w:tc>
        <w:tc>
          <w:tcPr>
            <w:tcW w:w="380" w:type="dxa"/>
            <w:vAlign w:val="bottom"/>
            <w:gridSpan w:val="3"/>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1,842</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1,478</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2,453</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294,360</w:t>
            </w:r>
          </w:p>
        </w:tc>
        <w:tc>
          <w:tcPr>
            <w:tcW w:w="1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6,275</w:t>
            </w:r>
          </w:p>
        </w:tc>
        <w:tc>
          <w:tcPr>
            <w:tcW w:w="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307,820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vMerge w:val="restart"/>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3"/>
            <w:vMerge w:val="restart"/>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vMerge w:val="restart"/>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Municipal lease finance</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receivables loans:</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3"/>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6,427</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26,857</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6,559</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4,322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34,984</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79,149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Municipal lease</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finance receivables</w:t>
            </w: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3"/>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6,427</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26,857</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6,559</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35,387</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79,552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SFR mortgage loans:</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3,782</w:t>
            </w:r>
          </w:p>
        </w:tc>
        <w:tc>
          <w:tcPr>
            <w:tcW w:w="380" w:type="dxa"/>
            <w:vAlign w:val="bottom"/>
            <w:gridSpan w:val="3"/>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62,559</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46,407</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45,031</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30,298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72,716</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260,793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935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SFR mortgage</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3,782</w:t>
            </w:r>
          </w:p>
        </w:tc>
        <w:tc>
          <w:tcPr>
            <w:tcW w:w="380" w:type="dxa"/>
            <w:vAlign w:val="bottom"/>
            <w:gridSpan w:val="3"/>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62,559</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46,407</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45,966</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30,298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72,927</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385</w:t>
            </w:r>
          </w:p>
        </w:tc>
        <w:tc>
          <w:tcPr>
            <w:tcW w:w="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262,324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Consumer and other</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1,706</w:t>
            </w:r>
          </w:p>
        </w:tc>
        <w:tc>
          <w:tcPr>
            <w:tcW w:w="380" w:type="dxa"/>
            <w:vAlign w:val="bottom"/>
            <w:gridSpan w:val="3"/>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6,018</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3,433</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1,113</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1,262</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53,326</w:t>
            </w:r>
          </w:p>
        </w:tc>
        <w:tc>
          <w:tcPr>
            <w:tcW w:w="10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969</w:t>
            </w:r>
          </w:p>
        </w:tc>
        <w:tc>
          <w:tcPr>
            <w:tcW w:w="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68,677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1,480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Consumer and</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other 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1,706</w:t>
            </w:r>
          </w:p>
        </w:tc>
        <w:tc>
          <w:tcPr>
            <w:tcW w:w="380" w:type="dxa"/>
            <w:vAlign w:val="bottom"/>
            <w:gridSpan w:val="3"/>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6,018</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3,923</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1,113</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1,275</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53,621</w:t>
            </w:r>
          </w:p>
        </w:tc>
        <w:tc>
          <w:tcPr>
            <w:tcW w:w="1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2,538</w:t>
            </w:r>
          </w:p>
        </w:tc>
        <w:tc>
          <w:tcPr>
            <w:tcW w:w="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71,044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228,715</w:t>
            </w:r>
          </w:p>
        </w:tc>
        <w:tc>
          <w:tcPr>
            <w:tcW w:w="380" w:type="dxa"/>
            <w:vAlign w:val="bottom"/>
            <w:gridSpan w:val="3"/>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1,658,608</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1,484,744</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1,129,574</w:t>
            </w:r>
          </w:p>
        </w:tc>
        <w:tc>
          <w:tcPr>
            <w:tcW w:w="360" w:type="dxa"/>
            <w:vAlign w:val="bottom"/>
            <w:gridSpan w:val="3"/>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660,877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2,647,212</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793,882</w:t>
            </w:r>
          </w:p>
        </w:tc>
        <w:tc>
          <w:tcPr>
            <w:tcW w:w="10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44,778</w:t>
            </w:r>
          </w:p>
        </w:tc>
        <w:tc>
          <w:tcPr>
            <w:tcW w:w="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8,648,390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6,674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8,866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18,330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42,539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109,869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32,181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4,695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227,122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15,874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13,839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25,484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3,435</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66,977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235,389</w:t>
            </w:r>
          </w:p>
        </w:tc>
        <w:tc>
          <w:tcPr>
            <w:tcW w:w="100" w:type="dxa"/>
            <w:vAlign w:val="bottom"/>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1,663,062</w:t>
            </w:r>
          </w:p>
        </w:tc>
        <w:tc>
          <w:tcPr>
            <w:tcW w:w="120" w:type="dxa"/>
            <w:vAlign w:val="bottom"/>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1,493,610</w:t>
            </w:r>
          </w:p>
        </w:tc>
        <w:tc>
          <w:tcPr>
            <w:tcW w:w="120" w:type="dxa"/>
            <w:vAlign w:val="bottom"/>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1,163,778</w:t>
            </w:r>
          </w:p>
        </w:tc>
        <w:tc>
          <w:tcPr>
            <w:tcW w:w="120" w:type="dxa"/>
            <w:vAlign w:val="bottom"/>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717,255</w:t>
            </w:r>
          </w:p>
        </w:tc>
        <w:tc>
          <w:tcPr>
            <w:tcW w:w="120" w:type="dxa"/>
            <w:vAlign w:val="bottom"/>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2,782,565</w:t>
            </w:r>
          </w:p>
        </w:tc>
        <w:tc>
          <w:tcPr>
            <w:tcW w:w="100" w:type="dxa"/>
            <w:vAlign w:val="bottom"/>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829,498</w:t>
            </w:r>
          </w:p>
        </w:tc>
        <w:tc>
          <w:tcPr>
            <w:tcW w:w="100" w:type="dxa"/>
            <w:vAlign w:val="bottom"/>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57,332</w:t>
            </w:r>
          </w:p>
        </w:tc>
        <w:tc>
          <w:tcPr>
            <w:tcW w:w="80" w:type="dxa"/>
            <w:vAlign w:val="bottom"/>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8,942,489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FF0FC"/>
            </w:tcBorders>
            <w:shd w:val="clear" w:color="auto" w:fill="CFF0FC"/>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CFF0FC"/>
            </w:tcBorders>
            <w:shd w:val="clear" w:color="auto" w:fill="CFF0FC"/>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CFF0FC"/>
            </w:tcBorders>
            <w:shd w:val="clear" w:color="auto" w:fill="CFF0FC"/>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84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Current YTD Period:</w:t>
            </w:r>
          </w:p>
        </w:tc>
        <w:tc>
          <w:tcPr>
            <w:tcW w:w="180" w:type="dxa"/>
            <w:vAlign w:val="bottom"/>
            <w:vMerge w:val="restart"/>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8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4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Total gross charge-offs</w:t>
            </w:r>
          </w:p>
        </w:tc>
        <w:tc>
          <w:tcPr>
            <w:tcW w:w="1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18</w:t>
      </w:r>
    </w:p>
    <w:p>
      <w:pPr>
        <w:sectPr>
          <w:pgSz w:w="11900" w:h="16840" w:orient="portrait"/>
          <w:cols w:equalWidth="0" w:num="1">
            <w:col w:w="10560"/>
          </w:cols>
          <w:pgMar w:left="660" w:top="940" w:right="68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2"/>
        </w:trPr>
        <w:tc>
          <w:tcPr>
            <w:tcW w:w="1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ind w:right="146"/>
              <w:spacing w:after="0"/>
              <w:rPr>
                <w:sz w:val="20"/>
                <w:szCs w:val="20"/>
                <w:color w:val="auto"/>
              </w:rPr>
            </w:pPr>
            <w:r>
              <w:rPr>
                <w:rFonts w:ascii="Arial" w:cs="Arial" w:eastAsia="Arial" w:hAnsi="Arial"/>
                <w:sz w:val="11"/>
                <w:szCs w:val="11"/>
                <w:b w:val="1"/>
                <w:bCs w:val="1"/>
                <w:color w:val="auto"/>
                <w:w w:val="98"/>
              </w:rPr>
              <w:t>Revolving</w:t>
            </w:r>
          </w:p>
        </w:tc>
        <w:tc>
          <w:tcPr>
            <w:tcW w:w="160" w:type="dxa"/>
            <w:vAlign w:val="bottom"/>
          </w:tcPr>
          <w:p>
            <w:pPr>
              <w:spacing w:after="0"/>
              <w:rPr>
                <w:sz w:val="11"/>
                <w:szCs w:val="11"/>
                <w:color w:val="auto"/>
              </w:rPr>
            </w:pPr>
          </w:p>
        </w:tc>
        <w:tc>
          <w:tcPr>
            <w:tcW w:w="860" w:type="dxa"/>
            <w:vAlign w:val="bottom"/>
          </w:tcPr>
          <w:p>
            <w:pPr>
              <w:jc w:val="center"/>
              <w:ind w:right="126"/>
              <w:spacing w:after="0"/>
              <w:rPr>
                <w:sz w:val="20"/>
                <w:szCs w:val="20"/>
                <w:color w:val="auto"/>
              </w:rPr>
            </w:pPr>
            <w:r>
              <w:rPr>
                <w:rFonts w:ascii="Arial" w:cs="Arial" w:eastAsia="Arial" w:hAnsi="Arial"/>
                <w:sz w:val="11"/>
                <w:szCs w:val="11"/>
                <w:b w:val="1"/>
                <w:bCs w:val="1"/>
                <w:color w:val="auto"/>
                <w:w w:val="98"/>
              </w:rPr>
              <w:t>Revolving</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ind w:right="146"/>
              <w:spacing w:after="0"/>
              <w:rPr>
                <w:sz w:val="20"/>
                <w:szCs w:val="20"/>
                <w:color w:val="auto"/>
              </w:rPr>
            </w:pPr>
            <w:r>
              <w:rPr>
                <w:rFonts w:ascii="Arial" w:cs="Arial" w:eastAsia="Arial" w:hAnsi="Arial"/>
                <w:sz w:val="11"/>
                <w:szCs w:val="11"/>
                <w:b w:val="1"/>
                <w:bCs w:val="1"/>
                <w:color w:val="auto"/>
                <w:w w:val="97"/>
              </w:rPr>
              <w:t>loans</w:t>
            </w:r>
          </w:p>
        </w:tc>
        <w:tc>
          <w:tcPr>
            <w:tcW w:w="160" w:type="dxa"/>
            <w:vAlign w:val="bottom"/>
          </w:tcPr>
          <w:p>
            <w:pPr>
              <w:spacing w:after="0"/>
              <w:rPr>
                <w:sz w:val="11"/>
                <w:szCs w:val="11"/>
                <w:color w:val="auto"/>
              </w:rPr>
            </w:pPr>
          </w:p>
        </w:tc>
        <w:tc>
          <w:tcPr>
            <w:tcW w:w="860" w:type="dxa"/>
            <w:vAlign w:val="bottom"/>
          </w:tcPr>
          <w:p>
            <w:pPr>
              <w:jc w:val="center"/>
              <w:ind w:right="126"/>
              <w:spacing w:after="0"/>
              <w:rPr>
                <w:sz w:val="20"/>
                <w:szCs w:val="20"/>
                <w:color w:val="auto"/>
              </w:rPr>
            </w:pPr>
            <w:r>
              <w:rPr>
                <w:rFonts w:ascii="Arial" w:cs="Arial" w:eastAsia="Arial" w:hAnsi="Arial"/>
                <w:sz w:val="11"/>
                <w:szCs w:val="11"/>
                <w:b w:val="1"/>
                <w:bCs w:val="1"/>
                <w:color w:val="auto"/>
                <w:w w:val="97"/>
              </w:rPr>
              <w:t>loans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0"/>
        </w:trPr>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Origination Year</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ind w:right="146"/>
              <w:spacing w:after="0"/>
              <w:rPr>
                <w:sz w:val="20"/>
                <w:szCs w:val="20"/>
                <w:color w:val="auto"/>
              </w:rPr>
            </w:pPr>
            <w:r>
              <w:rPr>
                <w:rFonts w:ascii="Arial" w:cs="Arial" w:eastAsia="Arial" w:hAnsi="Arial"/>
                <w:sz w:val="11"/>
                <w:szCs w:val="11"/>
                <w:b w:val="1"/>
                <w:bCs w:val="1"/>
                <w:color w:val="auto"/>
                <w:w w:val="99"/>
              </w:rPr>
              <w:t>amortized</w:t>
            </w:r>
          </w:p>
        </w:tc>
        <w:tc>
          <w:tcPr>
            <w:tcW w:w="160" w:type="dxa"/>
            <w:vAlign w:val="bottom"/>
          </w:tcPr>
          <w:p>
            <w:pPr>
              <w:spacing w:after="0"/>
              <w:rPr>
                <w:sz w:val="13"/>
                <w:szCs w:val="13"/>
                <w:color w:val="auto"/>
              </w:rPr>
            </w:pPr>
          </w:p>
        </w:tc>
        <w:tc>
          <w:tcPr>
            <w:tcW w:w="860" w:type="dxa"/>
            <w:vAlign w:val="bottom"/>
          </w:tcPr>
          <w:p>
            <w:pPr>
              <w:jc w:val="center"/>
              <w:ind w:right="126"/>
              <w:spacing w:after="0"/>
              <w:rPr>
                <w:sz w:val="20"/>
                <w:szCs w:val="20"/>
                <w:color w:val="auto"/>
              </w:rPr>
            </w:pPr>
            <w:r>
              <w:rPr>
                <w:rFonts w:ascii="Arial" w:cs="Arial" w:eastAsia="Arial" w:hAnsi="Arial"/>
                <w:sz w:val="11"/>
                <w:szCs w:val="11"/>
                <w:b w:val="1"/>
                <w:bCs w:val="1"/>
                <w:color w:val="auto"/>
                <w:w w:val="96"/>
              </w:rPr>
              <w:t>converted to</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December 31, 2022</w:t>
            </w:r>
          </w:p>
        </w:tc>
        <w:tc>
          <w:tcPr>
            <w:tcW w:w="520" w:type="dxa"/>
            <w:vAlign w:val="bottom"/>
          </w:tcPr>
          <w:p>
            <w:pPr>
              <w:spacing w:after="0"/>
              <w:rPr>
                <w:sz w:val="13"/>
                <w:szCs w:val="13"/>
                <w:color w:val="auto"/>
              </w:rPr>
            </w:pPr>
          </w:p>
        </w:tc>
        <w:tc>
          <w:tcPr>
            <w:tcW w:w="720" w:type="dxa"/>
            <w:vAlign w:val="bottom"/>
          </w:tcPr>
          <w:p>
            <w:pPr>
              <w:jc w:val="right"/>
              <w:ind w:right="326"/>
              <w:spacing w:after="0"/>
              <w:rPr>
                <w:sz w:val="20"/>
                <w:szCs w:val="20"/>
                <w:color w:val="auto"/>
              </w:rPr>
            </w:pPr>
            <w:r>
              <w:rPr>
                <w:rFonts w:ascii="Arial" w:cs="Arial" w:eastAsia="Arial" w:hAnsi="Arial"/>
                <w:sz w:val="11"/>
                <w:szCs w:val="11"/>
                <w:b w:val="1"/>
                <w:bCs w:val="1"/>
                <w:color w:val="auto"/>
              </w:rPr>
              <w:t>2022</w:t>
            </w:r>
          </w:p>
        </w:tc>
        <w:tc>
          <w:tcPr>
            <w:tcW w:w="280" w:type="dxa"/>
            <w:vAlign w:val="bottom"/>
          </w:tcPr>
          <w:p>
            <w:pPr>
              <w:spacing w:after="0"/>
              <w:rPr>
                <w:sz w:val="13"/>
                <w:szCs w:val="13"/>
                <w:color w:val="auto"/>
              </w:rPr>
            </w:pPr>
          </w:p>
        </w:tc>
        <w:tc>
          <w:tcPr>
            <w:tcW w:w="760" w:type="dxa"/>
            <w:vAlign w:val="bottom"/>
          </w:tcPr>
          <w:p>
            <w:pPr>
              <w:jc w:val="right"/>
              <w:ind w:right="346"/>
              <w:spacing w:after="0"/>
              <w:rPr>
                <w:sz w:val="20"/>
                <w:szCs w:val="20"/>
                <w:color w:val="auto"/>
              </w:rPr>
            </w:pPr>
            <w:r>
              <w:rPr>
                <w:rFonts w:ascii="Arial" w:cs="Arial" w:eastAsia="Arial" w:hAnsi="Arial"/>
                <w:sz w:val="11"/>
                <w:szCs w:val="11"/>
                <w:b w:val="1"/>
                <w:bCs w:val="1"/>
                <w:color w:val="auto"/>
              </w:rPr>
              <w:t>2021</w:t>
            </w:r>
          </w:p>
        </w:tc>
        <w:tc>
          <w:tcPr>
            <w:tcW w:w="240" w:type="dxa"/>
            <w:vAlign w:val="bottom"/>
          </w:tcPr>
          <w:p>
            <w:pPr>
              <w:spacing w:after="0"/>
              <w:rPr>
                <w:sz w:val="13"/>
                <w:szCs w:val="13"/>
                <w:color w:val="auto"/>
              </w:rPr>
            </w:pPr>
          </w:p>
        </w:tc>
        <w:tc>
          <w:tcPr>
            <w:tcW w:w="660" w:type="dxa"/>
            <w:vAlign w:val="bottom"/>
          </w:tcPr>
          <w:p>
            <w:pPr>
              <w:jc w:val="right"/>
              <w:ind w:right="28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620" w:type="dxa"/>
            <w:vAlign w:val="bottom"/>
          </w:tcPr>
          <w:p>
            <w:pPr>
              <w:jc w:val="right"/>
              <w:ind w:right="246"/>
              <w:spacing w:after="0"/>
              <w:rPr>
                <w:sz w:val="20"/>
                <w:szCs w:val="20"/>
                <w:color w:val="auto"/>
              </w:rPr>
            </w:pPr>
            <w:r>
              <w:rPr>
                <w:rFonts w:ascii="Arial" w:cs="Arial" w:eastAsia="Arial" w:hAnsi="Arial"/>
                <w:sz w:val="11"/>
                <w:szCs w:val="11"/>
                <w:b w:val="1"/>
                <w:bCs w:val="1"/>
                <w:color w:val="auto"/>
              </w:rPr>
              <w:t>2019</w:t>
            </w:r>
          </w:p>
        </w:tc>
        <w:tc>
          <w:tcPr>
            <w:tcW w:w="280" w:type="dxa"/>
            <w:vAlign w:val="bottom"/>
          </w:tcPr>
          <w:p>
            <w:pPr>
              <w:spacing w:after="0"/>
              <w:rPr>
                <w:sz w:val="13"/>
                <w:szCs w:val="13"/>
                <w:color w:val="auto"/>
              </w:rPr>
            </w:pPr>
          </w:p>
        </w:tc>
        <w:tc>
          <w:tcPr>
            <w:tcW w:w="660" w:type="dxa"/>
            <w:vAlign w:val="bottom"/>
          </w:tcPr>
          <w:p>
            <w:pPr>
              <w:jc w:val="right"/>
              <w:ind w:right="286"/>
              <w:spacing w:after="0"/>
              <w:rPr>
                <w:sz w:val="20"/>
                <w:szCs w:val="20"/>
                <w:color w:val="auto"/>
              </w:rPr>
            </w:pPr>
            <w:r>
              <w:rPr>
                <w:rFonts w:ascii="Arial" w:cs="Arial" w:eastAsia="Arial" w:hAnsi="Arial"/>
                <w:sz w:val="11"/>
                <w:szCs w:val="11"/>
                <w:b w:val="1"/>
                <w:bCs w:val="1"/>
                <w:color w:val="auto"/>
              </w:rPr>
              <w:t>2018</w:t>
            </w:r>
          </w:p>
        </w:tc>
        <w:tc>
          <w:tcPr>
            <w:tcW w:w="280" w:type="dxa"/>
            <w:vAlign w:val="bottom"/>
          </w:tcPr>
          <w:p>
            <w:pPr>
              <w:spacing w:after="0"/>
              <w:rPr>
                <w:sz w:val="13"/>
                <w:szCs w:val="13"/>
                <w:color w:val="auto"/>
              </w:rPr>
            </w:pPr>
          </w:p>
        </w:tc>
        <w:tc>
          <w:tcPr>
            <w:tcW w:w="740" w:type="dxa"/>
            <w:vAlign w:val="bottom"/>
          </w:tcPr>
          <w:p>
            <w:pPr>
              <w:jc w:val="right"/>
              <w:ind w:right="326"/>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3"/>
                <w:szCs w:val="13"/>
                <w:color w:val="auto"/>
              </w:rPr>
            </w:pPr>
          </w:p>
        </w:tc>
        <w:tc>
          <w:tcPr>
            <w:tcW w:w="800" w:type="dxa"/>
            <w:vAlign w:val="bottom"/>
          </w:tcPr>
          <w:p>
            <w:pPr>
              <w:jc w:val="center"/>
              <w:ind w:right="146"/>
              <w:spacing w:after="0"/>
              <w:rPr>
                <w:sz w:val="20"/>
                <w:szCs w:val="20"/>
                <w:color w:val="auto"/>
              </w:rPr>
            </w:pPr>
            <w:r>
              <w:rPr>
                <w:rFonts w:ascii="Arial" w:cs="Arial" w:eastAsia="Arial" w:hAnsi="Arial"/>
                <w:sz w:val="11"/>
                <w:szCs w:val="11"/>
                <w:b w:val="1"/>
                <w:bCs w:val="1"/>
                <w:color w:val="auto"/>
                <w:w w:val="96"/>
              </w:rPr>
              <w:t>cost basis</w:t>
            </w:r>
          </w:p>
        </w:tc>
        <w:tc>
          <w:tcPr>
            <w:tcW w:w="160" w:type="dxa"/>
            <w:vAlign w:val="bottom"/>
          </w:tcPr>
          <w:p>
            <w:pPr>
              <w:spacing w:after="0"/>
              <w:rPr>
                <w:sz w:val="13"/>
                <w:szCs w:val="13"/>
                <w:color w:val="auto"/>
              </w:rPr>
            </w:pPr>
          </w:p>
        </w:tc>
        <w:tc>
          <w:tcPr>
            <w:tcW w:w="860" w:type="dxa"/>
            <w:vAlign w:val="bottom"/>
          </w:tcPr>
          <w:p>
            <w:pPr>
              <w:jc w:val="center"/>
              <w:ind w:right="106"/>
              <w:spacing w:after="0"/>
              <w:rPr>
                <w:sz w:val="20"/>
                <w:szCs w:val="20"/>
                <w:color w:val="auto"/>
              </w:rPr>
            </w:pPr>
            <w:r>
              <w:rPr>
                <w:rFonts w:ascii="Arial" w:cs="Arial" w:eastAsia="Arial" w:hAnsi="Arial"/>
                <w:sz w:val="11"/>
                <w:szCs w:val="11"/>
                <w:b w:val="1"/>
                <w:bCs w:val="1"/>
                <w:color w:val="auto"/>
                <w:w w:val="96"/>
              </w:rPr>
              <w:t>term loans</w:t>
            </w:r>
          </w:p>
        </w:tc>
        <w:tc>
          <w:tcPr>
            <w:tcW w:w="260" w:type="dxa"/>
            <w:vAlign w:val="bottom"/>
          </w:tcPr>
          <w:p>
            <w:pPr>
              <w:spacing w:after="0"/>
              <w:rPr>
                <w:sz w:val="13"/>
                <w:szCs w:val="13"/>
                <w:color w:val="auto"/>
              </w:rPr>
            </w:pPr>
          </w:p>
        </w:tc>
        <w:tc>
          <w:tcPr>
            <w:tcW w:w="720" w:type="dxa"/>
            <w:vAlign w:val="bottom"/>
          </w:tcPr>
          <w:p>
            <w:pPr>
              <w:jc w:val="right"/>
              <w:ind w:right="306"/>
              <w:spacing w:after="0"/>
              <w:rPr>
                <w:sz w:val="20"/>
                <w:szCs w:val="20"/>
                <w:color w:val="auto"/>
              </w:rPr>
            </w:pPr>
            <w:r>
              <w:rPr>
                <w:rFonts w:ascii="Arial" w:cs="Arial" w:eastAsia="Arial" w:hAnsi="Arial"/>
                <w:sz w:val="11"/>
                <w:szCs w:val="11"/>
                <w:b w:val="1"/>
                <w:bCs w:val="1"/>
                <w:color w:val="auto"/>
              </w:rPr>
              <w:t>Total</w:t>
            </w:r>
          </w:p>
        </w:tc>
      </w:tr>
      <w:tr>
        <w:trPr>
          <w:trHeight w:val="150"/>
        </w:trPr>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20" w:type="dxa"/>
            <w:vAlign w:val="bottom"/>
            <w:gridSpan w:val="3"/>
          </w:tcPr>
          <w:p>
            <w:pPr>
              <w:jc w:val="right"/>
              <w:ind w:right="46"/>
              <w:spacing w:after="0"/>
              <w:rPr>
                <w:sz w:val="20"/>
                <w:szCs w:val="20"/>
                <w:color w:val="auto"/>
              </w:rPr>
            </w:pPr>
            <w:r>
              <w:rPr>
                <w:rFonts w:ascii="Arial" w:cs="Arial" w:eastAsia="Arial" w:hAnsi="Arial"/>
                <w:sz w:val="11"/>
                <w:szCs w:val="11"/>
                <w:i w:val="1"/>
                <w:iCs w:val="1"/>
                <w:color w:val="auto"/>
              </w:rPr>
              <w:t>(Dollars in thousands)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4"/>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4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54"/>
        </w:trPr>
        <w:tc>
          <w:tcPr>
            <w:tcW w:w="15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1,363,733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1,197,290</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957,965</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542,827</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506,613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1,889,478</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175,373</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39,616</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6,672,895</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3,285</w:t>
            </w:r>
          </w:p>
        </w:tc>
        <w:tc>
          <w:tcPr>
            <w:tcW w:w="280" w:type="dxa"/>
            <w:vAlign w:val="bottom"/>
          </w:tcPr>
          <w:p>
            <w:pPr>
              <w:spacing w:after="0"/>
              <w:rPr>
                <w:sz w:val="13"/>
                <w:szCs w:val="13"/>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12,114</w:t>
            </w:r>
          </w:p>
        </w:tc>
        <w:tc>
          <w:tcPr>
            <w:tcW w:w="24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11,284</w:t>
            </w:r>
          </w:p>
        </w:tc>
        <w:tc>
          <w:tcPr>
            <w:tcW w:w="24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32,976</w:t>
            </w:r>
          </w:p>
        </w:tc>
        <w:tc>
          <w:tcPr>
            <w:tcW w:w="28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21,646</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76,290</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908</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158,503</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15,624</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16,297</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94</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21,535</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53,550</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44"/>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Commercial real</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4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estate loans: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1,367,018</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1,209,404</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984,873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592,100</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528,353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1,987,303</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176,281</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39,616</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6,884,948</w:t>
            </w:r>
          </w:p>
        </w:tc>
      </w:tr>
      <w:tr>
        <w:trPr>
          <w:trHeight w:val="312"/>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Construction loans:</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5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Pass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17,203</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26,689</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16,578</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22,850</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83,320</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4,951</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4,951</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Total Construction</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0"/>
        </w:trPr>
        <w:tc>
          <w:tcPr>
            <w:tcW w:w="1540" w:type="dxa"/>
            <w:vAlign w:val="bottom"/>
          </w:tcPr>
          <w:p>
            <w:pPr>
              <w:ind w:left="100"/>
              <w:spacing w:after="0"/>
              <w:rPr>
                <w:sz w:val="20"/>
                <w:szCs w:val="20"/>
                <w:color w:val="auto"/>
              </w:rPr>
            </w:pPr>
            <w:r>
              <w:rPr>
                <w:rFonts w:ascii="Arial" w:cs="Arial" w:eastAsia="Arial" w:hAnsi="Arial"/>
                <w:sz w:val="11"/>
                <w:szCs w:val="11"/>
                <w:b w:val="1"/>
                <w:bCs w:val="1"/>
                <w:color w:val="auto"/>
              </w:rPr>
              <w:t>loans: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17,203</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26,689</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16,578</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4,951</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22,850</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88,271</w:t>
            </w:r>
          </w:p>
        </w:tc>
      </w:tr>
      <w:tr>
        <w:trPr>
          <w:trHeight w:val="152"/>
        </w:trPr>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SBA loans:</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r>
      <w:tr>
        <w:trPr>
          <w:trHeight w:val="154"/>
        </w:trPr>
        <w:tc>
          <w:tcPr>
            <w:tcW w:w="15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60,623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54,781</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35,243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7,460</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28,886</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96,473</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1,026</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284,492</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1,321</w:t>
            </w:r>
          </w:p>
        </w:tc>
        <w:tc>
          <w:tcPr>
            <w:tcW w:w="28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1,293</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2,065</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4,679</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556</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1,181</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1,737</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SBA loans: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60,623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54,781</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35,243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8,781</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30,735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99,719</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1,026</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290,908</w:t>
            </w:r>
          </w:p>
        </w:tc>
      </w:tr>
      <w:tr>
        <w:trPr>
          <w:trHeight w:val="312"/>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SBA - PPP loans:</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5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Pass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5,515</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3,572</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9,087</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r>
      <w:tr>
        <w:trPr>
          <w:trHeight w:val="160"/>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Total SBA - PPP loans: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5,515</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3,572</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9,087</w:t>
            </w:r>
          </w:p>
        </w:tc>
      </w:tr>
      <w:tr>
        <w:trPr>
          <w:trHeight w:val="152"/>
        </w:trPr>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2"/>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Commercial and</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4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industrial loans:</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54"/>
        </w:trPr>
        <w:tc>
          <w:tcPr>
            <w:tcW w:w="15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154,765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135,162</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80,763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101,192</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42,731</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85,406</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305,589</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7,775</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913,383</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3,955</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761</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459</w:t>
            </w:r>
          </w:p>
        </w:tc>
        <w:tc>
          <w:tcPr>
            <w:tcW w:w="24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1,693</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462</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15,156</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544</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23,038</w:t>
            </w:r>
          </w:p>
        </w:tc>
      </w:tr>
      <w:tr>
        <w:trPr>
          <w:trHeight w:val="158"/>
        </w:trPr>
        <w:tc>
          <w:tcPr>
            <w:tcW w:w="15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494</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728</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959</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5,624</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496</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3,200</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761</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12,262</w:t>
            </w:r>
          </w:p>
        </w:tc>
      </w:tr>
      <w:tr>
        <w:trPr>
          <w:trHeight w:val="154"/>
        </w:trPr>
        <w:tc>
          <w:tcPr>
            <w:tcW w:w="15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44"/>
        </w:trPr>
        <w:tc>
          <w:tcPr>
            <w:tcW w:w="15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Commercial and</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46"/>
        </w:trPr>
        <w:tc>
          <w:tcPr>
            <w:tcW w:w="15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industrial loans: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159,214</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135,923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81,950</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103,844</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48,817</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85,910</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323,945</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9,080</w:t>
            </w:r>
          </w:p>
        </w:tc>
        <w:tc>
          <w:tcPr>
            <w:tcW w:w="2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948,683</w:t>
            </w: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40" w:right="68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32"/>
        </w:trPr>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Revolving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Revolving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7"/>
              </w:rPr>
              <w:t>loans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7"/>
              </w:rPr>
              <w:t>loans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0"/>
        </w:trPr>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tcPr>
          <w:p>
            <w:pPr>
              <w:jc w:val="right"/>
              <w:spacing w:after="0"/>
              <w:rPr>
                <w:sz w:val="20"/>
                <w:szCs w:val="20"/>
                <w:color w:val="auto"/>
              </w:rPr>
            </w:pPr>
            <w:r>
              <w:rPr>
                <w:rFonts w:ascii="Arial" w:cs="Arial" w:eastAsia="Arial" w:hAnsi="Arial"/>
                <w:sz w:val="11"/>
                <w:szCs w:val="11"/>
                <w:b w:val="1"/>
                <w:bCs w:val="1"/>
                <w:color w:val="auto"/>
              </w:rPr>
              <w:t>Origination Year</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9"/>
              </w:rPr>
              <w:t>amortized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converted to</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880" w:type="dxa"/>
            <w:vAlign w:val="bottom"/>
          </w:tcPr>
          <w:p>
            <w:pPr>
              <w:ind w:left="20"/>
              <w:spacing w:after="0"/>
              <w:rPr>
                <w:sz w:val="20"/>
                <w:szCs w:val="20"/>
                <w:color w:val="auto"/>
              </w:rPr>
            </w:pPr>
            <w:r>
              <w:rPr>
                <w:rFonts w:ascii="Arial" w:cs="Arial" w:eastAsia="Arial" w:hAnsi="Arial"/>
                <w:sz w:val="11"/>
                <w:szCs w:val="11"/>
                <w:b w:val="1"/>
                <w:bCs w:val="1"/>
                <w:color w:val="auto"/>
              </w:rPr>
              <w:t>December 31, 2022</w:t>
            </w:r>
          </w:p>
        </w:tc>
        <w:tc>
          <w:tcPr>
            <w:tcW w:w="180" w:type="dxa"/>
            <w:vAlign w:val="bottom"/>
          </w:tcPr>
          <w:p>
            <w:pPr>
              <w:spacing w:after="0"/>
              <w:rPr>
                <w:sz w:val="13"/>
                <w:szCs w:val="13"/>
                <w:color w:val="auto"/>
              </w:rPr>
            </w:pPr>
          </w:p>
        </w:tc>
        <w:tc>
          <w:tcPr>
            <w:tcW w:w="620" w:type="dxa"/>
            <w:vAlign w:val="bottom"/>
          </w:tcPr>
          <w:p>
            <w:pPr>
              <w:jc w:val="right"/>
              <w:ind w:right="22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2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6"/>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ind w:right="166"/>
              <w:spacing w:after="0"/>
              <w:rPr>
                <w:sz w:val="20"/>
                <w:szCs w:val="20"/>
                <w:color w:val="auto"/>
              </w:rPr>
            </w:pPr>
            <w:r>
              <w:rPr>
                <w:rFonts w:ascii="Arial" w:cs="Arial" w:eastAsia="Arial" w:hAnsi="Arial"/>
                <w:sz w:val="11"/>
                <w:szCs w:val="11"/>
                <w:b w:val="1"/>
                <w:bCs w:val="1"/>
                <w:color w:val="auto"/>
                <w:w w:val="97"/>
              </w:rPr>
              <w:t>2019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2018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Prior</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cost basis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term loans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w:t>
            </w:r>
          </w:p>
        </w:tc>
      </w:tr>
      <w:tr>
        <w:trPr>
          <w:trHeight w:val="150"/>
        </w:trPr>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i w:val="1"/>
                <w:iCs w:val="1"/>
                <w:color w:val="auto"/>
                <w:w w:val="99"/>
              </w:rPr>
              <w:t>(Dollars 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18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Dairy &amp; livestock and</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188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agribusiness loans: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4"/>
        </w:trPr>
        <w:tc>
          <w:tcPr>
            <w:tcW w:w="188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1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207</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2,318</w:t>
            </w:r>
          </w:p>
        </w:tc>
        <w:tc>
          <w:tcPr>
            <w:tcW w:w="1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1,515</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400,229</w:t>
            </w:r>
          </w:p>
        </w:tc>
        <w:tc>
          <w:tcPr>
            <w:tcW w:w="1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450</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405,603</w:t>
            </w:r>
          </w:p>
        </w:tc>
        <w:tc>
          <w:tcPr>
            <w:tcW w:w="80" w:type="dxa"/>
            <w:vAlign w:val="bottom"/>
            <w:shd w:val="clear" w:color="auto" w:fill="CFF0FC"/>
          </w:tcPr>
          <w:p>
            <w:pPr>
              <w:spacing w:after="0"/>
              <w:rPr>
                <w:sz w:val="15"/>
                <w:szCs w:val="15"/>
                <w:color w:val="auto"/>
              </w:rPr>
            </w:pPr>
          </w:p>
        </w:tc>
      </w:tr>
      <w:tr>
        <w:trPr>
          <w:trHeight w:val="154"/>
        </w:trPr>
        <w:tc>
          <w:tcPr>
            <w:tcW w:w="188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17,129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853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18,627</w:t>
            </w:r>
          </w:p>
        </w:tc>
        <w:tc>
          <w:tcPr>
            <w:tcW w:w="80" w:type="dxa"/>
            <w:vAlign w:val="bottom"/>
          </w:tcPr>
          <w:p>
            <w:pPr>
              <w:spacing w:after="0"/>
              <w:rPr>
                <w:sz w:val="13"/>
                <w:szCs w:val="13"/>
                <w:color w:val="auto"/>
              </w:rPr>
            </w:pPr>
          </w:p>
        </w:tc>
      </w:tr>
      <w:tr>
        <w:trPr>
          <w:trHeight w:val="158"/>
        </w:trPr>
        <w:tc>
          <w:tcPr>
            <w:tcW w:w="1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1,841</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6,204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9,334</w:t>
            </w:r>
          </w:p>
        </w:tc>
        <w:tc>
          <w:tcPr>
            <w:tcW w:w="80" w:type="dxa"/>
            <w:vAlign w:val="bottom"/>
            <w:shd w:val="clear" w:color="auto" w:fill="CFF0FC"/>
          </w:tcPr>
          <w:p>
            <w:pPr>
              <w:spacing w:after="0"/>
              <w:rPr>
                <w:sz w:val="13"/>
                <w:szCs w:val="13"/>
                <w:color w:val="auto"/>
              </w:rPr>
            </w:pPr>
          </w:p>
        </w:tc>
      </w:tr>
      <w:tr>
        <w:trPr>
          <w:trHeight w:val="154"/>
        </w:trPr>
        <w:tc>
          <w:tcPr>
            <w:tcW w:w="188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44"/>
        </w:trPr>
        <w:tc>
          <w:tcPr>
            <w:tcW w:w="18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Dairy &amp; livestock</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32"/>
        </w:trPr>
        <w:tc>
          <w:tcPr>
            <w:tcW w:w="188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and agribusiness</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6"/>
        </w:trPr>
        <w:tc>
          <w:tcPr>
            <w:tcW w:w="188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1,248</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2,318</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1,555</w:t>
            </w:r>
          </w:p>
        </w:tc>
        <w:tc>
          <w:tcPr>
            <w:tcW w:w="12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786</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741</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419,199</w:t>
            </w:r>
          </w:p>
        </w:tc>
        <w:tc>
          <w:tcPr>
            <w:tcW w:w="1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7,507</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433,564</w:t>
            </w:r>
          </w:p>
        </w:tc>
        <w:tc>
          <w:tcPr>
            <w:tcW w:w="80" w:type="dxa"/>
            <w:vAlign w:val="bottom"/>
            <w:shd w:val="clear" w:color="auto" w:fill="CFF0FC"/>
          </w:tcPr>
          <w:p>
            <w:pPr>
              <w:spacing w:after="0"/>
              <w:rPr>
                <w:sz w:val="12"/>
                <w:szCs w:val="12"/>
                <w:color w:val="auto"/>
              </w:rPr>
            </w:pPr>
          </w:p>
        </w:tc>
      </w:tr>
      <w:tr>
        <w:trPr>
          <w:trHeight w:val="298"/>
        </w:trPr>
        <w:tc>
          <w:tcPr>
            <w:tcW w:w="1880" w:type="dxa"/>
            <w:vAlign w:val="bottom"/>
          </w:tcPr>
          <w:p>
            <w:pPr>
              <w:ind w:left="20"/>
              <w:spacing w:after="0"/>
              <w:rPr>
                <w:sz w:val="20"/>
                <w:szCs w:val="20"/>
                <w:color w:val="auto"/>
              </w:rPr>
            </w:pPr>
            <w:r>
              <w:rPr>
                <w:rFonts w:ascii="Arial" w:cs="Arial" w:eastAsia="Arial" w:hAnsi="Arial"/>
                <w:sz w:val="11"/>
                <w:szCs w:val="11"/>
                <w:b w:val="1"/>
                <w:bCs w:val="1"/>
                <w:color w:val="auto"/>
              </w:rPr>
              <w:t>Municipal lease finance</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1880" w:type="dxa"/>
            <w:vAlign w:val="bottom"/>
          </w:tcPr>
          <w:p>
            <w:pPr>
              <w:ind w:left="100"/>
              <w:spacing w:after="0"/>
              <w:rPr>
                <w:sz w:val="20"/>
                <w:szCs w:val="20"/>
                <w:color w:val="auto"/>
              </w:rPr>
            </w:pPr>
            <w:r>
              <w:rPr>
                <w:rFonts w:ascii="Arial" w:cs="Arial" w:eastAsia="Arial" w:hAnsi="Arial"/>
                <w:sz w:val="11"/>
                <w:szCs w:val="11"/>
                <w:b w:val="1"/>
                <w:bCs w:val="1"/>
                <w:color w:val="auto"/>
              </w:rPr>
              <w:t>receivables loans: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18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880" w:type="dxa"/>
            <w:vAlign w:val="bottom"/>
          </w:tcPr>
          <w:p>
            <w:pPr>
              <w:ind w:left="180"/>
              <w:spacing w:after="0"/>
              <w:rPr>
                <w:sz w:val="20"/>
                <w:szCs w:val="20"/>
                <w:color w:val="auto"/>
              </w:rPr>
            </w:pPr>
            <w:r>
              <w:rPr>
                <w:rFonts w:ascii="Arial" w:cs="Arial" w:eastAsia="Arial" w:hAnsi="Arial"/>
                <w:sz w:val="11"/>
                <w:szCs w:val="11"/>
                <w:color w:val="auto"/>
              </w:rPr>
              <w:t>Pass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6,442</w:t>
            </w:r>
          </w:p>
        </w:tc>
        <w:tc>
          <w:tcPr>
            <w:tcW w:w="100" w:type="dxa"/>
            <w:vAlign w:val="bottom"/>
          </w:tcPr>
          <w:p>
            <w:pPr>
              <w:spacing w:after="0"/>
              <w:rPr>
                <w:sz w:val="13"/>
                <w:szCs w:val="13"/>
                <w:color w:val="auto"/>
              </w:rPr>
            </w:pP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26,858</w:t>
            </w:r>
          </w:p>
        </w:tc>
        <w:tc>
          <w:tcPr>
            <w:tcW w:w="120" w:type="dxa"/>
            <w:vAlign w:val="bottom"/>
          </w:tcPr>
          <w:p>
            <w:pPr>
              <w:spacing w:after="0"/>
              <w:rPr>
                <w:sz w:val="13"/>
                <w:szCs w:val="13"/>
                <w:color w:val="auto"/>
              </w:rPr>
            </w:pP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6,814</w:t>
            </w:r>
          </w:p>
        </w:tc>
        <w:tc>
          <w:tcPr>
            <w:tcW w:w="120" w:type="dxa"/>
            <w:vAlign w:val="bottom"/>
          </w:tcPr>
          <w:p>
            <w:pPr>
              <w:spacing w:after="0"/>
              <w:rPr>
                <w:sz w:val="13"/>
                <w:szCs w:val="13"/>
                <w:color w:val="auto"/>
              </w:rPr>
            </w:pPr>
          </w:p>
        </w:tc>
        <w:tc>
          <w:tcPr>
            <w:tcW w:w="30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4,327</w:t>
            </w:r>
          </w:p>
        </w:tc>
        <w:tc>
          <w:tcPr>
            <w:tcW w:w="3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4,948</w:t>
            </w:r>
          </w:p>
        </w:tc>
        <w:tc>
          <w:tcPr>
            <w:tcW w:w="22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31,292</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80,681</w:t>
            </w:r>
          </w:p>
        </w:tc>
        <w:tc>
          <w:tcPr>
            <w:tcW w:w="80" w:type="dxa"/>
            <w:vAlign w:val="bottom"/>
          </w:tcPr>
          <w:p>
            <w:pPr>
              <w:spacing w:after="0"/>
              <w:rPr>
                <w:sz w:val="13"/>
                <w:szCs w:val="13"/>
                <w:color w:val="auto"/>
              </w:rPr>
            </w:pPr>
          </w:p>
        </w:tc>
      </w:tr>
      <w:tr>
        <w:trPr>
          <w:trHeight w:val="158"/>
        </w:trPr>
        <w:tc>
          <w:tcPr>
            <w:tcW w:w="1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w:t>
            </w:r>
          </w:p>
        </w:tc>
        <w:tc>
          <w:tcPr>
            <w:tcW w:w="80" w:type="dxa"/>
            <w:vAlign w:val="bottom"/>
            <w:shd w:val="clear" w:color="auto" w:fill="CFF0FC"/>
          </w:tcPr>
          <w:p>
            <w:pPr>
              <w:spacing w:after="0"/>
              <w:rPr>
                <w:sz w:val="13"/>
                <w:szCs w:val="13"/>
                <w:color w:val="auto"/>
              </w:rPr>
            </w:pPr>
          </w:p>
        </w:tc>
      </w:tr>
      <w:tr>
        <w:trPr>
          <w:trHeight w:val="154"/>
        </w:trPr>
        <w:tc>
          <w:tcPr>
            <w:tcW w:w="188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183</w:t>
            </w:r>
          </w:p>
        </w:tc>
        <w:tc>
          <w:tcPr>
            <w:tcW w:w="80" w:type="dxa"/>
            <w:vAlign w:val="bottom"/>
          </w:tcPr>
          <w:p>
            <w:pPr>
              <w:spacing w:after="0"/>
              <w:rPr>
                <w:sz w:val="13"/>
                <w:szCs w:val="13"/>
                <w:color w:val="auto"/>
              </w:rPr>
            </w:pPr>
          </w:p>
        </w:tc>
      </w:tr>
      <w:tr>
        <w:trPr>
          <w:trHeight w:val="158"/>
        </w:trPr>
        <w:tc>
          <w:tcPr>
            <w:tcW w:w="1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r>
      <w:tr>
        <w:trPr>
          <w:trHeight w:val="142"/>
        </w:trPr>
        <w:tc>
          <w:tcPr>
            <w:tcW w:w="1880" w:type="dxa"/>
            <w:vAlign w:val="bottom"/>
          </w:tcPr>
          <w:p>
            <w:pPr>
              <w:ind w:left="20"/>
              <w:spacing w:after="0"/>
              <w:rPr>
                <w:sz w:val="20"/>
                <w:szCs w:val="20"/>
                <w:color w:val="auto"/>
              </w:rPr>
            </w:pPr>
            <w:r>
              <w:rPr>
                <w:rFonts w:ascii="Arial" w:cs="Arial" w:eastAsia="Arial" w:hAnsi="Arial"/>
                <w:sz w:val="11"/>
                <w:szCs w:val="11"/>
                <w:b w:val="1"/>
                <w:bCs w:val="1"/>
                <w:color w:val="auto"/>
              </w:rPr>
              <w:t>Total Municipal lease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2"/>
        </w:trPr>
        <w:tc>
          <w:tcPr>
            <w:tcW w:w="1880" w:type="dxa"/>
            <w:vAlign w:val="bottom"/>
          </w:tcPr>
          <w:p>
            <w:pPr>
              <w:ind w:left="100"/>
              <w:spacing w:after="0"/>
              <w:rPr>
                <w:sz w:val="20"/>
                <w:szCs w:val="20"/>
                <w:color w:val="auto"/>
              </w:rPr>
            </w:pPr>
            <w:r>
              <w:rPr>
                <w:rFonts w:ascii="Arial" w:cs="Arial" w:eastAsia="Arial" w:hAnsi="Arial"/>
                <w:sz w:val="11"/>
                <w:szCs w:val="11"/>
                <w:b w:val="1"/>
                <w:bCs w:val="1"/>
                <w:color w:val="auto"/>
              </w:rPr>
              <w:t>finance receivables</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0"/>
        </w:trPr>
        <w:tc>
          <w:tcPr>
            <w:tcW w:w="1880" w:type="dxa"/>
            <w:vAlign w:val="bottom"/>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6,442</w:t>
            </w:r>
          </w:p>
        </w:tc>
        <w:tc>
          <w:tcPr>
            <w:tcW w:w="100" w:type="dxa"/>
            <w:vAlign w:val="bottom"/>
          </w:tcPr>
          <w:p>
            <w:pPr>
              <w:spacing w:after="0"/>
              <w:rPr>
                <w:sz w:val="13"/>
                <w:szCs w:val="13"/>
                <w:color w:val="auto"/>
              </w:rPr>
            </w:pP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26,858</w:t>
            </w:r>
          </w:p>
        </w:tc>
        <w:tc>
          <w:tcPr>
            <w:tcW w:w="120" w:type="dxa"/>
            <w:vAlign w:val="bottom"/>
          </w:tcPr>
          <w:p>
            <w:pPr>
              <w:spacing w:after="0"/>
              <w:rPr>
                <w:sz w:val="13"/>
                <w:szCs w:val="13"/>
                <w:color w:val="auto"/>
              </w:rPr>
            </w:pP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6,814</w:t>
            </w:r>
          </w:p>
        </w:tc>
        <w:tc>
          <w:tcPr>
            <w:tcW w:w="120" w:type="dxa"/>
            <w:vAlign w:val="bottom"/>
          </w:tcPr>
          <w:p>
            <w:pPr>
              <w:spacing w:after="0"/>
              <w:rPr>
                <w:sz w:val="13"/>
                <w:szCs w:val="13"/>
                <w:color w:val="auto"/>
              </w:rPr>
            </w:pPr>
          </w:p>
        </w:tc>
        <w:tc>
          <w:tcPr>
            <w:tcW w:w="30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4,327</w:t>
            </w:r>
          </w:p>
        </w:tc>
        <w:tc>
          <w:tcPr>
            <w:tcW w:w="3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4,948</w:t>
            </w:r>
          </w:p>
        </w:tc>
        <w:tc>
          <w:tcPr>
            <w:tcW w:w="22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31,737</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81,126</w:t>
            </w:r>
          </w:p>
        </w:tc>
        <w:tc>
          <w:tcPr>
            <w:tcW w:w="80" w:type="dxa"/>
            <w:vAlign w:val="bottom"/>
          </w:tcPr>
          <w:p>
            <w:pPr>
              <w:spacing w:after="0"/>
              <w:rPr>
                <w:sz w:val="13"/>
                <w:szCs w:val="13"/>
                <w:color w:val="auto"/>
              </w:rPr>
            </w:pPr>
          </w:p>
        </w:tc>
      </w:tr>
      <w:tr>
        <w:trPr>
          <w:trHeight w:val="152"/>
        </w:trPr>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8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SFR mortgage loans:</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88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1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63,761</w:t>
            </w:r>
          </w:p>
        </w:tc>
        <w:tc>
          <w:tcPr>
            <w:tcW w:w="10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46,748</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45,819</w:t>
            </w:r>
          </w:p>
        </w:tc>
        <w:tc>
          <w:tcPr>
            <w:tcW w:w="1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33,585</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15,836</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58,730</w:t>
            </w: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264,479</w:t>
            </w:r>
          </w:p>
        </w:tc>
        <w:tc>
          <w:tcPr>
            <w:tcW w:w="80" w:type="dxa"/>
            <w:vAlign w:val="bottom"/>
            <w:shd w:val="clear" w:color="auto" w:fill="CFF0FC"/>
          </w:tcPr>
          <w:p>
            <w:pPr>
              <w:spacing w:after="0"/>
              <w:rPr>
                <w:sz w:val="13"/>
                <w:szCs w:val="13"/>
                <w:color w:val="auto"/>
              </w:rPr>
            </w:pPr>
          </w:p>
        </w:tc>
      </w:tr>
      <w:tr>
        <w:trPr>
          <w:trHeight w:val="154"/>
        </w:trPr>
        <w:tc>
          <w:tcPr>
            <w:tcW w:w="188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943</w:t>
            </w:r>
          </w:p>
        </w:tc>
        <w:tc>
          <w:tcPr>
            <w:tcW w:w="80" w:type="dxa"/>
            <w:vAlign w:val="bottom"/>
          </w:tcPr>
          <w:p>
            <w:pPr>
              <w:spacing w:after="0"/>
              <w:rPr>
                <w:sz w:val="13"/>
                <w:szCs w:val="13"/>
                <w:color w:val="auto"/>
              </w:rPr>
            </w:pPr>
          </w:p>
        </w:tc>
      </w:tr>
      <w:tr>
        <w:trPr>
          <w:trHeight w:val="158"/>
        </w:trPr>
        <w:tc>
          <w:tcPr>
            <w:tcW w:w="1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602</w:t>
            </w:r>
          </w:p>
        </w:tc>
        <w:tc>
          <w:tcPr>
            <w:tcW w:w="80" w:type="dxa"/>
            <w:vAlign w:val="bottom"/>
            <w:shd w:val="clear" w:color="auto" w:fill="CFF0FC"/>
          </w:tcPr>
          <w:p>
            <w:pPr>
              <w:spacing w:after="0"/>
              <w:rPr>
                <w:sz w:val="13"/>
                <w:szCs w:val="13"/>
                <w:color w:val="auto"/>
              </w:rPr>
            </w:pPr>
          </w:p>
        </w:tc>
      </w:tr>
      <w:tr>
        <w:trPr>
          <w:trHeight w:val="154"/>
        </w:trPr>
        <w:tc>
          <w:tcPr>
            <w:tcW w:w="188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44"/>
        </w:trPr>
        <w:tc>
          <w:tcPr>
            <w:tcW w:w="18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SFR mortgage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188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63,761</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46,748</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46,762</w:t>
            </w:r>
          </w:p>
        </w:tc>
        <w:tc>
          <w:tcPr>
            <w:tcW w:w="12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33,585</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15,836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58,944</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266,024</w:t>
            </w:r>
          </w:p>
        </w:tc>
        <w:tc>
          <w:tcPr>
            <w:tcW w:w="80" w:type="dxa"/>
            <w:vAlign w:val="bottom"/>
            <w:shd w:val="clear" w:color="auto" w:fill="CFF0FC"/>
          </w:tcPr>
          <w:p>
            <w:pPr>
              <w:spacing w:after="0"/>
              <w:rPr>
                <w:sz w:val="12"/>
                <w:szCs w:val="12"/>
                <w:color w:val="auto"/>
              </w:rPr>
            </w:pPr>
          </w:p>
        </w:tc>
      </w:tr>
      <w:tr>
        <w:trPr>
          <w:trHeight w:val="298"/>
        </w:trPr>
        <w:tc>
          <w:tcPr>
            <w:tcW w:w="1880" w:type="dxa"/>
            <w:vAlign w:val="bottom"/>
          </w:tcPr>
          <w:p>
            <w:pPr>
              <w:ind w:left="20"/>
              <w:spacing w:after="0"/>
              <w:rPr>
                <w:sz w:val="20"/>
                <w:szCs w:val="20"/>
                <w:color w:val="auto"/>
              </w:rPr>
            </w:pPr>
            <w:r>
              <w:rPr>
                <w:rFonts w:ascii="Arial" w:cs="Arial" w:eastAsia="Arial" w:hAnsi="Arial"/>
                <w:sz w:val="11"/>
                <w:szCs w:val="11"/>
                <w:b w:val="1"/>
                <w:bCs w:val="1"/>
                <w:color w:val="auto"/>
              </w:rPr>
              <w:t>Consumer and other</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1880" w:type="dxa"/>
            <w:vAlign w:val="bottom"/>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18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880" w:type="dxa"/>
            <w:vAlign w:val="bottom"/>
          </w:tcPr>
          <w:p>
            <w:pPr>
              <w:ind w:left="180"/>
              <w:spacing w:after="0"/>
              <w:rPr>
                <w:sz w:val="20"/>
                <w:szCs w:val="20"/>
                <w:color w:val="auto"/>
              </w:rPr>
            </w:pPr>
            <w:r>
              <w:rPr>
                <w:rFonts w:ascii="Arial" w:cs="Arial" w:eastAsia="Arial" w:hAnsi="Arial"/>
                <w:sz w:val="11"/>
                <w:szCs w:val="11"/>
                <w:color w:val="auto"/>
              </w:rPr>
              <w:t>Pass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7,653</w:t>
            </w:r>
          </w:p>
        </w:tc>
        <w:tc>
          <w:tcPr>
            <w:tcW w:w="100" w:type="dxa"/>
            <w:vAlign w:val="bottom"/>
          </w:tcPr>
          <w:p>
            <w:pPr>
              <w:spacing w:after="0"/>
              <w:rPr>
                <w:sz w:val="13"/>
                <w:szCs w:val="13"/>
                <w:color w:val="auto"/>
              </w:rPr>
            </w:pP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3,722</w:t>
            </w:r>
          </w:p>
        </w:tc>
        <w:tc>
          <w:tcPr>
            <w:tcW w:w="120" w:type="dxa"/>
            <w:vAlign w:val="bottom"/>
          </w:tcPr>
          <w:p>
            <w:pPr>
              <w:spacing w:after="0"/>
              <w:rPr>
                <w:sz w:val="13"/>
                <w:szCs w:val="13"/>
                <w:color w:val="auto"/>
              </w:rPr>
            </w:pP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1,298</w:t>
            </w:r>
          </w:p>
        </w:tc>
        <w:tc>
          <w:tcPr>
            <w:tcW w:w="120" w:type="dxa"/>
            <w:vAlign w:val="bottom"/>
          </w:tcPr>
          <w:p>
            <w:pPr>
              <w:spacing w:after="0"/>
              <w:rPr>
                <w:sz w:val="13"/>
                <w:szCs w:val="13"/>
                <w:color w:val="auto"/>
              </w:rPr>
            </w:pPr>
          </w:p>
        </w:tc>
        <w:tc>
          <w:tcPr>
            <w:tcW w:w="30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926</w:t>
            </w:r>
          </w:p>
        </w:tc>
        <w:tc>
          <w:tcPr>
            <w:tcW w:w="3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79</w:t>
            </w:r>
          </w:p>
        </w:tc>
        <w:tc>
          <w:tcPr>
            <w:tcW w:w="22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1,277</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58,578</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1,107</w:t>
            </w:r>
          </w:p>
        </w:tc>
        <w:tc>
          <w:tcPr>
            <w:tcW w:w="100" w:type="dxa"/>
            <w:vAlign w:val="bottom"/>
          </w:tcPr>
          <w:p>
            <w:pPr>
              <w:spacing w:after="0"/>
              <w:rPr>
                <w:sz w:val="13"/>
                <w:szCs w:val="13"/>
                <w:color w:val="auto"/>
              </w:rPr>
            </w:pPr>
          </w:p>
        </w:tc>
        <w:tc>
          <w:tcPr>
            <w:tcW w:w="2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74,640</w:t>
            </w:r>
          </w:p>
        </w:tc>
        <w:tc>
          <w:tcPr>
            <w:tcW w:w="80" w:type="dxa"/>
            <w:vAlign w:val="bottom"/>
          </w:tcPr>
          <w:p>
            <w:pPr>
              <w:spacing w:after="0"/>
              <w:rPr>
                <w:sz w:val="13"/>
                <w:szCs w:val="13"/>
                <w:color w:val="auto"/>
              </w:rPr>
            </w:pPr>
          </w:p>
        </w:tc>
      </w:tr>
      <w:tr>
        <w:trPr>
          <w:trHeight w:val="158"/>
        </w:trPr>
        <w:tc>
          <w:tcPr>
            <w:tcW w:w="1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1,151</w:t>
            </w:r>
          </w:p>
        </w:tc>
        <w:tc>
          <w:tcPr>
            <w:tcW w:w="80" w:type="dxa"/>
            <w:vAlign w:val="bottom"/>
            <w:shd w:val="clear" w:color="auto" w:fill="CFF0FC"/>
          </w:tcPr>
          <w:p>
            <w:pPr>
              <w:spacing w:after="0"/>
              <w:rPr>
                <w:sz w:val="13"/>
                <w:szCs w:val="13"/>
                <w:color w:val="auto"/>
              </w:rPr>
            </w:pPr>
          </w:p>
        </w:tc>
      </w:tr>
      <w:tr>
        <w:trPr>
          <w:trHeight w:val="154"/>
        </w:trPr>
        <w:tc>
          <w:tcPr>
            <w:tcW w:w="188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990</w:t>
            </w:r>
          </w:p>
        </w:tc>
        <w:tc>
          <w:tcPr>
            <w:tcW w:w="80" w:type="dxa"/>
            <w:vAlign w:val="bottom"/>
          </w:tcPr>
          <w:p>
            <w:pPr>
              <w:spacing w:after="0"/>
              <w:rPr>
                <w:sz w:val="13"/>
                <w:szCs w:val="13"/>
                <w:color w:val="auto"/>
              </w:rPr>
            </w:pPr>
          </w:p>
        </w:tc>
      </w:tr>
      <w:tr>
        <w:trPr>
          <w:trHeight w:val="158"/>
        </w:trPr>
        <w:tc>
          <w:tcPr>
            <w:tcW w:w="1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r>
      <w:tr>
        <w:trPr>
          <w:trHeight w:val="142"/>
        </w:trPr>
        <w:tc>
          <w:tcPr>
            <w:tcW w:w="1880" w:type="dxa"/>
            <w:vAlign w:val="bottom"/>
          </w:tcPr>
          <w:p>
            <w:pPr>
              <w:ind w:left="20"/>
              <w:spacing w:after="0"/>
              <w:rPr>
                <w:sz w:val="20"/>
                <w:szCs w:val="20"/>
                <w:color w:val="auto"/>
              </w:rPr>
            </w:pPr>
            <w:r>
              <w:rPr>
                <w:rFonts w:ascii="Arial" w:cs="Arial" w:eastAsia="Arial" w:hAnsi="Arial"/>
                <w:sz w:val="11"/>
                <w:szCs w:val="11"/>
                <w:b w:val="1"/>
                <w:bCs w:val="1"/>
                <w:color w:val="auto"/>
              </w:rPr>
              <w:t>Total Consumer and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0"/>
        </w:trPr>
        <w:tc>
          <w:tcPr>
            <w:tcW w:w="1880" w:type="dxa"/>
            <w:vAlign w:val="bottom"/>
          </w:tcPr>
          <w:p>
            <w:pPr>
              <w:ind w:left="100"/>
              <w:spacing w:after="0"/>
              <w:rPr>
                <w:sz w:val="20"/>
                <w:szCs w:val="20"/>
                <w:color w:val="auto"/>
              </w:rPr>
            </w:pPr>
            <w:r>
              <w:rPr>
                <w:rFonts w:ascii="Arial" w:cs="Arial" w:eastAsia="Arial" w:hAnsi="Arial"/>
                <w:sz w:val="11"/>
                <w:szCs w:val="11"/>
                <w:b w:val="1"/>
                <w:bCs w:val="1"/>
                <w:color w:val="auto"/>
              </w:rPr>
              <w:t>other loans: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7,653</w:t>
            </w:r>
          </w:p>
        </w:tc>
        <w:tc>
          <w:tcPr>
            <w:tcW w:w="100" w:type="dxa"/>
            <w:vAlign w:val="bottom"/>
          </w:tcPr>
          <w:p>
            <w:pPr>
              <w:spacing w:after="0"/>
              <w:rPr>
                <w:sz w:val="13"/>
                <w:szCs w:val="13"/>
                <w:color w:val="auto"/>
              </w:rPr>
            </w:pP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4,283</w:t>
            </w:r>
          </w:p>
        </w:tc>
        <w:tc>
          <w:tcPr>
            <w:tcW w:w="120" w:type="dxa"/>
            <w:vAlign w:val="bottom"/>
          </w:tcPr>
          <w:p>
            <w:pPr>
              <w:spacing w:after="0"/>
              <w:rPr>
                <w:sz w:val="13"/>
                <w:szCs w:val="13"/>
                <w:color w:val="auto"/>
              </w:rPr>
            </w:pPr>
          </w:p>
        </w:tc>
        <w:tc>
          <w:tcPr>
            <w:tcW w:w="2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1,298</w:t>
            </w:r>
          </w:p>
        </w:tc>
        <w:tc>
          <w:tcPr>
            <w:tcW w:w="120" w:type="dxa"/>
            <w:vAlign w:val="bottom"/>
          </w:tcPr>
          <w:p>
            <w:pPr>
              <w:spacing w:after="0"/>
              <w:rPr>
                <w:sz w:val="13"/>
                <w:szCs w:val="13"/>
                <w:color w:val="auto"/>
              </w:rPr>
            </w:pPr>
          </w:p>
        </w:tc>
        <w:tc>
          <w:tcPr>
            <w:tcW w:w="30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926</w:t>
            </w:r>
          </w:p>
        </w:tc>
        <w:tc>
          <w:tcPr>
            <w:tcW w:w="3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79</w:t>
            </w:r>
          </w:p>
        </w:tc>
        <w:tc>
          <w:tcPr>
            <w:tcW w:w="22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1,290</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59,173</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2,079</w:t>
            </w:r>
          </w:p>
        </w:tc>
        <w:tc>
          <w:tcPr>
            <w:tcW w:w="100" w:type="dxa"/>
            <w:vAlign w:val="bottom"/>
          </w:tcPr>
          <w:p>
            <w:pPr>
              <w:spacing w:after="0"/>
              <w:rPr>
                <w:sz w:val="13"/>
                <w:szCs w:val="13"/>
                <w:color w:val="auto"/>
              </w:rPr>
            </w:pPr>
          </w:p>
        </w:tc>
        <w:tc>
          <w:tcPr>
            <w:tcW w:w="2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76,781</w:t>
            </w:r>
          </w:p>
        </w:tc>
        <w:tc>
          <w:tcPr>
            <w:tcW w:w="80" w:type="dxa"/>
            <w:vAlign w:val="bottom"/>
          </w:tcPr>
          <w:p>
            <w:pPr>
              <w:spacing w:after="0"/>
              <w:rPr>
                <w:sz w:val="13"/>
                <w:szCs w:val="13"/>
                <w:color w:val="auto"/>
              </w:rPr>
            </w:pPr>
          </w:p>
        </w:tc>
      </w:tr>
      <w:tr>
        <w:trPr>
          <w:trHeight w:val="152"/>
        </w:trPr>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4"/>
        </w:trPr>
        <w:tc>
          <w:tcPr>
            <w:tcW w:w="18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54"/>
        </w:trPr>
        <w:tc>
          <w:tcPr>
            <w:tcW w:w="188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1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1,674,387</w:t>
            </w:r>
          </w:p>
        </w:tc>
        <w:tc>
          <w:tcPr>
            <w:tcW w:w="10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1,499,083</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1,149,567</w:t>
            </w:r>
          </w:p>
        </w:tc>
        <w:tc>
          <w:tcPr>
            <w:tcW w:w="1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690,504</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599,162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2,163,284</w:t>
            </w: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963,645</w:t>
            </w:r>
          </w:p>
        </w:tc>
        <w:tc>
          <w:tcPr>
            <w:tcW w:w="10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48,948</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8,788,580</w:t>
            </w:r>
          </w:p>
        </w:tc>
        <w:tc>
          <w:tcPr>
            <w:tcW w:w="80" w:type="dxa"/>
            <w:vAlign w:val="bottom"/>
            <w:shd w:val="clear" w:color="auto" w:fill="CFF0FC"/>
          </w:tcPr>
          <w:p>
            <w:pPr>
              <w:spacing w:after="0"/>
              <w:rPr>
                <w:sz w:val="13"/>
                <w:szCs w:val="13"/>
                <w:color w:val="auto"/>
              </w:rPr>
            </w:pPr>
          </w:p>
        </w:tc>
      </w:tr>
      <w:tr>
        <w:trPr>
          <w:trHeight w:val="154"/>
        </w:trPr>
        <w:tc>
          <w:tcPr>
            <w:tcW w:w="188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7,240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13,436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12,686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36,589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28,398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78,625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33,783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212,154</w:t>
            </w:r>
          </w:p>
        </w:tc>
        <w:tc>
          <w:tcPr>
            <w:tcW w:w="80" w:type="dxa"/>
            <w:vAlign w:val="bottom"/>
          </w:tcPr>
          <w:p>
            <w:pPr>
              <w:spacing w:after="0"/>
              <w:rPr>
                <w:sz w:val="13"/>
                <w:szCs w:val="13"/>
                <w:color w:val="auto"/>
              </w:rPr>
            </w:pPr>
          </w:p>
        </w:tc>
      </w:tr>
      <w:tr>
        <w:trPr>
          <w:trHeight w:val="158"/>
        </w:trPr>
        <w:tc>
          <w:tcPr>
            <w:tcW w:w="1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1,535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16,392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17,256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6,369</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23,735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5,046</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8,325</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78,658</w:t>
            </w:r>
          </w:p>
        </w:tc>
        <w:tc>
          <w:tcPr>
            <w:tcW w:w="80" w:type="dxa"/>
            <w:vAlign w:val="bottom"/>
            <w:shd w:val="clear" w:color="auto" w:fill="CFF0FC"/>
          </w:tcPr>
          <w:p>
            <w:pPr>
              <w:spacing w:after="0"/>
              <w:rPr>
                <w:sz w:val="13"/>
                <w:szCs w:val="13"/>
                <w:color w:val="auto"/>
              </w:rPr>
            </w:pPr>
          </w:p>
        </w:tc>
      </w:tr>
      <w:tr>
        <w:trPr>
          <w:trHeight w:val="154"/>
        </w:trPr>
        <w:tc>
          <w:tcPr>
            <w:tcW w:w="188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98"/>
        </w:trPr>
        <w:tc>
          <w:tcPr>
            <w:tcW w:w="1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1,683,162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1,512,519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1,178,645</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744,349</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633,929</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2,265,644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1,002,474</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58,670</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9,079,392</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Allowance for Credit Losses ("ACL")</w:t>
      </w:r>
    </w:p>
    <w:p>
      <w:pPr>
        <w:spacing w:after="0" w:line="184" w:lineRule="exact"/>
        <w:rPr>
          <w:sz w:val="20"/>
          <w:szCs w:val="20"/>
          <w:color w:val="auto"/>
        </w:rPr>
      </w:pPr>
    </w:p>
    <w:p>
      <w:pPr>
        <w:ind w:firstLine="432"/>
        <w:spacing w:after="0" w:line="272" w:lineRule="auto"/>
        <w:rPr>
          <w:sz w:val="20"/>
          <w:szCs w:val="20"/>
          <w:color w:val="auto"/>
        </w:rPr>
      </w:pPr>
      <w:r>
        <w:rPr>
          <w:rFonts w:ascii="Arial" w:cs="Arial" w:eastAsia="Arial" w:hAnsi="Arial"/>
          <w:sz w:val="14"/>
          <w:szCs w:val="14"/>
          <w:color w:val="auto"/>
        </w:rPr>
        <w:t>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Original Loan to Value ratios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Paycheck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40" w:orient="portrait"/>
          <w:cols w:equalWidth="0" w:num="1">
            <w:col w:w="10560"/>
          </w:cols>
          <w:pgMar w:left="660" w:top="940" w:right="680"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 xml:space="preserve">conditions and forecasts to determine whether adjustments are needed to ensure that the life of loan loss rates reflect both the current state of the portfolio, and expectations for macroeconomic changes. Our methodology for assessing the appropriateness of the allowance is reviewed on a regular basis and considers overall risks in the Bank’s loan portfolio. Refer to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included in our Annual Report on Form 10-K for the year ended December 31, 2022 for a more detailed discussion concerning the allowance for credit losses.</w:t>
      </w:r>
    </w:p>
    <w:p>
      <w:pPr>
        <w:spacing w:after="0" w:line="164" w:lineRule="exact"/>
        <w:rPr>
          <w:sz w:val="20"/>
          <w:szCs w:val="20"/>
          <w:color w:val="auto"/>
        </w:rPr>
      </w:pPr>
    </w:p>
    <w:p>
      <w:pPr>
        <w:ind w:right="100" w:firstLine="432"/>
        <w:spacing w:after="0" w:line="237" w:lineRule="auto"/>
        <w:rPr>
          <w:sz w:val="20"/>
          <w:szCs w:val="20"/>
          <w:color w:val="auto"/>
        </w:rPr>
      </w:pPr>
      <w:r>
        <w:rPr>
          <w:rFonts w:ascii="Arial" w:cs="Arial" w:eastAsia="Arial" w:hAnsi="Arial"/>
          <w:sz w:val="16"/>
          <w:szCs w:val="16"/>
          <w:color w:val="auto"/>
        </w:rPr>
        <w:t>The ACL totaled $86.5 million at March 31, 2023, compared to $85.1 million at December 31, 2022. The $1.4 million increase in the ACL from December 31, 2022 to March 31, 2023 is comprised of $1.5 million in provision for credit losses, offset by $77,000 in net charge-offs. As a result of the acquisition of Suncrest, we recorded a provision for credit loss of $4.9 million on January 7, 2022 to establish the ACL for the acquired loans that were not considered PCD. The ACL at January 7, 2022, also included $8.6 million for the acquired Suncrest PCD loans. At March 31, 2023, the ACL as a percentage of total loans and leases, at amortized cost, was 0.97%. This compares to 0.94% At December 31, 2022. Our economic forecast continues to be a blend of multiple forecasts produced by Moody’s. These U.S. economic forecasts include a baseline forecast, as well as multiple downside forecasts. The baseline forecast continues to represent the largest weighting in our multi-weighted forecast scenario. As of March 31, 2023, the resulting weighted forecast assumes GDP will increase by 1.4% in 2023, followed by modest growth of 0.9% for 2024 and then grow by 2.4% in 2025. GDP is forecasted to be negative in the latter part of 2023 into early 2024. The unemployment rate is forecasted to increase, and result in a rate of 4.2% in 2023, 5.1% in 2024 and then decline to 4.8% in 2025.</w:t>
      </w:r>
    </w:p>
    <w:p>
      <w:pPr>
        <w:spacing w:after="0" w:line="164" w:lineRule="exact"/>
        <w:rPr>
          <w:sz w:val="20"/>
          <w:szCs w:val="20"/>
          <w:color w:val="auto"/>
        </w:rPr>
      </w:pPr>
    </w:p>
    <w:p>
      <w:pPr>
        <w:ind w:right="60" w:firstLine="432"/>
        <w:spacing w:after="0" w:line="243" w:lineRule="auto"/>
        <w:rPr>
          <w:sz w:val="20"/>
          <w:szCs w:val="20"/>
          <w:color w:val="auto"/>
        </w:rPr>
      </w:pPr>
      <w:r>
        <w:rPr>
          <w:rFonts w:ascii="Arial" w:cs="Arial" w:eastAsia="Arial" w:hAnsi="Arial"/>
          <w:sz w:val="16"/>
          <w:szCs w:val="16"/>
          <w:color w:val="auto"/>
        </w:rPr>
        <w:t>Management believes that the ACL was appropriate at March 31, 2023 and December 31, 2022. Due to inflationary pressures, rising interest rates and geopolitical events, no assurance can be given that economic conditions that adversely affect the Company’s service areas or other circumstances will not be reflected in increased provisions for credit losses in the future.</w:t>
      </w:r>
    </w:p>
    <w:p>
      <w:pPr>
        <w:spacing w:after="0" w:line="137" w:lineRule="exact"/>
        <w:rPr>
          <w:sz w:val="20"/>
          <w:szCs w:val="20"/>
          <w:color w:val="auto"/>
        </w:rPr>
      </w:pPr>
    </w:p>
    <w:p>
      <w:pPr>
        <w:ind w:right="100" w:firstLine="432"/>
        <w:spacing w:after="0" w:line="252" w:lineRule="auto"/>
        <w:rPr>
          <w:sz w:val="20"/>
          <w:szCs w:val="20"/>
          <w:color w:val="auto"/>
        </w:rPr>
      </w:pPr>
      <w:r>
        <w:rPr>
          <w:rFonts w:ascii="Arial" w:cs="Arial" w:eastAsia="Arial" w:hAnsi="Arial"/>
          <w:sz w:val="16"/>
          <w:szCs w:val="16"/>
          <w:color w:val="auto"/>
        </w:rPr>
        <w:t>The following tables present the balance and activity related to the allowance for credit losses for held-for-investment loans by type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gridSpan w:val="8"/>
          </w:tcPr>
          <w:p>
            <w:pPr>
              <w:jc w:val="right"/>
              <w:spacing w:after="0"/>
              <w:rPr>
                <w:sz w:val="20"/>
                <w:szCs w:val="20"/>
                <w:color w:val="auto"/>
              </w:rPr>
            </w:pPr>
            <w:r>
              <w:rPr>
                <w:rFonts w:ascii="Arial" w:cs="Arial" w:eastAsia="Arial" w:hAnsi="Arial"/>
                <w:sz w:val="13"/>
                <w:szCs w:val="13"/>
                <w:b w:val="1"/>
                <w:bCs w:val="1"/>
                <w:color w:val="auto"/>
              </w:rPr>
              <w:t>Three Months Ended March 31, 2023</w:t>
            </w: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9"/>
              </w:rPr>
              <w:t>Provision for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ind w:right="134"/>
              <w:spacing w:after="0"/>
              <w:rPr>
                <w:sz w:val="20"/>
                <w:szCs w:val="20"/>
                <w:color w:val="auto"/>
              </w:rPr>
            </w:pPr>
            <w:r>
              <w:rPr>
                <w:rFonts w:ascii="Arial" w:cs="Arial" w:eastAsia="Arial" w:hAnsi="Arial"/>
                <w:sz w:val="13"/>
                <w:szCs w:val="13"/>
                <w:b w:val="1"/>
                <w:bCs w:val="1"/>
                <w:color w:val="auto"/>
              </w:rPr>
              <w:t>Ending Balance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(Recapture of) Credit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Ending Balance</w:t>
            </w:r>
          </w:p>
        </w:tc>
        <w:tc>
          <w:tcPr>
            <w:tcW w:w="0" w:type="dxa"/>
            <w:vAlign w:val="bottom"/>
          </w:tcPr>
          <w:p>
            <w:pPr>
              <w:spacing w:after="0"/>
              <w:rPr>
                <w:sz w:val="1"/>
                <w:szCs w:val="1"/>
                <w:color w:val="auto"/>
              </w:rPr>
            </w:pPr>
          </w:p>
        </w:tc>
      </w:tr>
      <w:tr>
        <w:trPr>
          <w:trHeight w:val="182"/>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34"/>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Charge-offs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3"/>
                <w:szCs w:val="13"/>
                <w:b w:val="1"/>
                <w:bCs w:val="1"/>
                <w:color w:val="auto"/>
              </w:rPr>
              <w:t>Recoveries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Losses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March 31, 2023</w:t>
            </w:r>
          </w:p>
        </w:tc>
        <w:tc>
          <w:tcPr>
            <w:tcW w:w="0" w:type="dxa"/>
            <w:vAlign w:val="bottom"/>
          </w:tcPr>
          <w:p>
            <w:pPr>
              <w:spacing w:after="0"/>
              <w:rPr>
                <w:sz w:val="1"/>
                <w:szCs w:val="1"/>
                <w:color w:val="auto"/>
              </w:rPr>
            </w:pPr>
          </w:p>
        </w:tc>
      </w:tr>
      <w:tr>
        <w:trPr>
          <w:trHeight w:val="177"/>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64,806</w:t>
            </w:r>
          </w:p>
        </w:tc>
        <w:tc>
          <w:tcPr>
            <w:tcW w:w="4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74"/>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2,311</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67,117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(31 )</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SBA</w:t>
            </w: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(94 )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SBA - PPP</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and industrial</w:t>
            </w: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(1,241 )</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8,963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Dairy &amp; livestock and agribusiness</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4,400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4,770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Municipal lease finance</w:t>
            </w:r>
          </w:p>
        </w:tc>
        <w:tc>
          <w:tcPr>
            <w:tcW w:w="8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(13 )</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20" w:type="dxa"/>
            <w:vAlign w:val="bottom"/>
            <w:vMerge w:val="restart"/>
            <w:shd w:val="clear" w:color="auto" w:fill="CFF0FC"/>
          </w:tcPr>
          <w:p>
            <w:pPr>
              <w:ind w:left="120"/>
              <w:spacing w:after="0"/>
              <w:rPr>
                <w:sz w:val="20"/>
                <w:szCs w:val="20"/>
                <w:color w:val="auto"/>
              </w:rPr>
            </w:pPr>
            <w:r>
              <w:rPr>
                <w:rFonts w:ascii="Arial" w:cs="Arial" w:eastAsia="Arial" w:hAnsi="Arial"/>
                <w:sz w:val="13"/>
                <w:szCs w:val="13"/>
                <w:color w:val="auto"/>
              </w:rPr>
              <w:t>receivables</w:t>
            </w:r>
          </w:p>
        </w:tc>
        <w:tc>
          <w:tcPr>
            <w:tcW w:w="80" w:type="dxa"/>
            <w:vAlign w:val="bottom"/>
            <w:shd w:val="clear" w:color="auto" w:fill="CFF0FC"/>
          </w:tcPr>
          <w:p>
            <w:pPr>
              <w:spacing w:after="0"/>
              <w:rPr>
                <w:sz w:val="7"/>
                <w:szCs w:val="7"/>
                <w:color w:val="auto"/>
              </w:rPr>
            </w:pPr>
          </w:p>
        </w:tc>
        <w:tc>
          <w:tcPr>
            <w:tcW w:w="130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300" w:type="dxa"/>
            <w:vAlign w:val="bottom"/>
            <w:gridSpan w:val="2"/>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80" w:type="dxa"/>
            <w:vAlign w:val="bottom"/>
            <w:gridSpan w:val="2"/>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240" w:type="dxa"/>
            <w:vAlign w:val="bottom"/>
            <w:gridSpan w:val="2"/>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2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6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3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SFR mortgage</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Consumer and other loans</w:t>
            </w: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180"/>
              <w:spacing w:after="0"/>
              <w:rPr>
                <w:sz w:val="20"/>
                <w:szCs w:val="20"/>
                <w:color w:val="auto"/>
              </w:rPr>
            </w:pPr>
            <w:r>
              <w:rPr>
                <w:rFonts w:ascii="Arial" w:cs="Arial" w:eastAsia="Arial" w:hAnsi="Arial"/>
                <w:sz w:val="13"/>
                <w:szCs w:val="13"/>
                <w:color w:val="auto"/>
              </w:rPr>
              <w:t>Total allowance for credit losses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85,117</w:t>
            </w:r>
          </w:p>
        </w:tc>
        <w:tc>
          <w:tcPr>
            <w:tcW w:w="1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(110 )</w:t>
            </w:r>
          </w:p>
        </w:tc>
        <w:tc>
          <w:tcPr>
            <w:tcW w:w="3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38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5"/>
                <w:szCs w:val="15"/>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86,540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gridSpan w:val="10"/>
          </w:tcPr>
          <w:p>
            <w:pPr>
              <w:jc w:val="center"/>
              <w:ind w:right="280"/>
              <w:spacing w:after="0"/>
              <w:rPr>
                <w:sz w:val="20"/>
                <w:szCs w:val="20"/>
                <w:color w:val="auto"/>
              </w:rPr>
            </w:pPr>
            <w:r>
              <w:rPr>
                <w:rFonts w:ascii="Arial" w:cs="Arial" w:eastAsia="Arial" w:hAnsi="Arial"/>
                <w:sz w:val="13"/>
                <w:szCs w:val="13"/>
                <w:b w:val="1"/>
                <w:bCs w:val="1"/>
                <w:color w:val="auto"/>
              </w:rPr>
              <w:t>Three Months Ended March 31, 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b w:val="1"/>
                <w:bCs w:val="1"/>
                <w:color w:val="auto"/>
              </w:rPr>
              <w:t>Ending Balance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Initial ACL for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Provision</w:t>
            </w: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(Recapture of)</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PCD Loans at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Recorded at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Provision for</w:t>
            </w:r>
          </w:p>
        </w:tc>
        <w:tc>
          <w:tcPr>
            <w:tcW w:w="10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Ending Balance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1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Charge-offs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94"/>
              <w:spacing w:after="0"/>
              <w:rPr>
                <w:sz w:val="20"/>
                <w:szCs w:val="20"/>
                <w:color w:val="auto"/>
              </w:rPr>
            </w:pPr>
            <w:r>
              <w:rPr>
                <w:rFonts w:ascii="Arial" w:cs="Arial" w:eastAsia="Arial" w:hAnsi="Arial"/>
                <w:sz w:val="13"/>
                <w:szCs w:val="13"/>
                <w:b w:val="1"/>
                <w:bCs w:val="1"/>
                <w:color w:val="auto"/>
              </w:rPr>
              <w:t>Recoveries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Acquisition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Acquisition</w:t>
            </w:r>
          </w:p>
        </w:tc>
        <w:tc>
          <w:tcPr>
            <w:tcW w:w="10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9"/>
              </w:rPr>
              <w:t>Credit Losses</w:t>
            </w:r>
          </w:p>
        </w:tc>
        <w:tc>
          <w:tcPr>
            <w:tcW w:w="1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March 31, 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gridSpan w:val="5"/>
          </w:tcPr>
          <w:p>
            <w:pPr>
              <w:jc w:val="center"/>
              <w:ind w:left="14"/>
              <w:spacing w:after="0"/>
              <w:rPr>
                <w:sz w:val="20"/>
                <w:szCs w:val="20"/>
                <w:color w:val="auto"/>
              </w:rPr>
            </w:pPr>
            <w:r>
              <w:rPr>
                <w:rFonts w:ascii="Arial" w:cs="Arial" w:eastAsia="Arial" w:hAnsi="Arial"/>
                <w:sz w:val="13"/>
                <w:szCs w:val="13"/>
                <w:i w:val="1"/>
                <w:iCs w:val="1"/>
                <w:color w:val="auto"/>
              </w:rPr>
              <w:t>(Dollars in thousands)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50,950</w:t>
            </w:r>
          </w:p>
        </w:tc>
        <w:tc>
          <w:tcPr>
            <w:tcW w:w="10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5,086</w:t>
            </w:r>
          </w:p>
        </w:tc>
        <w:tc>
          <w:tcPr>
            <w:tcW w:w="1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4,127</w:t>
            </w:r>
          </w:p>
        </w:tc>
        <w:tc>
          <w:tcPr>
            <w:tcW w:w="12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(2,328 )</w:t>
            </w: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57,835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SBA</w:t>
            </w: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Arial" w:cs="Arial" w:eastAsia="Arial" w:hAnsi="Arial"/>
                <w:sz w:val="13"/>
                <w:szCs w:val="13"/>
                <w:color w:val="auto"/>
              </w:rPr>
              <w:t>SBA - PPP</w:t>
            </w: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and industrial</w:t>
            </w: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(15 )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508</w:t>
            </w:r>
          </w:p>
        </w:tc>
        <w:tc>
          <w:tcPr>
            <w:tcW w:w="12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(834 )</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6,831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00" w:type="dxa"/>
            <w:vAlign w:val="bottom"/>
          </w:tcPr>
          <w:p>
            <w:pPr>
              <w:ind w:left="20"/>
              <w:spacing w:after="0"/>
              <w:rPr>
                <w:sz w:val="20"/>
                <w:szCs w:val="20"/>
                <w:color w:val="auto"/>
              </w:rPr>
            </w:pPr>
            <w:r>
              <w:rPr>
                <w:rFonts w:ascii="Arial" w:cs="Arial" w:eastAsia="Arial" w:hAnsi="Arial"/>
                <w:sz w:val="13"/>
                <w:szCs w:val="13"/>
                <w:color w:val="auto"/>
              </w:rPr>
              <w:t>Dairy &amp; livestock and</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3,066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2,832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6,703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00" w:type="dxa"/>
            <w:vAlign w:val="bottom"/>
            <w:vMerge w:val="restart"/>
          </w:tcPr>
          <w:p>
            <w:pPr>
              <w:ind w:left="20"/>
              <w:spacing w:after="0"/>
              <w:rPr>
                <w:sz w:val="20"/>
                <w:szCs w:val="20"/>
                <w:color w:val="auto"/>
              </w:rPr>
            </w:pPr>
            <w:r>
              <w:rPr>
                <w:rFonts w:ascii="Arial" w:cs="Arial" w:eastAsia="Arial" w:hAnsi="Arial"/>
                <w:sz w:val="13"/>
                <w:szCs w:val="13"/>
                <w:color w:val="auto"/>
              </w:rPr>
              <w:t>agribusiness</w:t>
            </w: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0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Municipal lease finance</w:t>
            </w:r>
          </w:p>
        </w:tc>
        <w:tc>
          <w:tcPr>
            <w:tcW w:w="8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00" w:type="dxa"/>
            <w:vAlign w:val="bottom"/>
            <w:vMerge w:val="restart"/>
            <w:shd w:val="clear" w:color="auto" w:fill="CFF0FC"/>
          </w:tcPr>
          <w:p>
            <w:pPr>
              <w:ind w:left="120"/>
              <w:spacing w:after="0"/>
              <w:rPr>
                <w:sz w:val="20"/>
                <w:szCs w:val="20"/>
                <w:color w:val="auto"/>
              </w:rPr>
            </w:pPr>
            <w:r>
              <w:rPr>
                <w:rFonts w:ascii="Arial" w:cs="Arial" w:eastAsia="Arial" w:hAnsi="Arial"/>
                <w:sz w:val="13"/>
                <w:szCs w:val="13"/>
                <w:color w:val="auto"/>
              </w:rPr>
              <w:t>receivables</w:t>
            </w:r>
          </w:p>
        </w:tc>
        <w:tc>
          <w:tcPr>
            <w:tcW w:w="80" w:type="dxa"/>
            <w:vAlign w:val="bottom"/>
            <w:shd w:val="clear" w:color="auto" w:fill="CFF0FC"/>
          </w:tcPr>
          <w:p>
            <w:pPr>
              <w:spacing w:after="0"/>
              <w:rPr>
                <w:sz w:val="7"/>
                <w:szCs w:val="7"/>
                <w:color w:val="auto"/>
              </w:rPr>
            </w:pPr>
          </w:p>
        </w:tc>
        <w:tc>
          <w:tcPr>
            <w:tcW w:w="96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20" w:type="dxa"/>
            <w:vAlign w:val="bottom"/>
            <w:gridSpan w:val="2"/>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0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96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92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92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0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Arial" w:cs="Arial" w:eastAsia="Arial" w:hAnsi="Arial"/>
                <w:sz w:val="13"/>
                <w:szCs w:val="13"/>
                <w:color w:val="auto"/>
              </w:rPr>
              <w:t>SFR mortgage</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Consumer and other loans</w:t>
            </w: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(53 )</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00" w:type="dxa"/>
            <w:vAlign w:val="bottom"/>
          </w:tcPr>
          <w:p>
            <w:pPr>
              <w:ind w:left="180"/>
              <w:spacing w:after="0"/>
              <w:rPr>
                <w:sz w:val="20"/>
                <w:szCs w:val="20"/>
                <w:color w:val="auto"/>
              </w:rPr>
            </w:pPr>
            <w:r>
              <w:rPr>
                <w:rFonts w:ascii="Arial" w:cs="Arial" w:eastAsia="Arial" w:hAnsi="Arial"/>
                <w:sz w:val="13"/>
                <w:szCs w:val="13"/>
                <w:color w:val="auto"/>
              </w:rPr>
              <w:t>Total allowance for credit</w:t>
            </w: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65,019</w:t>
            </w:r>
          </w:p>
        </w:tc>
        <w:tc>
          <w:tcPr>
            <w:tcW w:w="100" w:type="dxa"/>
            <w:vAlign w:val="bottom"/>
          </w:tcPr>
          <w:p>
            <w:pPr>
              <w:spacing w:after="0"/>
              <w:rPr>
                <w:sz w:val="13"/>
                <w:szCs w:val="13"/>
                <w:color w:val="auto"/>
              </w:rPr>
            </w:pP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(16 )</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8,605</w:t>
            </w:r>
          </w:p>
        </w:tc>
        <w:tc>
          <w:tcPr>
            <w:tcW w:w="100" w:type="dxa"/>
            <w:vAlign w:val="bottom"/>
          </w:tcPr>
          <w:p>
            <w:pPr>
              <w:spacing w:after="0"/>
              <w:rPr>
                <w:sz w:val="13"/>
                <w:szCs w:val="13"/>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4,932</w:t>
            </w:r>
          </w:p>
        </w:tc>
        <w:tc>
          <w:tcPr>
            <w:tcW w:w="12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(2,432 )</w:t>
            </w:r>
          </w:p>
        </w:tc>
        <w:tc>
          <w:tcPr>
            <w:tcW w:w="44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76,119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2000" w:type="dxa"/>
            <w:vAlign w:val="bottom"/>
            <w:vMerge w:val="restart"/>
          </w:tcPr>
          <w:p>
            <w:pPr>
              <w:ind w:left="180"/>
              <w:spacing w:after="0" w:line="139" w:lineRule="exact"/>
              <w:rPr>
                <w:sz w:val="20"/>
                <w:szCs w:val="20"/>
                <w:color w:val="auto"/>
              </w:rPr>
            </w:pPr>
            <w:r>
              <w:rPr>
                <w:rFonts w:ascii="Arial" w:cs="Arial" w:eastAsia="Arial" w:hAnsi="Arial"/>
                <w:sz w:val="13"/>
                <w:szCs w:val="13"/>
                <w:color w:val="auto"/>
              </w:rPr>
              <w:t>losses</w:t>
            </w:r>
          </w:p>
        </w:tc>
        <w:tc>
          <w:tcPr>
            <w:tcW w:w="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00" w:type="dxa"/>
            <w:vAlign w:val="bottom"/>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40" w:orient="portrait"/>
          <w:cols w:equalWidth="0" w:num="1">
            <w:col w:w="10580"/>
          </w:cols>
          <w:pgMar w:left="660" w:top="790" w:right="660"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Past Due and Nonperforming Loans</w:t>
      </w:r>
    </w:p>
    <w:p>
      <w:pPr>
        <w:spacing w:after="0" w:line="184" w:lineRule="exact"/>
        <w:rPr>
          <w:sz w:val="20"/>
          <w:szCs w:val="20"/>
          <w:color w:val="auto"/>
        </w:rPr>
      </w:pPr>
    </w:p>
    <w:p>
      <w:pPr>
        <w:ind w:right="20" w:firstLine="432"/>
        <w:spacing w:after="0" w:line="237" w:lineRule="auto"/>
        <w:rPr>
          <w:sz w:val="20"/>
          <w:szCs w:val="20"/>
          <w:color w:val="auto"/>
        </w:rPr>
      </w:pPr>
      <w:r>
        <w:rPr>
          <w:rFonts w:ascii="Arial" w:cs="Arial" w:eastAsia="Arial" w:hAnsi="Arial"/>
          <w:sz w:val="16"/>
          <w:szCs w:val="16"/>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in charge of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included in our Annual Report on Form 10-K for the year ended December 31, 2022, for additional discussion concerning the Bank’s</w:t>
      </w:r>
      <w:r>
        <w:rPr>
          <w:rFonts w:ascii="Arial" w:cs="Arial" w:eastAsia="Arial" w:hAnsi="Arial"/>
          <w:sz w:val="16"/>
          <w:szCs w:val="16"/>
          <w:i w:val="1"/>
          <w:iCs w:val="1"/>
          <w:color w:val="auto"/>
        </w:rPr>
        <w:t xml:space="preserve"> </w:t>
      </w:r>
      <w:r>
        <w:rPr>
          <w:rFonts w:ascii="Arial" w:cs="Arial" w:eastAsia="Arial" w:hAnsi="Arial"/>
          <w:sz w:val="16"/>
          <w:szCs w:val="16"/>
          <w:color w:val="auto"/>
        </w:rPr>
        <w:t>policy for past due and nonperforming loans.</w:t>
      </w:r>
    </w:p>
    <w:p>
      <w:pPr>
        <w:spacing w:after="0" w:line="167" w:lineRule="exact"/>
        <w:rPr>
          <w:sz w:val="20"/>
          <w:szCs w:val="20"/>
          <w:color w:val="auto"/>
        </w:rPr>
      </w:pPr>
    </w:p>
    <w:p>
      <w:pPr>
        <w:ind w:right="200" w:firstLine="432"/>
        <w:spacing w:after="0" w:line="252" w:lineRule="auto"/>
        <w:rPr>
          <w:sz w:val="20"/>
          <w:szCs w:val="20"/>
          <w:color w:val="auto"/>
        </w:rPr>
      </w:pPr>
      <w:r>
        <w:rPr>
          <w:rFonts w:ascii="Arial" w:cs="Arial" w:eastAsia="Arial" w:hAnsi="Arial"/>
          <w:sz w:val="16"/>
          <w:szCs w:val="16"/>
          <w:color w:val="auto"/>
        </w:rPr>
        <w:t>The following table presents the recorded investment in, and the aging of, past due loans (including nonaccrual loans), by type of loans as of the dates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6"/>
          </w:tcPr>
          <w:p>
            <w:pPr>
              <w:jc w:val="center"/>
              <w:ind w:right="340"/>
              <w:spacing w:after="0"/>
              <w:rPr>
                <w:sz w:val="20"/>
                <w:szCs w:val="20"/>
                <w:color w:val="auto"/>
              </w:rPr>
            </w:pPr>
            <w:r>
              <w:rPr>
                <w:rFonts w:ascii="Arial" w:cs="Arial" w:eastAsia="Arial" w:hAnsi="Arial"/>
                <w:sz w:val="13"/>
                <w:szCs w:val="13"/>
                <w:b w:val="1"/>
                <w:bCs w:val="1"/>
                <w:color w:val="auto"/>
              </w:rPr>
              <w:t>March 31, 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Greater than 89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Total Loans and</w:t>
            </w:r>
          </w:p>
        </w:tc>
      </w:tr>
      <w:tr>
        <w:trPr>
          <w:trHeight w:val="156"/>
        </w:trPr>
        <w:tc>
          <w:tcPr>
            <w:tcW w:w="29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rPr>
              <w:t>30-59 Days Past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60-89 Days Past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Days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Loans Not Past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Financing</w:t>
            </w:r>
          </w:p>
        </w:tc>
      </w:tr>
      <w:tr>
        <w:trPr>
          <w:trHeight w:val="182"/>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74"/>
              <w:spacing w:after="0"/>
              <w:rPr>
                <w:sz w:val="20"/>
                <w:szCs w:val="20"/>
                <w:color w:val="auto"/>
              </w:rPr>
            </w:pPr>
            <w:r>
              <w:rPr>
                <w:rFonts w:ascii="Arial" w:cs="Arial" w:eastAsia="Arial" w:hAnsi="Arial"/>
                <w:sz w:val="13"/>
                <w:szCs w:val="13"/>
                <w:b w:val="1"/>
                <w:bCs w:val="1"/>
                <w:color w:val="auto"/>
              </w:rPr>
              <w:t>Due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Due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Past Due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Total Past Due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Due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Receivables</w:t>
            </w:r>
          </w:p>
        </w:tc>
      </w:tr>
      <w:tr>
        <w:trPr>
          <w:trHeight w:val="177"/>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3"/>
                <w:szCs w:val="13"/>
                <w:i w:val="1"/>
                <w:iCs w:val="1"/>
                <w:color w:val="auto"/>
              </w:rPr>
              <w:t>(Dollars in thousands)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29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5"/>
        </w:trPr>
        <w:tc>
          <w:tcPr>
            <w:tcW w:w="2900" w:type="dxa"/>
            <w:vAlign w:val="bottom"/>
          </w:tcPr>
          <w:p>
            <w:pPr>
              <w:ind w:left="180"/>
              <w:spacing w:after="0"/>
              <w:rPr>
                <w:sz w:val="20"/>
                <w:szCs w:val="20"/>
                <w:color w:val="auto"/>
              </w:rPr>
            </w:pPr>
            <w:r>
              <w:rPr>
                <w:rFonts w:ascii="Arial" w:cs="Arial" w:eastAsia="Arial" w:hAnsi="Arial"/>
                <w:sz w:val="13"/>
                <w:szCs w:val="13"/>
                <w:color w:val="auto"/>
              </w:rPr>
              <w:t>Owner occupied</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425</w:t>
            </w:r>
          </w:p>
        </w:tc>
        <w:tc>
          <w:tcPr>
            <w:tcW w:w="460" w:type="dxa"/>
            <w:vAlign w:val="bottom"/>
            <w:gridSpan w:val="3"/>
          </w:tcPr>
          <w:p>
            <w:pPr>
              <w:jc w:val="right"/>
              <w:ind w:right="94"/>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2,615</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3,040</w:t>
            </w:r>
          </w:p>
        </w:tc>
        <w:tc>
          <w:tcPr>
            <w:tcW w:w="10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2,504,636</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2,507,676</w:t>
            </w:r>
          </w:p>
        </w:tc>
        <w:tc>
          <w:tcPr>
            <w:tcW w:w="80" w:type="dxa"/>
            <w:vAlign w:val="bottom"/>
          </w:tcPr>
          <w:p>
            <w:pPr>
              <w:spacing w:after="0"/>
              <w:rPr>
                <w:sz w:val="15"/>
                <w:szCs w:val="15"/>
                <w:color w:val="auto"/>
              </w:rPr>
            </w:pPr>
          </w:p>
        </w:tc>
      </w:tr>
      <w:tr>
        <w:trPr>
          <w:trHeight w:val="185"/>
        </w:trPr>
        <w:tc>
          <w:tcPr>
            <w:tcW w:w="2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Non-owner occupied</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4,442,626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4,442,626</w:t>
            </w:r>
          </w:p>
        </w:tc>
        <w:tc>
          <w:tcPr>
            <w:tcW w:w="80" w:type="dxa"/>
            <w:vAlign w:val="bottom"/>
            <w:shd w:val="clear" w:color="auto" w:fill="CFF0FC"/>
          </w:tcPr>
          <w:p>
            <w:pPr>
              <w:spacing w:after="0"/>
              <w:rPr>
                <w:sz w:val="16"/>
                <w:szCs w:val="16"/>
                <w:color w:val="auto"/>
              </w:rPr>
            </w:pPr>
          </w:p>
        </w:tc>
      </w:tr>
      <w:tr>
        <w:trPr>
          <w:trHeight w:val="175"/>
        </w:trPr>
        <w:tc>
          <w:tcPr>
            <w:tcW w:w="290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2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Speculative (1)</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65,068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65,068</w:t>
            </w:r>
          </w:p>
        </w:tc>
        <w:tc>
          <w:tcPr>
            <w:tcW w:w="80" w:type="dxa"/>
            <w:vAlign w:val="bottom"/>
            <w:shd w:val="clear" w:color="auto" w:fill="CFF0FC"/>
          </w:tcPr>
          <w:p>
            <w:pPr>
              <w:spacing w:after="0"/>
              <w:rPr>
                <w:sz w:val="16"/>
                <w:szCs w:val="16"/>
                <w:color w:val="auto"/>
              </w:rPr>
            </w:pPr>
          </w:p>
        </w:tc>
      </w:tr>
      <w:tr>
        <w:trPr>
          <w:trHeight w:val="175"/>
        </w:trPr>
        <w:tc>
          <w:tcPr>
            <w:tcW w:w="2900" w:type="dxa"/>
            <w:vAlign w:val="bottom"/>
          </w:tcPr>
          <w:p>
            <w:pPr>
              <w:ind w:left="180"/>
              <w:spacing w:after="0"/>
              <w:rPr>
                <w:sz w:val="20"/>
                <w:szCs w:val="20"/>
                <w:color w:val="auto"/>
              </w:rPr>
            </w:pPr>
            <w:r>
              <w:rPr>
                <w:rFonts w:ascii="Arial" w:cs="Arial" w:eastAsia="Arial" w:hAnsi="Arial"/>
                <w:sz w:val="13"/>
                <w:szCs w:val="13"/>
                <w:color w:val="auto"/>
              </w:rPr>
              <w:t>Non-speculative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18,924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18,924</w:t>
            </w:r>
          </w:p>
        </w:tc>
        <w:tc>
          <w:tcPr>
            <w:tcW w:w="80" w:type="dxa"/>
            <w:vAlign w:val="bottom"/>
          </w:tcPr>
          <w:p>
            <w:pPr>
              <w:spacing w:after="0"/>
              <w:rPr>
                <w:sz w:val="15"/>
                <w:szCs w:val="15"/>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SBA</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282,187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283,464</w:t>
            </w:r>
          </w:p>
        </w:tc>
        <w:tc>
          <w:tcPr>
            <w:tcW w:w="80" w:type="dxa"/>
            <w:vAlign w:val="bottom"/>
            <w:shd w:val="clear" w:color="auto" w:fill="CFF0FC"/>
          </w:tcPr>
          <w:p>
            <w:pPr>
              <w:spacing w:after="0"/>
              <w:rPr>
                <w:sz w:val="16"/>
                <w:szCs w:val="16"/>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3"/>
                <w:szCs w:val="13"/>
                <w:color w:val="auto"/>
              </w:rPr>
              <w:t>SBA - PPP</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5,824</w:t>
            </w:r>
          </w:p>
        </w:tc>
        <w:tc>
          <w:tcPr>
            <w:tcW w:w="80" w:type="dxa"/>
            <w:vAlign w:val="bottom"/>
          </w:tcPr>
          <w:p>
            <w:pPr>
              <w:spacing w:after="0"/>
              <w:rPr>
                <w:sz w:val="15"/>
                <w:szCs w:val="15"/>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Commercial and industrial</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896,117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898,167</w:t>
            </w:r>
          </w:p>
        </w:tc>
        <w:tc>
          <w:tcPr>
            <w:tcW w:w="80" w:type="dxa"/>
            <w:vAlign w:val="bottom"/>
            <w:shd w:val="clear" w:color="auto" w:fill="CFF0FC"/>
          </w:tcPr>
          <w:p>
            <w:pPr>
              <w:spacing w:after="0"/>
              <w:rPr>
                <w:sz w:val="16"/>
                <w:szCs w:val="16"/>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3"/>
                <w:szCs w:val="13"/>
                <w:color w:val="auto"/>
              </w:rPr>
              <w:t>Dairy &amp; livestock and agribusiness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307,439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307,820</w:t>
            </w:r>
          </w:p>
        </w:tc>
        <w:tc>
          <w:tcPr>
            <w:tcW w:w="80" w:type="dxa"/>
            <w:vAlign w:val="bottom"/>
          </w:tcPr>
          <w:p>
            <w:pPr>
              <w:spacing w:after="0"/>
              <w:rPr>
                <w:sz w:val="15"/>
                <w:szCs w:val="15"/>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Municipal lease finance receivables</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79,552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79,552</w:t>
            </w:r>
          </w:p>
        </w:tc>
        <w:tc>
          <w:tcPr>
            <w:tcW w:w="80" w:type="dxa"/>
            <w:vAlign w:val="bottom"/>
            <w:shd w:val="clear" w:color="auto" w:fill="CFF0FC"/>
          </w:tcPr>
          <w:p>
            <w:pPr>
              <w:spacing w:after="0"/>
              <w:rPr>
                <w:sz w:val="16"/>
                <w:szCs w:val="16"/>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3"/>
                <w:szCs w:val="13"/>
                <w:color w:val="auto"/>
              </w:rPr>
              <w:t>SFR mortgage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261,940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262,324</w:t>
            </w:r>
          </w:p>
        </w:tc>
        <w:tc>
          <w:tcPr>
            <w:tcW w:w="80" w:type="dxa"/>
            <w:vAlign w:val="bottom"/>
          </w:tcPr>
          <w:p>
            <w:pPr>
              <w:spacing w:after="0"/>
              <w:rPr>
                <w:sz w:val="15"/>
                <w:szCs w:val="15"/>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Consumer and other loans</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71,044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71,044</w:t>
            </w:r>
          </w:p>
        </w:tc>
        <w:tc>
          <w:tcPr>
            <w:tcW w:w="80" w:type="dxa"/>
            <w:vAlign w:val="bottom"/>
            <w:shd w:val="clear" w:color="auto" w:fill="CFF0FC"/>
          </w:tcPr>
          <w:p>
            <w:pPr>
              <w:spacing w:after="0"/>
              <w:rPr>
                <w:sz w:val="16"/>
                <w:szCs w:val="16"/>
                <w:color w:val="auto"/>
              </w:rPr>
            </w:pPr>
          </w:p>
        </w:tc>
      </w:tr>
      <w:tr>
        <w:trPr>
          <w:trHeight w:val="180"/>
        </w:trPr>
        <w:tc>
          <w:tcPr>
            <w:tcW w:w="2900" w:type="dxa"/>
            <w:vAlign w:val="bottom"/>
          </w:tcPr>
          <w:p>
            <w:pPr>
              <w:ind w:left="260"/>
              <w:spacing w:after="0"/>
              <w:rPr>
                <w:sz w:val="20"/>
                <w:szCs w:val="20"/>
                <w:color w:val="auto"/>
              </w:rPr>
            </w:pPr>
            <w:r>
              <w:rPr>
                <w:rFonts w:ascii="Arial" w:cs="Arial" w:eastAsia="Arial" w:hAnsi="Arial"/>
                <w:sz w:val="13"/>
                <w:szCs w:val="13"/>
                <w:color w:val="auto"/>
              </w:rPr>
              <w:t>Total loans</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5"/>
                <w:szCs w:val="15"/>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5,949</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7,132</w:t>
            </w:r>
          </w:p>
        </w:tc>
        <w:tc>
          <w:tcPr>
            <w:tcW w:w="10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8,935,357</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8,942,489</w:t>
            </w:r>
          </w:p>
        </w:tc>
        <w:tc>
          <w:tcPr>
            <w:tcW w:w="80" w:type="dxa"/>
            <w:vAlign w:val="bottom"/>
          </w:tcPr>
          <w:p>
            <w:pPr>
              <w:spacing w:after="0"/>
              <w:rPr>
                <w:sz w:val="15"/>
                <w:szCs w:val="15"/>
                <w:color w:val="auto"/>
              </w:rPr>
            </w:pPr>
          </w:p>
        </w:tc>
      </w:tr>
      <w:tr>
        <w:trPr>
          <w:trHeight w:val="20"/>
        </w:trPr>
        <w:tc>
          <w:tcPr>
            <w:tcW w:w="2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(1)Speculative construction loans are generally for properties where there is no identified buyer or renter.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Greater than 89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Loans and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30-59 Days Past</w:t>
            </w:r>
          </w:p>
        </w:tc>
        <w:tc>
          <w:tcPr>
            <w:tcW w:w="12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60-89 Days Past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Days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Loans Not Past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74"/>
              <w:spacing w:after="0"/>
              <w:rPr>
                <w:sz w:val="20"/>
                <w:szCs w:val="20"/>
                <w:color w:val="auto"/>
              </w:rPr>
            </w:pPr>
            <w:r>
              <w:rPr>
                <w:rFonts w:ascii="Arial" w:cs="Arial" w:eastAsia="Arial" w:hAnsi="Arial"/>
                <w:sz w:val="13"/>
                <w:szCs w:val="13"/>
                <w:b w:val="1"/>
                <w:bCs w:val="1"/>
                <w:color w:val="auto"/>
              </w:rPr>
              <w:t>Financing</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Due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Due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Past Due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Total Past Due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Due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Arial" w:cs="Arial" w:eastAsia="Arial" w:hAnsi="Arial"/>
                <w:sz w:val="13"/>
                <w:szCs w:val="13"/>
                <w:b w:val="1"/>
                <w:bCs w:val="1"/>
                <w:color w:val="auto"/>
              </w:rPr>
              <w:t>Receivables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180"/>
              <w:spacing w:after="0"/>
              <w:rPr>
                <w:sz w:val="20"/>
                <w:szCs w:val="20"/>
                <w:color w:val="auto"/>
              </w:rPr>
            </w:pPr>
            <w:r>
              <w:rPr>
                <w:rFonts w:ascii="Arial" w:cs="Arial" w:eastAsia="Arial" w:hAnsi="Arial"/>
                <w:sz w:val="13"/>
                <w:szCs w:val="13"/>
                <w:color w:val="auto"/>
              </w:rPr>
              <w:t>Owner occupied</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2,639</w:t>
            </w:r>
          </w:p>
        </w:tc>
        <w:tc>
          <w:tcPr>
            <w:tcW w:w="10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2,639</w:t>
            </w:r>
          </w:p>
        </w:tc>
        <w:tc>
          <w:tcPr>
            <w:tcW w:w="100" w:type="dxa"/>
            <w:vAlign w:val="bottom"/>
          </w:tcPr>
          <w:p>
            <w:pPr>
              <w:spacing w:after="0"/>
              <w:rPr>
                <w:sz w:val="15"/>
                <w:szCs w:val="15"/>
                <w:color w:val="auto"/>
              </w:rPr>
            </w:pPr>
          </w:p>
        </w:tc>
        <w:tc>
          <w:tcPr>
            <w:tcW w:w="36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2,482,471</w:t>
            </w:r>
          </w:p>
        </w:tc>
        <w:tc>
          <w:tcPr>
            <w:tcW w:w="80" w:type="dxa"/>
            <w:vAlign w:val="bottom"/>
          </w:tcPr>
          <w:p>
            <w:pPr>
              <w:spacing w:after="0"/>
              <w:rPr>
                <w:sz w:val="15"/>
                <w:szCs w:val="15"/>
                <w:color w:val="auto"/>
              </w:rPr>
            </w:pP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2,485,110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Non-owner occupied</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4,399,838</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4,399,838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Speculative (1)</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67,436</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67,436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180"/>
              <w:spacing w:after="0"/>
              <w:rPr>
                <w:sz w:val="20"/>
                <w:szCs w:val="20"/>
                <w:color w:val="auto"/>
              </w:rPr>
            </w:pPr>
            <w:r>
              <w:rPr>
                <w:rFonts w:ascii="Arial" w:cs="Arial" w:eastAsia="Arial" w:hAnsi="Arial"/>
                <w:sz w:val="13"/>
                <w:szCs w:val="13"/>
                <w:color w:val="auto"/>
              </w:rPr>
              <w:t>Non-speculative</w:t>
            </w: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20,835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20,835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FF0FC"/>
          </w:tcPr>
          <w:p>
            <w:pPr>
              <w:ind w:left="60"/>
              <w:spacing w:after="0"/>
              <w:rPr>
                <w:sz w:val="20"/>
                <w:szCs w:val="20"/>
                <w:color w:val="auto"/>
              </w:rPr>
            </w:pPr>
            <w:r>
              <w:rPr>
                <w:rFonts w:ascii="Arial" w:cs="Arial" w:eastAsia="Arial" w:hAnsi="Arial"/>
                <w:sz w:val="13"/>
                <w:szCs w:val="13"/>
                <w:color w:val="auto"/>
              </w:rPr>
              <w:t>SBA</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289,909</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290,908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60"/>
              <w:spacing w:after="0"/>
              <w:rPr>
                <w:sz w:val="20"/>
                <w:szCs w:val="20"/>
                <w:color w:val="auto"/>
              </w:rPr>
            </w:pPr>
            <w:r>
              <w:rPr>
                <w:rFonts w:ascii="Arial" w:cs="Arial" w:eastAsia="Arial" w:hAnsi="Arial"/>
                <w:sz w:val="13"/>
                <w:szCs w:val="13"/>
                <w:color w:val="auto"/>
              </w:rPr>
              <w:t>SBA - PPP</w:t>
            </w: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9,087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Commercial and industrial</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947,365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948,683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60"/>
              <w:spacing w:after="0"/>
              <w:rPr>
                <w:sz w:val="20"/>
                <w:szCs w:val="20"/>
                <w:color w:val="auto"/>
              </w:rPr>
            </w:pPr>
            <w:r>
              <w:rPr>
                <w:rFonts w:ascii="Arial" w:cs="Arial" w:eastAsia="Arial" w:hAnsi="Arial"/>
                <w:sz w:val="13"/>
                <w:szCs w:val="13"/>
                <w:color w:val="auto"/>
              </w:rPr>
              <w:t>Dairy &amp; livestock and agribusiness</w:t>
            </w: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433,295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433,564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vMerge w:val="restart"/>
            <w:shd w:val="clear" w:color="auto" w:fill="CFF0FC"/>
          </w:tcPr>
          <w:p>
            <w:pPr>
              <w:ind w:left="60"/>
              <w:spacing w:after="0"/>
              <w:rPr>
                <w:sz w:val="20"/>
                <w:szCs w:val="20"/>
                <w:color w:val="auto"/>
              </w:rPr>
            </w:pPr>
            <w:r>
              <w:rPr>
                <w:rFonts w:ascii="Arial" w:cs="Arial" w:eastAsia="Arial" w:hAnsi="Arial"/>
                <w:sz w:val="13"/>
                <w:szCs w:val="13"/>
                <w:color w:val="auto"/>
              </w:rPr>
              <w:t>Municipal lease finance receivables</w:t>
            </w:r>
          </w:p>
        </w:tc>
        <w:tc>
          <w:tcPr>
            <w:tcW w:w="26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81,126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81,126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92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60"/>
              <w:spacing w:after="0"/>
              <w:rPr>
                <w:sz w:val="20"/>
                <w:szCs w:val="20"/>
                <w:color w:val="auto"/>
              </w:rPr>
            </w:pPr>
            <w:r>
              <w:rPr>
                <w:rFonts w:ascii="Arial" w:cs="Arial" w:eastAsia="Arial" w:hAnsi="Arial"/>
                <w:sz w:val="13"/>
                <w:szCs w:val="13"/>
                <w:color w:val="auto"/>
              </w:rPr>
              <w:t>SFR mortgage</w:t>
            </w: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265,636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266,024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Consumer and other loans</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76,573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76,781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tcPr>
          <w:p>
            <w:pPr>
              <w:ind w:left="260"/>
              <w:spacing w:after="0"/>
              <w:rPr>
                <w:sz w:val="20"/>
                <w:szCs w:val="20"/>
                <w:color w:val="auto"/>
              </w:rPr>
            </w:pPr>
            <w:r>
              <w:rPr>
                <w:rFonts w:ascii="Arial" w:cs="Arial" w:eastAsia="Arial" w:hAnsi="Arial"/>
                <w:sz w:val="13"/>
                <w:szCs w:val="13"/>
                <w:color w:val="auto"/>
              </w:rPr>
              <w:t>Total loans</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549</w:t>
            </w:r>
          </w:p>
        </w:tc>
        <w:tc>
          <w:tcPr>
            <w:tcW w:w="10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5"/>
                <w:szCs w:val="15"/>
                <w:color w:val="auto"/>
              </w:rPr>
            </w:pP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4,702</w:t>
            </w:r>
          </w:p>
        </w:tc>
        <w:tc>
          <w:tcPr>
            <w:tcW w:w="10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5,821</w:t>
            </w:r>
          </w:p>
        </w:tc>
        <w:tc>
          <w:tcPr>
            <w:tcW w:w="100" w:type="dxa"/>
            <w:vAlign w:val="bottom"/>
          </w:tcPr>
          <w:p>
            <w:pPr>
              <w:spacing w:after="0"/>
              <w:rPr>
                <w:sz w:val="15"/>
                <w:szCs w:val="15"/>
                <w:color w:val="auto"/>
              </w:rPr>
            </w:pPr>
          </w:p>
        </w:tc>
        <w:tc>
          <w:tcPr>
            <w:tcW w:w="36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9,073,571</w:t>
            </w:r>
          </w:p>
        </w:tc>
        <w:tc>
          <w:tcPr>
            <w:tcW w:w="80" w:type="dxa"/>
            <w:vAlign w:val="bottom"/>
          </w:tcPr>
          <w:p>
            <w:pPr>
              <w:spacing w:after="0"/>
              <w:rPr>
                <w:sz w:val="15"/>
                <w:szCs w:val="15"/>
                <w:color w:val="auto"/>
              </w:rPr>
            </w:pP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9,079,392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(1)Speculative construction loans are generally for properties where there is no identified buyer or renter.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40" w:orient="portrait"/>
          <w:cols w:equalWidth="0" w:num="1">
            <w:col w:w="10560"/>
          </w:cols>
          <w:pgMar w:left="660" w:top="782" w:right="680" w:bottom="1440" w:gutter="0" w:footer="0" w:header="0"/>
        </w:sectPr>
      </w:pPr>
    </w:p>
    <w:bookmarkStart w:id="21" w:name="page22"/>
    <w:bookmarkEnd w:id="21"/>
    <w:p>
      <w:pPr>
        <w:ind w:firstLine="432"/>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Amortized cost of our finance receivables and loans that are on nonaccrual status, including loans with no allowance are presented as of March 31, 2023 and December 31, 2022 by type of loan.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Nonaccrual with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March 31, 2023</w:t>
            </w:r>
          </w:p>
        </w:tc>
        <w:tc>
          <w:tcPr>
            <w:tcW w:w="160" w:type="dxa"/>
            <w:vAlign w:val="bottom"/>
          </w:tcPr>
          <w:p>
            <w:pPr>
              <w:spacing w:after="0"/>
              <w:rPr>
                <w:sz w:val="18"/>
                <w:szCs w:val="18"/>
                <w:color w:val="auto"/>
              </w:rPr>
            </w:pPr>
          </w:p>
        </w:tc>
        <w:tc>
          <w:tcPr>
            <w:tcW w:w="13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6"/>
              </w:rPr>
              <w:t>Loans Past Due</w:t>
            </w:r>
          </w:p>
        </w:tc>
        <w:tc>
          <w:tcPr>
            <w:tcW w:w="0" w:type="dxa"/>
            <w:vAlign w:val="bottom"/>
          </w:tcPr>
          <w:p>
            <w:pPr>
              <w:spacing w:after="0"/>
              <w:rPr>
                <w:sz w:val="1"/>
                <w:szCs w:val="1"/>
                <w:color w:val="auto"/>
              </w:rPr>
            </w:pPr>
          </w:p>
        </w:tc>
      </w:tr>
      <w:tr>
        <w:trPr>
          <w:trHeight w:val="167"/>
        </w:trPr>
        <w:tc>
          <w:tcPr>
            <w:tcW w:w="58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00" w:type="dxa"/>
            <w:vAlign w:val="bottom"/>
          </w:tcPr>
          <w:p>
            <w:pPr>
              <w:spacing w:after="0"/>
              <w:rPr>
                <w:sz w:val="15"/>
                <w:szCs w:val="15"/>
                <w:color w:val="auto"/>
              </w:rPr>
            </w:pPr>
          </w:p>
        </w:tc>
        <w:tc>
          <w:tcPr>
            <w:tcW w:w="128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w w:val="96"/>
              </w:rPr>
              <w:t>No Allowance for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260"/>
              <w:spacing w:after="0" w:line="180" w:lineRule="exact"/>
              <w:rPr>
                <w:sz w:val="20"/>
                <w:szCs w:val="20"/>
                <w:color w:val="auto"/>
              </w:rPr>
            </w:pPr>
            <w:r>
              <w:rPr>
                <w:rFonts w:ascii="Arial" w:cs="Arial" w:eastAsia="Arial" w:hAnsi="Arial"/>
                <w:sz w:val="16"/>
                <w:szCs w:val="16"/>
                <w:b w:val="1"/>
                <w:bCs w:val="1"/>
                <w:color w:val="auto"/>
                <w:w w:val="97"/>
              </w:rPr>
              <w:t>Total Nonaccrual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line="180" w:lineRule="exact"/>
              <w:rPr>
                <w:sz w:val="20"/>
                <w:szCs w:val="20"/>
                <w:color w:val="auto"/>
              </w:rPr>
            </w:pPr>
            <w:r>
              <w:rPr>
                <w:rFonts w:ascii="Arial" w:cs="Arial" w:eastAsia="Arial" w:hAnsi="Arial"/>
                <w:sz w:val="16"/>
                <w:szCs w:val="16"/>
                <w:b w:val="1"/>
                <w:bCs w:val="1"/>
                <w:color w:val="auto"/>
                <w:w w:val="98"/>
              </w:rPr>
              <w:t>Over 89 Days</w:t>
            </w:r>
          </w:p>
        </w:tc>
        <w:tc>
          <w:tcPr>
            <w:tcW w:w="0" w:type="dxa"/>
            <w:vAlign w:val="bottom"/>
          </w:tcPr>
          <w:p>
            <w:pPr>
              <w:spacing w:after="0"/>
              <w:rPr>
                <w:sz w:val="1"/>
                <w:szCs w:val="1"/>
                <w:color w:val="auto"/>
              </w:rPr>
            </w:pPr>
          </w:p>
        </w:tc>
      </w:tr>
      <w:tr>
        <w:trPr>
          <w:trHeight w:val="206"/>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22"/>
              <w:spacing w:after="0"/>
              <w:rPr>
                <w:sz w:val="20"/>
                <w:szCs w:val="20"/>
                <w:color w:val="auto"/>
              </w:rPr>
            </w:pPr>
            <w:r>
              <w:rPr>
                <w:rFonts w:ascii="Arial" w:cs="Arial" w:eastAsia="Arial" w:hAnsi="Arial"/>
                <w:sz w:val="16"/>
                <w:szCs w:val="16"/>
                <w:b w:val="1"/>
                <w:bCs w:val="1"/>
                <w:color w:val="auto"/>
                <w:w w:val="98"/>
              </w:rPr>
              <w:t>Credit Losses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482"/>
              <w:spacing w:after="0"/>
              <w:rPr>
                <w:sz w:val="20"/>
                <w:szCs w:val="20"/>
                <w:color w:val="auto"/>
              </w:rPr>
            </w:pPr>
            <w:r>
              <w:rPr>
                <w:rFonts w:ascii="Arial" w:cs="Arial" w:eastAsia="Arial" w:hAnsi="Arial"/>
                <w:sz w:val="16"/>
                <w:szCs w:val="16"/>
                <w:b w:val="1"/>
                <w:bCs w:val="1"/>
                <w:color w:val="auto"/>
              </w:rPr>
              <w:t>(1) (3)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Still Accruing</w:t>
            </w:r>
          </w:p>
        </w:tc>
        <w:tc>
          <w:tcPr>
            <w:tcW w:w="0" w:type="dxa"/>
            <w:vAlign w:val="bottom"/>
          </w:tcPr>
          <w:p>
            <w:pPr>
              <w:spacing w:after="0"/>
              <w:rPr>
                <w:sz w:val="1"/>
                <w:szCs w:val="1"/>
                <w:color w:val="auto"/>
              </w:rPr>
            </w:pPr>
          </w:p>
        </w:tc>
      </w:tr>
      <w:tr>
        <w:trPr>
          <w:trHeight w:val="204"/>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4"/>
          </w:tcPr>
          <w:p>
            <w:pPr>
              <w:ind w:left="18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Owner occupied</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2,616</w:t>
            </w:r>
          </w:p>
        </w:tc>
        <w:tc>
          <w:tcPr>
            <w:tcW w:w="400" w:type="dxa"/>
            <w:vAlign w:val="bottom"/>
            <w:gridSpan w:val="3"/>
          </w:tcPr>
          <w:p>
            <w:pPr>
              <w:ind w:left="30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Non-owner occupied</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Speculative (2)</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Non-speculative</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SBA</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60"/>
              <w:spacing w:after="0"/>
              <w:rPr>
                <w:sz w:val="20"/>
                <w:szCs w:val="20"/>
                <w:color w:val="auto"/>
              </w:rPr>
            </w:pPr>
            <w:r>
              <w:rPr>
                <w:rFonts w:ascii="Arial" w:cs="Arial" w:eastAsia="Arial" w:hAnsi="Arial"/>
                <w:sz w:val="16"/>
                <w:szCs w:val="16"/>
                <w:color w:val="auto"/>
              </w:rPr>
              <w:t>SBA - PPP</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Commercial and industrial</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60"/>
              <w:spacing w:after="0"/>
              <w:rPr>
                <w:sz w:val="20"/>
                <w:szCs w:val="20"/>
                <w:color w:val="auto"/>
              </w:rPr>
            </w:pPr>
            <w:r>
              <w:rPr>
                <w:rFonts w:ascii="Arial" w:cs="Arial" w:eastAsia="Arial" w:hAnsi="Arial"/>
                <w:sz w:val="16"/>
                <w:szCs w:val="16"/>
                <w:color w:val="auto"/>
              </w:rPr>
              <w:t>Dairy &amp; livestock and agribusiness</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Municipal lease finance receivables</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60"/>
              <w:spacing w:after="0"/>
              <w:rPr>
                <w:sz w:val="20"/>
                <w:szCs w:val="20"/>
                <w:color w:val="auto"/>
              </w:rPr>
            </w:pPr>
            <w:r>
              <w:rPr>
                <w:rFonts w:ascii="Arial" w:cs="Arial" w:eastAsia="Arial" w:hAnsi="Arial"/>
                <w:sz w:val="16"/>
                <w:szCs w:val="16"/>
                <w:color w:val="auto"/>
              </w:rPr>
              <w:t>SFR mortgage</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Consumer and other loans</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800" w:type="dxa"/>
            <w:vAlign w:val="bottom"/>
          </w:tcPr>
          <w:p>
            <w:pPr>
              <w:ind w:left="260"/>
              <w:spacing w:after="0"/>
              <w:rPr>
                <w:sz w:val="20"/>
                <w:szCs w:val="20"/>
                <w:color w:val="auto"/>
              </w:rPr>
            </w:pPr>
            <w:r>
              <w:rPr>
                <w:rFonts w:ascii="Arial" w:cs="Arial" w:eastAsia="Arial" w:hAnsi="Arial"/>
                <w:sz w:val="16"/>
                <w:szCs w:val="16"/>
                <w:color w:val="auto"/>
              </w:rPr>
              <w:t>Total loans</w:t>
            </w: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80" w:type="dxa"/>
            <w:vAlign w:val="bottom"/>
            <w:gridSpan w:val="6"/>
          </w:tcPr>
          <w:p>
            <w:pPr>
              <w:ind w:left="360"/>
              <w:spacing w:after="0"/>
              <w:rPr>
                <w:sz w:val="20"/>
                <w:szCs w:val="20"/>
                <w:color w:val="auto"/>
              </w:rPr>
            </w:pPr>
            <w:r>
              <w:rPr>
                <w:rFonts w:ascii="Arial" w:cs="Arial" w:eastAsia="Arial" w:hAnsi="Arial"/>
                <w:sz w:val="14"/>
                <w:szCs w:val="14"/>
                <w:color w:val="auto"/>
              </w:rPr>
              <w:t>(1)As of March 31, 2023, $226,000 of nonaccruing loans were current and $6.0 million were 90+ days past due.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7080" w:type="dxa"/>
            <w:vAlign w:val="bottom"/>
            <w:gridSpan w:val="3"/>
          </w:tcPr>
          <w:p>
            <w:pPr>
              <w:ind w:left="360"/>
              <w:spacing w:after="0"/>
              <w:rPr>
                <w:sz w:val="20"/>
                <w:szCs w:val="20"/>
                <w:color w:val="auto"/>
              </w:rPr>
            </w:pPr>
            <w:r>
              <w:rPr>
                <w:rFonts w:ascii="Arial" w:cs="Arial" w:eastAsia="Arial" w:hAnsi="Arial"/>
                <w:sz w:val="14"/>
                <w:szCs w:val="14"/>
                <w:color w:val="auto"/>
              </w:rPr>
              <w:t>(2)Speculative construction loans are generally for properties where there is no identified buyer or renter.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080" w:type="dxa"/>
            <w:vAlign w:val="bottom"/>
            <w:gridSpan w:val="3"/>
          </w:tcPr>
          <w:p>
            <w:pPr>
              <w:ind w:left="360"/>
              <w:spacing w:after="0"/>
              <w:rPr>
                <w:sz w:val="20"/>
                <w:szCs w:val="20"/>
                <w:color w:val="auto"/>
              </w:rPr>
            </w:pPr>
            <w:r>
              <w:rPr>
                <w:rFonts w:ascii="Arial" w:cs="Arial" w:eastAsia="Arial" w:hAnsi="Arial"/>
                <w:sz w:val="14"/>
                <w:szCs w:val="14"/>
                <w:color w:val="auto"/>
              </w:rPr>
              <w:t>(3)There were no guaranteed portion of nonaccrual SBA loans that are in process of collection.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0" w:type="dxa"/>
            <w:vAlign w:val="bottom"/>
          </w:tcPr>
          <w:p>
            <w:pPr>
              <w:spacing w:after="0"/>
              <w:rPr>
                <w:sz w:val="17"/>
                <w:szCs w:val="17"/>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Nonaccrual with</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December 31, 2022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8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spacing w:after="0" w:line="177" w:lineRule="exact"/>
              <w:rPr>
                <w:sz w:val="20"/>
                <w:szCs w:val="20"/>
                <w:color w:val="auto"/>
              </w:rPr>
            </w:pPr>
            <w:r>
              <w:rPr>
                <w:rFonts w:ascii="Arial" w:cs="Arial" w:eastAsia="Arial" w:hAnsi="Arial"/>
                <w:sz w:val="16"/>
                <w:szCs w:val="16"/>
                <w:b w:val="1"/>
                <w:bCs w:val="1"/>
                <w:color w:val="auto"/>
                <w:w w:val="96"/>
              </w:rPr>
              <w:t>Loans Past Due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tcPr>
          <w:p>
            <w:pPr>
              <w:spacing w:after="0"/>
              <w:rPr>
                <w:sz w:val="15"/>
                <w:szCs w:val="15"/>
                <w:color w:val="auto"/>
              </w:rPr>
            </w:pPr>
          </w:p>
        </w:tc>
        <w:tc>
          <w:tcPr>
            <w:tcW w:w="128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w w:val="96"/>
              </w:rPr>
              <w:t>No Allowance for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260"/>
              <w:spacing w:after="0" w:line="180" w:lineRule="exact"/>
              <w:rPr>
                <w:sz w:val="20"/>
                <w:szCs w:val="20"/>
                <w:color w:val="auto"/>
              </w:rPr>
            </w:pPr>
            <w:r>
              <w:rPr>
                <w:rFonts w:ascii="Arial" w:cs="Arial" w:eastAsia="Arial" w:hAnsi="Arial"/>
                <w:sz w:val="16"/>
                <w:szCs w:val="16"/>
                <w:b w:val="1"/>
                <w:bCs w:val="1"/>
                <w:color w:val="auto"/>
                <w:w w:val="97"/>
              </w:rPr>
              <w:t>Total Nonaccrual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42"/>
              <w:spacing w:after="0" w:line="180" w:lineRule="exact"/>
              <w:rPr>
                <w:sz w:val="20"/>
                <w:szCs w:val="20"/>
                <w:color w:val="auto"/>
              </w:rPr>
            </w:pPr>
            <w:r>
              <w:rPr>
                <w:rFonts w:ascii="Arial" w:cs="Arial" w:eastAsia="Arial" w:hAnsi="Arial"/>
                <w:sz w:val="16"/>
                <w:szCs w:val="16"/>
                <w:b w:val="1"/>
                <w:bCs w:val="1"/>
                <w:color w:val="auto"/>
                <w:w w:val="98"/>
              </w:rPr>
              <w:t>Over 89 Days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22"/>
              <w:spacing w:after="0"/>
              <w:rPr>
                <w:sz w:val="20"/>
                <w:szCs w:val="20"/>
                <w:color w:val="auto"/>
              </w:rPr>
            </w:pPr>
            <w:r>
              <w:rPr>
                <w:rFonts w:ascii="Arial" w:cs="Arial" w:eastAsia="Arial" w:hAnsi="Arial"/>
                <w:sz w:val="16"/>
                <w:szCs w:val="16"/>
                <w:b w:val="1"/>
                <w:bCs w:val="1"/>
                <w:color w:val="auto"/>
                <w:w w:val="98"/>
              </w:rPr>
              <w:t>Credit Losses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482"/>
              <w:spacing w:after="0"/>
              <w:rPr>
                <w:sz w:val="20"/>
                <w:szCs w:val="20"/>
                <w:color w:val="auto"/>
              </w:rPr>
            </w:pPr>
            <w:r>
              <w:rPr>
                <w:rFonts w:ascii="Arial" w:cs="Arial" w:eastAsia="Arial" w:hAnsi="Arial"/>
                <w:sz w:val="16"/>
                <w:szCs w:val="16"/>
                <w:b w:val="1"/>
                <w:bCs w:val="1"/>
                <w:color w:val="auto"/>
              </w:rPr>
              <w:t>(1) (3)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42"/>
              <w:spacing w:after="0"/>
              <w:rPr>
                <w:sz w:val="20"/>
                <w:szCs w:val="20"/>
                <w:color w:val="auto"/>
              </w:rPr>
            </w:pPr>
            <w:r>
              <w:rPr>
                <w:rFonts w:ascii="Arial" w:cs="Arial" w:eastAsia="Arial" w:hAnsi="Arial"/>
                <w:sz w:val="16"/>
                <w:szCs w:val="16"/>
                <w:b w:val="1"/>
                <w:bCs w:val="1"/>
                <w:color w:val="auto"/>
                <w:w w:val="96"/>
              </w:rPr>
              <w:t>Still Accruing</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center"/>
              <w:ind w:right="16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Owner occupied</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2,639</w:t>
            </w:r>
          </w:p>
        </w:tc>
        <w:tc>
          <w:tcPr>
            <w:tcW w:w="400" w:type="dxa"/>
            <w:vAlign w:val="bottom"/>
            <w:gridSpan w:val="3"/>
          </w:tcPr>
          <w:p>
            <w:pPr>
              <w:ind w:left="30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2,639</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Non-owner occupied</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Speculative (2)</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Non-speculative</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SBA</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60"/>
              <w:spacing w:after="0"/>
              <w:rPr>
                <w:sz w:val="20"/>
                <w:szCs w:val="20"/>
                <w:color w:val="auto"/>
              </w:rPr>
            </w:pPr>
            <w:r>
              <w:rPr>
                <w:rFonts w:ascii="Arial" w:cs="Arial" w:eastAsia="Arial" w:hAnsi="Arial"/>
                <w:sz w:val="16"/>
                <w:szCs w:val="16"/>
                <w:color w:val="auto"/>
              </w:rPr>
              <w:t>SBA - PPP</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Commercial and industrial</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800" w:type="dxa"/>
            <w:vAlign w:val="bottom"/>
            <w:vMerge w:val="restart"/>
          </w:tcPr>
          <w:p>
            <w:pPr>
              <w:ind w:left="60"/>
              <w:spacing w:after="0"/>
              <w:rPr>
                <w:sz w:val="20"/>
                <w:szCs w:val="20"/>
                <w:color w:val="auto"/>
              </w:rPr>
            </w:pPr>
            <w:r>
              <w:rPr>
                <w:rFonts w:ascii="Arial" w:cs="Arial" w:eastAsia="Arial" w:hAnsi="Arial"/>
                <w:sz w:val="16"/>
                <w:szCs w:val="16"/>
                <w:color w:val="auto"/>
              </w:rPr>
              <w:t>Dairy &amp; livestock and agribusiness</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5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Municipal lease finance receivables</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60"/>
              <w:spacing w:after="0"/>
              <w:rPr>
                <w:sz w:val="20"/>
                <w:szCs w:val="20"/>
                <w:color w:val="auto"/>
              </w:rPr>
            </w:pPr>
            <w:r>
              <w:rPr>
                <w:rFonts w:ascii="Arial" w:cs="Arial" w:eastAsia="Arial" w:hAnsi="Arial"/>
                <w:sz w:val="16"/>
                <w:szCs w:val="16"/>
                <w:color w:val="auto"/>
              </w:rPr>
              <w:t>SFR mortgage</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Consumer and other loans</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800" w:type="dxa"/>
            <w:vAlign w:val="bottom"/>
          </w:tcPr>
          <w:p>
            <w:pPr>
              <w:ind w:left="260"/>
              <w:spacing w:after="0"/>
              <w:rPr>
                <w:sz w:val="20"/>
                <w:szCs w:val="20"/>
                <w:color w:val="auto"/>
              </w:rPr>
            </w:pPr>
            <w:r>
              <w:rPr>
                <w:rFonts w:ascii="Arial" w:cs="Arial" w:eastAsia="Arial" w:hAnsi="Arial"/>
                <w:sz w:val="16"/>
                <w:szCs w:val="16"/>
                <w:color w:val="auto"/>
              </w:rPr>
              <w:t>Total loans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4,094</w:t>
            </w:r>
          </w:p>
        </w:tc>
        <w:tc>
          <w:tcPr>
            <w:tcW w:w="120" w:type="dxa"/>
            <w:vAlign w:val="bottom"/>
          </w:tcPr>
          <w:p>
            <w:pPr>
              <w:spacing w:after="0"/>
              <w:rPr>
                <w:sz w:val="17"/>
                <w:szCs w:val="17"/>
                <w:color w:val="auto"/>
              </w:rPr>
            </w:pP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4,930</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(1)As of December 31, 2022, $228,000 of nonaccruing loans were current and $4.7 million were 90+ days past due.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(2)Speculative construction loans are generally for properties where there is no identified buyer or renter.</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(3)Excludes $221,000 of guaranteed portion of nonaccrual SBA loans that are in process of collection.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40" w:orient="portrait"/>
          <w:cols w:equalWidth="0" w:num="1">
            <w:col w:w="10580"/>
          </w:cols>
          <w:pgMar w:left="660" w:top="790" w:right="660"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Collateral Dependent Loans</w:t>
      </w:r>
    </w:p>
    <w:p>
      <w:pPr>
        <w:spacing w:after="0" w:line="184" w:lineRule="exact"/>
        <w:rPr>
          <w:sz w:val="20"/>
          <w:szCs w:val="20"/>
          <w:color w:val="auto"/>
        </w:rPr>
      </w:pPr>
    </w:p>
    <w:p>
      <w:pPr>
        <w:jc w:val="both"/>
        <w:ind w:right="160"/>
        <w:spacing w:after="0" w:line="243" w:lineRule="auto"/>
        <w:rPr>
          <w:sz w:val="20"/>
          <w:szCs w:val="20"/>
          <w:color w:val="auto"/>
        </w:rPr>
      </w:pPr>
      <w:r>
        <w:rPr>
          <w:rFonts w:ascii="Arial" w:cs="Arial" w:eastAsia="Arial" w:hAnsi="Arial"/>
          <w:sz w:val="16"/>
          <w:szCs w:val="16"/>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Loans</w:t>
            </w:r>
          </w:p>
        </w:tc>
      </w:tr>
      <w:tr>
        <w:trPr>
          <w:trHeight w:val="168"/>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Dependent on</w:t>
            </w:r>
          </w:p>
        </w:tc>
      </w:tr>
      <w:tr>
        <w:trPr>
          <w:trHeight w:val="196"/>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48"/>
              <w:spacing w:after="0"/>
              <w:rPr>
                <w:sz w:val="20"/>
                <w:szCs w:val="20"/>
                <w:color w:val="auto"/>
              </w:rPr>
            </w:pPr>
            <w:r>
              <w:rPr>
                <w:rFonts w:ascii="Arial" w:cs="Arial" w:eastAsia="Arial" w:hAnsi="Arial"/>
                <w:sz w:val="14"/>
                <w:szCs w:val="14"/>
                <w:b w:val="1"/>
                <w:bCs w:val="1"/>
                <w:color w:val="auto"/>
              </w:rPr>
              <w:t>Real Estate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Business Assets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Collateral</w:t>
            </w:r>
          </w:p>
        </w:tc>
      </w:tr>
      <w:tr>
        <w:trPr>
          <w:trHeight w:val="189"/>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2,634</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SBA - PPP</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2"/>
        </w:trPr>
        <w:tc>
          <w:tcPr>
            <w:tcW w:w="3840" w:type="dxa"/>
            <w:vAlign w:val="bottom"/>
          </w:tcPr>
          <w:p>
            <w:pPr>
              <w:ind w:left="180"/>
              <w:spacing w:after="0"/>
              <w:rPr>
                <w:sz w:val="20"/>
                <w:szCs w:val="20"/>
                <w:color w:val="auto"/>
              </w:rPr>
            </w:pPr>
            <w:r>
              <w:rPr>
                <w:rFonts w:ascii="Arial" w:cs="Arial" w:eastAsia="Arial" w:hAnsi="Arial"/>
                <w:sz w:val="14"/>
                <w:szCs w:val="14"/>
                <w:color w:val="auto"/>
              </w:rPr>
              <w:t>Total collateral-dependent loans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2,986</w:t>
            </w:r>
          </w:p>
        </w:tc>
        <w:tc>
          <w:tcPr>
            <w:tcW w:w="12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2,915</w:t>
            </w:r>
          </w:p>
        </w:tc>
        <w:tc>
          <w:tcPr>
            <w:tcW w:w="1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Loans</w:t>
            </w:r>
          </w:p>
        </w:tc>
      </w:tr>
      <w:tr>
        <w:trPr>
          <w:trHeight w:val="164"/>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Dependent on</w:t>
            </w:r>
          </w:p>
        </w:tc>
      </w:tr>
      <w:tr>
        <w:trPr>
          <w:trHeight w:val="196"/>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Business Assets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Collateral</w:t>
            </w:r>
          </w:p>
        </w:tc>
      </w:tr>
      <w:tr>
        <w:trPr>
          <w:trHeight w:val="189"/>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17,935</w:t>
            </w:r>
          </w:p>
        </w:tc>
        <w:tc>
          <w:tcPr>
            <w:tcW w:w="12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SBA - PPP</w:t>
            </w:r>
          </w:p>
        </w:tc>
        <w:tc>
          <w:tcPr>
            <w:tcW w:w="2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2,774</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26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2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6"/>
                <w:szCs w:val="16"/>
                <w:color w:val="auto"/>
              </w:rPr>
            </w:pPr>
          </w:p>
        </w:tc>
      </w:tr>
      <w:tr>
        <w:trPr>
          <w:trHeight w:val="192"/>
        </w:trPr>
        <w:tc>
          <w:tcPr>
            <w:tcW w:w="3840" w:type="dxa"/>
            <w:vAlign w:val="bottom"/>
          </w:tcPr>
          <w:p>
            <w:pPr>
              <w:ind w:left="180"/>
              <w:spacing w:after="0"/>
              <w:rPr>
                <w:sz w:val="20"/>
                <w:szCs w:val="20"/>
                <w:color w:val="auto"/>
              </w:rPr>
            </w:pPr>
            <w:r>
              <w:rPr>
                <w:rFonts w:ascii="Arial" w:cs="Arial" w:eastAsia="Arial" w:hAnsi="Arial"/>
                <w:sz w:val="14"/>
                <w:szCs w:val="14"/>
                <w:color w:val="auto"/>
              </w:rPr>
              <w:t>Total collateral-dependent loans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18,475</w:t>
            </w:r>
          </w:p>
        </w:tc>
        <w:tc>
          <w:tcPr>
            <w:tcW w:w="1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5,066</w:t>
            </w:r>
          </w:p>
        </w:tc>
        <w:tc>
          <w:tcPr>
            <w:tcW w:w="1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289</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40" w:orient="portrait"/>
          <w:cols w:equalWidth="0" w:num="1">
            <w:col w:w="10560"/>
          </w:cols>
          <w:pgMar w:left="660" w:top="782" w:right="680"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Reserve for Unfunded Loan Commitments</w:t>
      </w:r>
    </w:p>
    <w:p>
      <w:pPr>
        <w:spacing w:after="0" w:line="184" w:lineRule="exact"/>
        <w:rPr>
          <w:sz w:val="20"/>
          <w:szCs w:val="20"/>
          <w:color w:val="auto"/>
        </w:rPr>
      </w:pPr>
    </w:p>
    <w:p>
      <w:pPr>
        <w:ind w:right="260" w:firstLine="432"/>
        <w:spacing w:after="0" w:line="238" w:lineRule="auto"/>
        <w:rPr>
          <w:sz w:val="20"/>
          <w:szCs w:val="20"/>
          <w:color w:val="auto"/>
        </w:rPr>
      </w:pPr>
      <w:r>
        <w:rPr>
          <w:rFonts w:ascii="Arial" w:cs="Arial" w:eastAsia="Arial" w:hAnsi="Arial"/>
          <w:sz w:val="16"/>
          <w:szCs w:val="16"/>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$8.5 million for the off-balance sheet credit exposures as of March 31, 2023. There was $500,000 in provision for unfunded loan commitments for the three months ended March 31, 2023 and no provision for the three months ended March 31, 2022. As of March 31, 2023 and December 31,2022, the balance in this reserve was $8.5 million and $8.0 million, respectively, and was included in other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Modifications of Loans to Borrowers Experiencing Financial Difficulty</w:t>
      </w:r>
    </w:p>
    <w:p>
      <w:pPr>
        <w:spacing w:after="0" w:line="184" w:lineRule="exact"/>
        <w:rPr>
          <w:sz w:val="20"/>
          <w:szCs w:val="20"/>
          <w:color w:val="auto"/>
        </w:rPr>
      </w:pPr>
    </w:p>
    <w:p>
      <w:pPr>
        <w:ind w:right="340" w:firstLine="432"/>
        <w:spacing w:after="0" w:line="243" w:lineRule="auto"/>
        <w:rPr>
          <w:sz w:val="20"/>
          <w:szCs w:val="20"/>
          <w:color w:val="auto"/>
        </w:rPr>
      </w:pPr>
      <w:r>
        <w:rPr>
          <w:rFonts w:ascii="Arial" w:cs="Arial" w:eastAsia="Arial" w:hAnsi="Arial"/>
          <w:sz w:val="16"/>
          <w:szCs w:val="16"/>
          <w:color w:val="auto"/>
        </w:rPr>
        <w:t>The Company adopted Accounting Standards Update (“ASU”) 2022- 02, Financial Instruments - Credit Losses (Topic 326) Troubled Debt Restructurings and Vintage Disclosures (“ASU 2022-02”) effective January 1, 2023. The amendments in ASU 2022-02 eliminated the recognition and measurement of TDRs and enhanced disclosures for loan modifications to borrowers experiencing financial difficulty.</w:t>
      </w:r>
    </w:p>
    <w:p>
      <w:pPr>
        <w:spacing w:after="0" w:line="161" w:lineRule="exact"/>
        <w:rPr>
          <w:sz w:val="20"/>
          <w:szCs w:val="20"/>
          <w:color w:val="auto"/>
        </w:rPr>
      </w:pPr>
    </w:p>
    <w:p>
      <w:pPr>
        <w:ind w:right="140" w:firstLine="432"/>
        <w:spacing w:after="0" w:line="252" w:lineRule="auto"/>
        <w:rPr>
          <w:sz w:val="20"/>
          <w:szCs w:val="20"/>
          <w:color w:val="auto"/>
        </w:rPr>
      </w:pPr>
      <w:r>
        <w:rPr>
          <w:rFonts w:ascii="Arial" w:cs="Arial" w:eastAsia="Arial" w:hAnsi="Arial"/>
          <w:sz w:val="16"/>
          <w:szCs w:val="16"/>
          <w:color w:val="auto"/>
        </w:rPr>
        <w:t>The table below reflects the amortized cost of loans by type made to borrowers experiencing financial difficulty that were modified during the three months ended March 31,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40" w:type="dxa"/>
            <w:vAlign w:val="bottom"/>
          </w:tcPr>
          <w:p>
            <w:pPr>
              <w:spacing w:after="0"/>
              <w:rPr>
                <w:sz w:val="18"/>
                <w:szCs w:val="18"/>
                <w:color w:val="auto"/>
              </w:rPr>
            </w:pPr>
          </w:p>
        </w:tc>
        <w:tc>
          <w:tcPr>
            <w:tcW w:w="234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Amortized Cost Basis</w:t>
            </w: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Term Extension</w:t>
            </w:r>
          </w:p>
        </w:tc>
        <w:tc>
          <w:tcPr>
            <w:tcW w:w="2460" w:type="dxa"/>
            <w:vAlign w:val="bottom"/>
            <w:gridSpan w:val="2"/>
            <w:vMerge w:val="restart"/>
          </w:tcPr>
          <w:p>
            <w:pPr>
              <w:jc w:val="right"/>
              <w:ind w:right="800"/>
              <w:spacing w:after="0"/>
              <w:rPr>
                <w:sz w:val="20"/>
                <w:szCs w:val="20"/>
                <w:color w:val="auto"/>
              </w:rPr>
            </w:pPr>
            <w:r>
              <w:rPr>
                <w:rFonts w:ascii="Arial" w:cs="Arial" w:eastAsia="Arial" w:hAnsi="Arial"/>
                <w:sz w:val="16"/>
                <w:szCs w:val="16"/>
                <w:b w:val="1"/>
                <w:bCs w:val="1"/>
                <w:color w:val="auto"/>
              </w:rPr>
              <w:t>% of Total Class of</w:t>
            </w: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440" w:type="dxa"/>
            <w:vAlign w:val="bottom"/>
          </w:tcPr>
          <w:p>
            <w:pPr>
              <w:spacing w:after="0"/>
              <w:rPr>
                <w:sz w:val="18"/>
                <w:szCs w:val="18"/>
                <w:color w:val="auto"/>
              </w:rPr>
            </w:pPr>
          </w:p>
        </w:tc>
        <w:tc>
          <w:tcPr>
            <w:tcW w:w="2340" w:type="dxa"/>
            <w:vAlign w:val="bottom"/>
          </w:tcPr>
          <w:p>
            <w:pPr>
              <w:jc w:val="right"/>
              <w:ind w:right="222"/>
              <w:spacing w:after="0"/>
              <w:rPr>
                <w:sz w:val="20"/>
                <w:szCs w:val="20"/>
                <w:color w:val="auto"/>
              </w:rPr>
            </w:pPr>
            <w:r>
              <w:rPr>
                <w:rFonts w:ascii="Arial" w:cs="Arial" w:eastAsia="Arial" w:hAnsi="Arial"/>
                <w:sz w:val="16"/>
                <w:szCs w:val="16"/>
                <w:b w:val="1"/>
                <w:bCs w:val="1"/>
                <w:color w:val="auto"/>
              </w:rPr>
              <w:t>at March 31,2023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Financing Receivables</w:t>
            </w:r>
          </w:p>
        </w:tc>
        <w:tc>
          <w:tcPr>
            <w:tcW w:w="0" w:type="dxa"/>
            <w:vAlign w:val="bottom"/>
          </w:tcPr>
          <w:p>
            <w:pPr>
              <w:spacing w:after="0"/>
              <w:rPr>
                <w:sz w:val="1"/>
                <w:szCs w:val="1"/>
                <w:color w:val="auto"/>
              </w:rPr>
            </w:pPr>
          </w:p>
        </w:tc>
      </w:tr>
      <w:tr>
        <w:trPr>
          <w:trHeight w:val="202"/>
        </w:trPr>
        <w:tc>
          <w:tcPr>
            <w:tcW w:w="4440" w:type="dxa"/>
            <w:vAlign w:val="bottom"/>
          </w:tcPr>
          <w:p>
            <w:pPr>
              <w:ind w:left="440"/>
              <w:spacing w:after="0"/>
              <w:rPr>
                <w:sz w:val="20"/>
                <w:szCs w:val="20"/>
                <w:color w:val="auto"/>
              </w:rPr>
            </w:pPr>
            <w:r>
              <w:rPr>
                <w:rFonts w:ascii="Arial" w:cs="Arial" w:eastAsia="Arial" w:hAnsi="Arial"/>
                <w:sz w:val="16"/>
                <w:szCs w:val="16"/>
                <w:color w:val="auto"/>
              </w:rPr>
              <w:t>Commercial real estate loans</w:t>
            </w:r>
          </w:p>
        </w:tc>
        <w:tc>
          <w:tcPr>
            <w:tcW w:w="2340" w:type="dxa"/>
            <w:vAlign w:val="bottom"/>
          </w:tcPr>
          <w:p>
            <w:pPr>
              <w:jc w:val="right"/>
              <w:ind w:right="2162"/>
              <w:spacing w:after="0"/>
              <w:rPr>
                <w:sz w:val="20"/>
                <w:szCs w:val="20"/>
                <w:color w:val="auto"/>
              </w:rPr>
            </w:pPr>
            <w:r>
              <w:rPr>
                <w:rFonts w:ascii="Arial" w:cs="Arial" w:eastAsia="Arial" w:hAnsi="Arial"/>
                <w:sz w:val="16"/>
                <w:szCs w:val="16"/>
                <w:color w:val="auto"/>
                <w:w w:val="89"/>
              </w:rPr>
              <w:t>$</w:t>
            </w:r>
          </w:p>
        </w:tc>
        <w:tc>
          <w:tcPr>
            <w:tcW w:w="500" w:type="dxa"/>
            <w:vAlign w:val="bottom"/>
          </w:tcPr>
          <w:p>
            <w:pPr>
              <w:ind w:left="100"/>
              <w:spacing w:after="0"/>
              <w:rPr>
                <w:sz w:val="20"/>
                <w:szCs w:val="20"/>
                <w:color w:val="auto"/>
              </w:rPr>
            </w:pPr>
            <w:r>
              <w:rPr>
                <w:rFonts w:ascii="Arial" w:cs="Arial" w:eastAsia="Arial" w:hAnsi="Arial"/>
                <w:sz w:val="16"/>
                <w:szCs w:val="16"/>
                <w:color w:val="auto"/>
                <w:w w:val="94"/>
              </w:rPr>
              <w:t>1,587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4"/>
        </w:trPr>
        <w:tc>
          <w:tcPr>
            <w:tcW w:w="4440" w:type="dxa"/>
            <w:vAlign w:val="bottom"/>
          </w:tcPr>
          <w:p>
            <w:pPr>
              <w:ind w:left="440"/>
              <w:spacing w:after="0"/>
              <w:rPr>
                <w:sz w:val="20"/>
                <w:szCs w:val="20"/>
                <w:color w:val="auto"/>
              </w:rPr>
            </w:pPr>
            <w:r>
              <w:rPr>
                <w:rFonts w:ascii="Arial" w:cs="Arial" w:eastAsia="Arial" w:hAnsi="Arial"/>
                <w:sz w:val="16"/>
                <w:szCs w:val="16"/>
                <w:color w:val="auto"/>
              </w:rPr>
              <w:t>Commercial and industrial</w:t>
            </w:r>
          </w:p>
        </w:tc>
        <w:tc>
          <w:tcPr>
            <w:tcW w:w="234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Arial" w:cs="Arial" w:eastAsia="Arial" w:hAnsi="Arial"/>
                <w:sz w:val="16"/>
                <w:szCs w:val="16"/>
                <w:color w:val="auto"/>
                <w:w w:val="94"/>
              </w:rPr>
              <w:t>2,250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04"/>
        </w:trPr>
        <w:tc>
          <w:tcPr>
            <w:tcW w:w="4440" w:type="dxa"/>
            <w:vAlign w:val="bottom"/>
          </w:tcPr>
          <w:p>
            <w:pPr>
              <w:ind w:left="440"/>
              <w:spacing w:after="0"/>
              <w:rPr>
                <w:sz w:val="20"/>
                <w:szCs w:val="20"/>
                <w:color w:val="auto"/>
              </w:rPr>
            </w:pPr>
            <w:r>
              <w:rPr>
                <w:rFonts w:ascii="Arial" w:cs="Arial" w:eastAsia="Arial" w:hAnsi="Arial"/>
                <w:sz w:val="16"/>
                <w:szCs w:val="16"/>
                <w:color w:val="auto"/>
              </w:rPr>
              <w:t>Dairy &amp; livestock and agribusiness</w:t>
            </w:r>
          </w:p>
        </w:tc>
        <w:tc>
          <w:tcPr>
            <w:tcW w:w="234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Arial" w:cs="Arial" w:eastAsia="Arial" w:hAnsi="Arial"/>
                <w:sz w:val="16"/>
                <w:szCs w:val="16"/>
                <w:color w:val="auto"/>
                <w:w w:val="94"/>
              </w:rPr>
              <w:t>1,999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6"/>
        </w:trPr>
        <w:tc>
          <w:tcPr>
            <w:tcW w:w="4440" w:type="dxa"/>
            <w:vAlign w:val="bottom"/>
          </w:tcPr>
          <w:p>
            <w:pPr>
              <w:ind w:left="560"/>
              <w:spacing w:after="0"/>
              <w:rPr>
                <w:sz w:val="20"/>
                <w:szCs w:val="20"/>
                <w:color w:val="auto"/>
              </w:rPr>
            </w:pPr>
            <w:r>
              <w:rPr>
                <w:rFonts w:ascii="Arial" w:cs="Arial" w:eastAsia="Arial" w:hAnsi="Arial"/>
                <w:sz w:val="16"/>
                <w:szCs w:val="16"/>
                <w:b w:val="1"/>
                <w:bCs w:val="1"/>
                <w:color w:val="auto"/>
              </w:rPr>
              <w:t>Total</w:t>
            </w:r>
          </w:p>
        </w:tc>
        <w:tc>
          <w:tcPr>
            <w:tcW w:w="2340" w:type="dxa"/>
            <w:vAlign w:val="bottom"/>
            <w:tcBorders>
              <w:bottom w:val="single" w:sz="8" w:color="auto"/>
            </w:tcBorders>
          </w:tcPr>
          <w:p>
            <w:pPr>
              <w:jc w:val="right"/>
              <w:ind w:right="21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4"/>
              </w:rPr>
              <w:t>5,836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520" w:firstLine="432"/>
        <w:spacing w:after="0" w:line="252" w:lineRule="auto"/>
        <w:rPr>
          <w:sz w:val="20"/>
          <w:szCs w:val="20"/>
          <w:color w:val="auto"/>
        </w:rPr>
      </w:pPr>
      <w:r>
        <w:rPr>
          <w:rFonts w:ascii="Arial" w:cs="Arial" w:eastAsia="Arial" w:hAnsi="Arial"/>
          <w:sz w:val="16"/>
          <w:szCs w:val="16"/>
          <w:color w:val="auto"/>
        </w:rPr>
        <w:t>The following table describes the financial effect of the loan modifications made to borrowers experiencing financial difficulty during the three months ended March 31,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408"/>
        </w:trPr>
        <w:tc>
          <w:tcPr>
            <w:tcW w:w="4760" w:type="dxa"/>
            <w:vAlign w:val="bottom"/>
          </w:tcPr>
          <w:p>
            <w:pPr>
              <w:ind w:left="2200"/>
              <w:spacing w:after="0"/>
              <w:rPr>
                <w:sz w:val="20"/>
                <w:szCs w:val="20"/>
                <w:color w:val="auto"/>
              </w:rPr>
            </w:pPr>
            <w:r>
              <w:rPr>
                <w:rFonts w:ascii="Arial" w:cs="Arial" w:eastAsia="Arial" w:hAnsi="Arial"/>
                <w:sz w:val="16"/>
                <w:szCs w:val="16"/>
                <w:b w:val="1"/>
                <w:bCs w:val="1"/>
                <w:color w:val="auto"/>
              </w:rPr>
              <w:t>Loan Type</w:t>
            </w:r>
          </w:p>
        </w:tc>
        <w:tc>
          <w:tcPr>
            <w:tcW w:w="5800" w:type="dxa"/>
            <w:vAlign w:val="bottom"/>
          </w:tcPr>
          <w:p>
            <w:pPr>
              <w:ind w:left="2380"/>
              <w:spacing w:after="0"/>
              <w:rPr>
                <w:sz w:val="20"/>
                <w:szCs w:val="20"/>
                <w:color w:val="auto"/>
              </w:rPr>
            </w:pPr>
            <w:r>
              <w:rPr>
                <w:rFonts w:ascii="Arial" w:cs="Arial" w:eastAsia="Arial" w:hAnsi="Arial"/>
                <w:sz w:val="16"/>
                <w:szCs w:val="16"/>
                <w:b w:val="1"/>
                <w:bCs w:val="1"/>
                <w:color w:val="auto"/>
              </w:rPr>
              <w:t>Financial Effect</w:t>
            </w:r>
          </w:p>
        </w:tc>
      </w:tr>
      <w:tr>
        <w:trPr>
          <w:trHeight w:val="204"/>
        </w:trPr>
        <w:tc>
          <w:tcPr>
            <w:tcW w:w="476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4"/>
        </w:trPr>
        <w:tc>
          <w:tcPr>
            <w:tcW w:w="4760" w:type="dxa"/>
            <w:vAlign w:val="bottom"/>
            <w:shd w:val="clear" w:color="auto" w:fill="CFF0FC"/>
          </w:tcPr>
          <w:p>
            <w:pPr>
              <w:spacing w:after="0"/>
              <w:rPr>
                <w:sz w:val="17"/>
                <w:szCs w:val="17"/>
                <w:color w:val="auto"/>
              </w:rPr>
            </w:pPr>
          </w:p>
        </w:tc>
        <w:tc>
          <w:tcPr>
            <w:tcW w:w="5800" w:type="dxa"/>
            <w:vAlign w:val="bottom"/>
            <w:shd w:val="clear" w:color="auto" w:fill="CFF0FC"/>
          </w:tcPr>
          <w:p>
            <w:pPr>
              <w:ind w:left="2380"/>
              <w:spacing w:after="0"/>
              <w:rPr>
                <w:sz w:val="20"/>
                <w:szCs w:val="20"/>
                <w:color w:val="auto"/>
              </w:rPr>
            </w:pPr>
            <w:r>
              <w:rPr>
                <w:rFonts w:ascii="Arial" w:cs="Arial" w:eastAsia="Arial" w:hAnsi="Arial"/>
                <w:sz w:val="16"/>
                <w:szCs w:val="16"/>
                <w:b w:val="1"/>
                <w:bCs w:val="1"/>
                <w:color w:val="auto"/>
              </w:rPr>
              <w:t>Term Extension</w:t>
            </w:r>
          </w:p>
        </w:tc>
      </w:tr>
      <w:tr>
        <w:trPr>
          <w:trHeight w:val="185"/>
        </w:trPr>
        <w:tc>
          <w:tcPr>
            <w:tcW w:w="4760" w:type="dxa"/>
            <w:vAlign w:val="bottom"/>
          </w:tcPr>
          <w:p>
            <w:pPr>
              <w:ind w:left="420"/>
              <w:spacing w:after="0"/>
              <w:rPr>
                <w:sz w:val="20"/>
                <w:szCs w:val="20"/>
                <w:color w:val="auto"/>
              </w:rPr>
            </w:pPr>
            <w:r>
              <w:rPr>
                <w:rFonts w:ascii="Arial" w:cs="Arial" w:eastAsia="Arial" w:hAnsi="Arial"/>
                <w:sz w:val="16"/>
                <w:szCs w:val="16"/>
                <w:color w:val="auto"/>
              </w:rPr>
              <w:t>Commercial real estate loans</w:t>
            </w:r>
          </w:p>
        </w:tc>
        <w:tc>
          <w:tcPr>
            <w:tcW w:w="5800" w:type="dxa"/>
            <w:vAlign w:val="bottom"/>
          </w:tcPr>
          <w:p>
            <w:pPr>
              <w:ind w:left="120"/>
              <w:spacing w:after="0"/>
              <w:rPr>
                <w:sz w:val="20"/>
                <w:szCs w:val="20"/>
                <w:color w:val="auto"/>
              </w:rPr>
            </w:pPr>
            <w:r>
              <w:rPr>
                <w:rFonts w:ascii="Arial" w:cs="Arial" w:eastAsia="Arial" w:hAnsi="Arial"/>
                <w:sz w:val="16"/>
                <w:szCs w:val="16"/>
                <w:color w:val="auto"/>
              </w:rPr>
              <w:t>Added a weighted-average 1.1 years to the life of loans, which reduced monthly</w:t>
            </w:r>
          </w:p>
        </w:tc>
      </w:tr>
      <w:tr>
        <w:trPr>
          <w:trHeight w:val="198"/>
        </w:trPr>
        <w:tc>
          <w:tcPr>
            <w:tcW w:w="4760" w:type="dxa"/>
            <w:vAlign w:val="bottom"/>
          </w:tcPr>
          <w:p>
            <w:pPr>
              <w:spacing w:after="0"/>
              <w:rPr>
                <w:sz w:val="17"/>
                <w:szCs w:val="17"/>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auto"/>
              </w:rPr>
              <w:t>payment amounts for the borrowers.</w:t>
            </w:r>
          </w:p>
        </w:tc>
      </w:tr>
      <w:tr>
        <w:trPr>
          <w:trHeight w:val="186"/>
        </w:trPr>
        <w:tc>
          <w:tcPr>
            <w:tcW w:w="4760" w:type="dxa"/>
            <w:vAlign w:val="bottom"/>
            <w:shd w:val="clear" w:color="auto" w:fill="CFF0FC"/>
          </w:tcPr>
          <w:p>
            <w:pPr>
              <w:spacing w:after="0"/>
              <w:rPr>
                <w:sz w:val="16"/>
                <w:szCs w:val="16"/>
                <w:color w:val="auto"/>
              </w:rPr>
            </w:pPr>
          </w:p>
        </w:tc>
        <w:tc>
          <w:tcPr>
            <w:tcW w:w="5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Added a weighted-average 0.8 years to the life of loans, which reduced monthly</w:t>
            </w:r>
          </w:p>
        </w:tc>
      </w:tr>
      <w:tr>
        <w:trPr>
          <w:trHeight w:val="199"/>
        </w:trPr>
        <w:tc>
          <w:tcPr>
            <w:tcW w:w="47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Commercial and industrial</w:t>
            </w:r>
          </w:p>
        </w:tc>
        <w:tc>
          <w:tcPr>
            <w:tcW w:w="5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payment amounts for the borrowers.</w:t>
            </w:r>
          </w:p>
        </w:tc>
      </w:tr>
      <w:tr>
        <w:trPr>
          <w:trHeight w:val="185"/>
        </w:trPr>
        <w:tc>
          <w:tcPr>
            <w:tcW w:w="4760" w:type="dxa"/>
            <w:vAlign w:val="bottom"/>
          </w:tcPr>
          <w:p>
            <w:pPr>
              <w:spacing w:after="0"/>
              <w:rPr>
                <w:sz w:val="16"/>
                <w:szCs w:val="16"/>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auto"/>
              </w:rPr>
              <w:t>Added a weighted-average 1.2 years to the life of loans, which reduced monthly</w:t>
            </w:r>
          </w:p>
        </w:tc>
      </w:tr>
      <w:tr>
        <w:trPr>
          <w:trHeight w:val="197"/>
        </w:trPr>
        <w:tc>
          <w:tcPr>
            <w:tcW w:w="4760" w:type="dxa"/>
            <w:vAlign w:val="bottom"/>
          </w:tcPr>
          <w:p>
            <w:pPr>
              <w:ind w:left="420"/>
              <w:spacing w:after="0"/>
              <w:rPr>
                <w:sz w:val="20"/>
                <w:szCs w:val="20"/>
                <w:color w:val="auto"/>
              </w:rPr>
            </w:pPr>
            <w:r>
              <w:rPr>
                <w:rFonts w:ascii="Arial" w:cs="Arial" w:eastAsia="Arial" w:hAnsi="Arial"/>
                <w:sz w:val="16"/>
                <w:szCs w:val="16"/>
                <w:color w:val="auto"/>
              </w:rPr>
              <w:t>Dairy &amp; livestock and agribusiness</w:t>
            </w:r>
          </w:p>
        </w:tc>
        <w:tc>
          <w:tcPr>
            <w:tcW w:w="5800" w:type="dxa"/>
            <w:vAlign w:val="bottom"/>
          </w:tcPr>
          <w:p>
            <w:pPr>
              <w:ind w:left="120"/>
              <w:spacing w:after="0"/>
              <w:rPr>
                <w:sz w:val="20"/>
                <w:szCs w:val="20"/>
                <w:color w:val="auto"/>
              </w:rPr>
            </w:pPr>
            <w:r>
              <w:rPr>
                <w:rFonts w:ascii="Arial" w:cs="Arial" w:eastAsia="Arial" w:hAnsi="Arial"/>
                <w:sz w:val="16"/>
                <w:szCs w:val="16"/>
                <w:color w:val="auto"/>
              </w:rPr>
              <w:t>payment amounts for the borrowers.</w:t>
            </w:r>
          </w:p>
        </w:tc>
      </w:tr>
      <w:tr>
        <w:trPr>
          <w:trHeight w:val="206"/>
        </w:trPr>
        <w:tc>
          <w:tcPr>
            <w:tcW w:w="476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370"/>
        </w:trPr>
        <w:tc>
          <w:tcPr>
            <w:tcW w:w="4760" w:type="dxa"/>
            <w:vAlign w:val="bottom"/>
          </w:tcPr>
          <w:p>
            <w:pPr>
              <w:spacing w:after="0"/>
              <w:rPr>
                <w:sz w:val="24"/>
                <w:szCs w:val="24"/>
                <w:color w:val="auto"/>
              </w:rPr>
            </w:pPr>
          </w:p>
        </w:tc>
        <w:tc>
          <w:tcPr>
            <w:tcW w:w="5800" w:type="dxa"/>
            <w:vAlign w:val="bottom"/>
          </w:tcPr>
          <w:p>
            <w:pPr>
              <w:ind w:left="440"/>
              <w:spacing w:after="0"/>
              <w:rPr>
                <w:sz w:val="20"/>
                <w:szCs w:val="20"/>
                <w:color w:val="auto"/>
              </w:rPr>
            </w:pPr>
            <w:r>
              <w:rPr>
                <w:rFonts w:ascii="Arial" w:cs="Arial" w:eastAsia="Arial" w:hAnsi="Arial"/>
                <w:sz w:val="16"/>
                <w:szCs w:val="16"/>
                <w:color w:val="auto"/>
              </w:rPr>
              <w:t>25</w:t>
            </w:r>
          </w:p>
        </w:tc>
      </w:tr>
      <w:tr>
        <w:trPr>
          <w:trHeight w:val="278"/>
        </w:trPr>
        <w:tc>
          <w:tcPr>
            <w:tcW w:w="4760" w:type="dxa"/>
            <w:vAlign w:val="bottom"/>
            <w:tcBorders>
              <w:bottom w:val="single" w:sz="8" w:color="EEEEEE"/>
            </w:tcBorders>
          </w:tcPr>
          <w:p>
            <w:pPr>
              <w:spacing w:after="0"/>
              <w:rPr>
                <w:sz w:val="24"/>
                <w:szCs w:val="24"/>
                <w:color w:val="auto"/>
              </w:rPr>
            </w:pPr>
          </w:p>
        </w:tc>
        <w:tc>
          <w:tcPr>
            <w:tcW w:w="5800" w:type="dxa"/>
            <w:vAlign w:val="bottom"/>
            <w:tcBorders>
              <w:bottom w:val="single" w:sz="8" w:color="EEEEEE"/>
            </w:tcBorders>
          </w:tcPr>
          <w:p>
            <w:pPr>
              <w:spacing w:after="0"/>
              <w:rPr>
                <w:sz w:val="24"/>
                <w:szCs w:val="24"/>
                <w:color w:val="auto"/>
              </w:rPr>
            </w:pPr>
          </w:p>
        </w:tc>
      </w:tr>
    </w:tbl>
    <w:p>
      <w:pPr>
        <w:sectPr>
          <w:pgSz w:w="11900" w:h="16840" w:orient="portrait"/>
          <w:cols w:equalWidth="0" w:num="1">
            <w:col w:w="10620"/>
          </w:cols>
          <w:pgMar w:left="660" w:top="782" w:right="620" w:bottom="1440" w:gutter="0" w:footer="0" w:header="0"/>
        </w:sectPr>
      </w:pPr>
    </w:p>
    <w:bookmarkStart w:id="24" w:name="page25"/>
    <w:bookmarkEnd w:id="24"/>
    <w:p>
      <w:pPr>
        <w:jc w:val="both"/>
        <w:ind w:right="180" w:firstLine="432"/>
        <w:spacing w:after="0" w:line="24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As of March 31, 2023, the Company did not have any loans made to borrowers experiencing financial difficulty that were modified during the first quarter of 2023 that subsequently defaulted. Payment default is defined as movement to nonaccrual (nonperforming) status, foreclosure or charge-off, whichever occurs first.</w:t>
      </w:r>
    </w:p>
    <w:p>
      <w:pPr>
        <w:spacing w:after="0" w:line="161"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The following table presents the recorded investment in, and the aging of, past due loans at amortized cost (including nonaccrual loans), by type of loans, made to borrowers experiencing financial difficulty that were modified on or after January 1, 2023, the date we adopted ASU 2022-02.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540" w:type="dxa"/>
            <w:vAlign w:val="bottom"/>
            <w:gridSpan w:val="8"/>
          </w:tcPr>
          <w:p>
            <w:pPr>
              <w:jc w:val="center"/>
              <w:ind w:left="122"/>
              <w:spacing w:after="0"/>
              <w:rPr>
                <w:sz w:val="20"/>
                <w:szCs w:val="20"/>
                <w:color w:val="auto"/>
              </w:rPr>
            </w:pPr>
            <w:r>
              <w:rPr>
                <w:rFonts w:ascii="Arial" w:cs="Arial" w:eastAsia="Arial" w:hAnsi="Arial"/>
                <w:sz w:val="16"/>
                <w:szCs w:val="16"/>
                <w:b w:val="1"/>
                <w:bCs w:val="1"/>
                <w:color w:val="auto"/>
                <w:w w:val="97"/>
              </w:rPr>
              <w:t>Payment Status (amortized cost basis)</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98"/>
              </w:rPr>
              <w:t>30-89 Days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220"/>
              <w:spacing w:after="0" w:line="180" w:lineRule="exact"/>
              <w:rPr>
                <w:sz w:val="20"/>
                <w:szCs w:val="20"/>
                <w:color w:val="auto"/>
              </w:rPr>
            </w:pPr>
            <w:r>
              <w:rPr>
                <w:rFonts w:ascii="Arial" w:cs="Arial" w:eastAsia="Arial" w:hAnsi="Arial"/>
                <w:sz w:val="16"/>
                <w:szCs w:val="16"/>
                <w:b w:val="1"/>
                <w:bCs w:val="1"/>
                <w:color w:val="auto"/>
              </w:rPr>
              <w:t>90+ Days</w:t>
            </w:r>
          </w:p>
        </w:tc>
      </w:tr>
      <w:tr>
        <w:trPr>
          <w:trHeight w:val="206"/>
        </w:trPr>
        <w:tc>
          <w:tcPr>
            <w:tcW w:w="4240" w:type="dxa"/>
            <w:vAlign w:val="bottom"/>
          </w:tcPr>
          <w:p>
            <w:pPr>
              <w:spacing w:after="0"/>
              <w:rPr>
                <w:sz w:val="17"/>
                <w:szCs w:val="17"/>
                <w:color w:val="auto"/>
              </w:rPr>
            </w:pPr>
          </w:p>
        </w:tc>
        <w:tc>
          <w:tcPr>
            <w:tcW w:w="1240" w:type="dxa"/>
            <w:vAlign w:val="bottom"/>
          </w:tcPr>
          <w:p>
            <w:pPr>
              <w:jc w:val="right"/>
              <w:ind w:right="26"/>
              <w:spacing w:after="0"/>
              <w:rPr>
                <w:sz w:val="20"/>
                <w:szCs w:val="20"/>
                <w:color w:val="auto"/>
              </w:rPr>
            </w:pPr>
            <w:r>
              <w:rPr>
                <w:rFonts w:ascii="Arial" w:cs="Arial" w:eastAsia="Arial" w:hAnsi="Arial"/>
                <w:sz w:val="16"/>
                <w:szCs w:val="16"/>
                <w:b w:val="1"/>
                <w:bCs w:val="1"/>
                <w:color w:val="auto"/>
              </w:rPr>
              <w:t>Current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Past Due</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Past Due</w:t>
            </w:r>
          </w:p>
        </w:tc>
      </w:t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i w:val="1"/>
                <w:iCs w:val="1"/>
                <w:color w:val="auto"/>
                <w:w w:val="97"/>
              </w:rPr>
              <w:t>(Dollars in thousands)</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Commercial real estate loans</w:t>
            </w:r>
          </w:p>
        </w:tc>
        <w:tc>
          <w:tcPr>
            <w:tcW w:w="1240" w:type="dxa"/>
            <w:vAlign w:val="bottom"/>
            <w:shd w:val="clear" w:color="auto" w:fill="CFF0FC"/>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1,587</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FF0FC"/>
          </w:tcPr>
          <w:p>
            <w:pPr>
              <w:ind w:left="15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3"/>
        </w:trPr>
        <w:tc>
          <w:tcPr>
            <w:tcW w:w="4240" w:type="dxa"/>
            <w:vAlign w:val="bottom"/>
          </w:tcPr>
          <w:p>
            <w:pPr>
              <w:ind w:left="400"/>
              <w:spacing w:after="0"/>
              <w:rPr>
                <w:sz w:val="20"/>
                <w:szCs w:val="20"/>
                <w:color w:val="auto"/>
              </w:rPr>
            </w:pPr>
            <w:r>
              <w:rPr>
                <w:rFonts w:ascii="Arial" w:cs="Arial" w:eastAsia="Arial" w:hAnsi="Arial"/>
                <w:sz w:val="16"/>
                <w:szCs w:val="16"/>
                <w:color w:val="auto"/>
              </w:rPr>
              <w:t>Commercial and industrial</w:t>
            </w:r>
          </w:p>
        </w:tc>
        <w:tc>
          <w:tcPr>
            <w:tcW w:w="1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ind w:left="1280"/>
              <w:spacing w:after="0"/>
              <w:rPr>
                <w:sz w:val="20"/>
                <w:szCs w:val="20"/>
                <w:color w:val="auto"/>
              </w:rPr>
            </w:pPr>
            <w:r>
              <w:rPr>
                <w:rFonts w:ascii="Arial" w:cs="Arial" w:eastAsia="Arial" w:hAnsi="Arial"/>
                <w:sz w:val="16"/>
                <w:szCs w:val="16"/>
                <w:color w:val="auto"/>
              </w:rPr>
              <w:t>—</w:t>
            </w:r>
          </w:p>
        </w:tc>
      </w:tr>
      <w:tr>
        <w:trPr>
          <w:trHeight w:val="205"/>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Dairy &amp; livestock and agribusiness</w:t>
            </w:r>
          </w:p>
        </w:tc>
        <w:tc>
          <w:tcPr>
            <w:tcW w:w="1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1,999</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ind w:left="15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4"/>
        </w:trPr>
        <w:tc>
          <w:tcPr>
            <w:tcW w:w="4240" w:type="dxa"/>
            <w:vAlign w:val="bottom"/>
          </w:tcPr>
          <w:p>
            <w:pPr>
              <w:ind w:left="540"/>
              <w:spacing w:after="0"/>
              <w:rPr>
                <w:sz w:val="20"/>
                <w:szCs w:val="20"/>
                <w:color w:val="auto"/>
              </w:rPr>
            </w:pPr>
            <w:r>
              <w:rPr>
                <w:rFonts w:ascii="Arial" w:cs="Arial" w:eastAsia="Arial" w:hAnsi="Arial"/>
                <w:sz w:val="16"/>
                <w:szCs w:val="16"/>
                <w:b w:val="1"/>
                <w:bCs w:val="1"/>
                <w:color w:val="auto"/>
              </w:rPr>
              <w:t>Total</w:t>
            </w:r>
          </w:p>
        </w:tc>
        <w:tc>
          <w:tcPr>
            <w:tcW w:w="1240" w:type="dxa"/>
            <w:vAlign w:val="bottom"/>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5,836</w:t>
            </w:r>
          </w:p>
        </w:tc>
        <w:tc>
          <w:tcPr>
            <w:tcW w:w="1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80"/>
              <w:spacing w:after="0"/>
              <w:rPr>
                <w:sz w:val="20"/>
                <w:szCs w:val="20"/>
                <w:color w:val="auto"/>
              </w:rPr>
            </w:pPr>
            <w:r>
              <w:rPr>
                <w:rFonts w:ascii="Arial" w:cs="Arial" w:eastAsia="Arial" w:hAnsi="Arial"/>
                <w:sz w:val="16"/>
                <w:szCs w:val="16"/>
                <w:color w:val="auto"/>
              </w:rPr>
              <w:t>—</w:t>
            </w:r>
          </w:p>
        </w:tc>
      </w:tr>
      <w:tr>
        <w:trPr>
          <w:trHeight w:val="20"/>
        </w:trPr>
        <w:tc>
          <w:tcPr>
            <w:tcW w:w="4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right="260" w:firstLine="432"/>
        <w:spacing w:after="0"/>
        <w:rPr>
          <w:sz w:val="20"/>
          <w:szCs w:val="20"/>
          <w:color w:val="auto"/>
        </w:rPr>
      </w:pPr>
      <w:r>
        <w:rPr>
          <w:rFonts w:ascii="Arial" w:cs="Arial" w:eastAsia="Arial" w:hAnsi="Arial"/>
          <w:sz w:val="16"/>
          <w:szCs w:val="16"/>
          <w:color w:val="auto"/>
        </w:rPr>
        <w:t xml:space="preserve">Prior to January 1, 2023, loans reported as TDRs were considered impaired and charge-off amounts were taken on an individual loan basis, as deemed appropriate. The majority of restructured loans are loans for which the terms of repayment have been renegotiated, resulting in a reduction in interest rate or deferral of principal. Refer to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included in our Annual Report on Form 10-K for the year ended December 31, 2022 for a more detailed discussion regarding TDRs.</w:t>
      </w:r>
    </w:p>
    <w:p>
      <w:pPr>
        <w:spacing w:after="0" w:line="164" w:lineRule="exact"/>
        <w:rPr>
          <w:sz w:val="20"/>
          <w:szCs w:val="20"/>
          <w:color w:val="auto"/>
        </w:rPr>
      </w:pPr>
    </w:p>
    <w:p>
      <w:pPr>
        <w:ind w:right="80" w:firstLine="432"/>
        <w:spacing w:after="0" w:line="239" w:lineRule="auto"/>
        <w:rPr>
          <w:sz w:val="20"/>
          <w:szCs w:val="20"/>
          <w:color w:val="auto"/>
        </w:rPr>
      </w:pPr>
      <w:r>
        <w:rPr>
          <w:rFonts w:ascii="Arial" w:cs="Arial" w:eastAsia="Arial" w:hAnsi="Arial"/>
          <w:sz w:val="16"/>
          <w:szCs w:val="16"/>
          <w:color w:val="auto"/>
        </w:rPr>
        <w:t>As of December 31, 2022, there were $7.8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December 31, 2022, performing TDRs were comprised of four commercial and industrial loans of $4.8 million, one dairy &amp; livestock and agribusiness loan of $2.0 million, and five SFR mortgage loans of $1.0 million.</w:t>
      </w:r>
    </w:p>
    <w:p>
      <w:pPr>
        <w:spacing w:after="0" w:line="164" w:lineRule="exact"/>
        <w:rPr>
          <w:sz w:val="20"/>
          <w:szCs w:val="20"/>
          <w:color w:val="auto"/>
        </w:rPr>
      </w:pPr>
    </w:p>
    <w:p>
      <w:pPr>
        <w:ind w:right="260" w:firstLine="432"/>
        <w:spacing w:after="0" w:line="252" w:lineRule="auto"/>
        <w:rPr>
          <w:sz w:val="20"/>
          <w:szCs w:val="20"/>
          <w:color w:val="auto"/>
        </w:rPr>
      </w:pPr>
      <w:r>
        <w:rPr>
          <w:rFonts w:ascii="Arial" w:cs="Arial" w:eastAsia="Arial" w:hAnsi="Arial"/>
          <w:sz w:val="16"/>
          <w:szCs w:val="16"/>
          <w:color w:val="auto"/>
        </w:rPr>
        <w:t>The majority of TDRs have no specific allowance allocated as any impairment amount is normally charged off at the time the loan is considered uncollectible. We had no allocated allowance to TDRs as of December 31, 2022 and March 31, 2022.</w:t>
      </w:r>
    </w:p>
    <w:p>
      <w:pPr>
        <w:spacing w:after="0" w:line="154" w:lineRule="exact"/>
        <w:rPr>
          <w:sz w:val="20"/>
          <w:szCs w:val="20"/>
          <w:color w:val="auto"/>
        </w:rPr>
      </w:pPr>
    </w:p>
    <w:p>
      <w:pPr>
        <w:ind w:right="100" w:firstLine="432"/>
        <w:spacing w:after="0" w:line="252" w:lineRule="auto"/>
        <w:rPr>
          <w:sz w:val="20"/>
          <w:szCs w:val="20"/>
          <w:color w:val="auto"/>
        </w:rPr>
      </w:pPr>
      <w:r>
        <w:rPr>
          <w:rFonts w:ascii="Arial" w:cs="Arial" w:eastAsia="Arial" w:hAnsi="Arial"/>
          <w:sz w:val="16"/>
          <w:szCs w:val="16"/>
          <w:color w:val="auto"/>
        </w:rPr>
        <w:t>As of December 31, 2022 and March 31, 2022, there were no loans that were modified as a TDR within the previous 12 months that subsequently defaulted during the three months ended December 31, 2022 and March 31, 2022, respectively.</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40" w:orient="portrait"/>
          <w:cols w:equalWidth="0" w:num="1">
            <w:col w:w="10560"/>
          </w:cols>
          <w:pgMar w:left="660" w:top="970" w:right="680" w:bottom="1440" w:gutter="0" w:footer="0" w:header="0"/>
        </w:sectPr>
      </w:pPr>
    </w:p>
    <w:bookmarkStart w:id="25" w:name="page26"/>
    <w:bookmarkEnd w:id="25"/>
    <w:p>
      <w:pPr>
        <w:ind w:left="300" w:hanging="294"/>
        <w:spacing w:after="0"/>
        <w:tabs>
          <w:tab w:leader="none" w:pos="3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EARNINGS PER SHARE RECONCILIATION</w:t>
      </w:r>
    </w:p>
    <w:p>
      <w:pPr>
        <w:spacing w:after="0" w:line="184" w:lineRule="exact"/>
        <w:rPr>
          <w:sz w:val="20"/>
          <w:szCs w:val="20"/>
          <w:color w:val="auto"/>
        </w:rPr>
      </w:pPr>
    </w:p>
    <w:p>
      <w:pPr>
        <w:ind w:right="120" w:firstLine="432"/>
        <w:spacing w:after="0" w:line="239" w:lineRule="auto"/>
        <w:rPr>
          <w:sz w:val="20"/>
          <w:szCs w:val="20"/>
          <w:color w:val="auto"/>
        </w:rPr>
      </w:pPr>
      <w:r>
        <w:rPr>
          <w:rFonts w:ascii="Arial" w:cs="Arial" w:eastAsia="Arial" w:hAnsi="Arial"/>
          <w:sz w:val="16"/>
          <w:szCs w:val="16"/>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months ended March 31, 2023 and March 31, 2022, shares deemed to be antidilutive, and thus excluded from the computation of earnings per common share, were 348,000 and 374,000, respectively.</w:t>
      </w:r>
    </w:p>
    <w:p>
      <w:pPr>
        <w:spacing w:after="0" w:line="164" w:lineRule="exact"/>
        <w:rPr>
          <w:sz w:val="20"/>
          <w:szCs w:val="20"/>
          <w:color w:val="auto"/>
        </w:rPr>
      </w:pPr>
    </w:p>
    <w:p>
      <w:pPr>
        <w:ind w:right="280" w:firstLine="432"/>
        <w:spacing w:after="0" w:line="252" w:lineRule="auto"/>
        <w:rPr>
          <w:sz w:val="20"/>
          <w:szCs w:val="20"/>
          <w:color w:val="auto"/>
        </w:rPr>
      </w:pPr>
      <w:r>
        <w:rPr>
          <w:rFonts w:ascii="Arial" w:cs="Arial" w:eastAsia="Arial" w:hAnsi="Arial"/>
          <w:sz w:val="16"/>
          <w:szCs w:val="16"/>
          <w:color w:val="auto"/>
        </w:rPr>
        <w:t>The table below shows earnings per common share and diluted earnings per common share, and reconciles the numerator and denominator of both earnings per common share calculations.</w:t>
      </w:r>
    </w:p>
    <w:p>
      <w:pPr>
        <w:spacing w:after="0" w:line="182" w:lineRule="exact"/>
        <w:rPr>
          <w:sz w:val="20"/>
          <w:szCs w:val="20"/>
          <w:color w:val="auto"/>
        </w:rPr>
      </w:pPr>
    </w:p>
    <w:p>
      <w:pPr>
        <w:jc w:val="center"/>
        <w:ind w:left="7000"/>
        <w:spacing w:after="0"/>
        <w:rPr>
          <w:sz w:val="20"/>
          <w:szCs w:val="20"/>
          <w:color w:val="auto"/>
        </w:rPr>
      </w:pPr>
      <w:r>
        <w:rPr>
          <w:rFonts w:ascii="Arial" w:cs="Arial" w:eastAsia="Arial" w:hAnsi="Arial"/>
          <w:sz w:val="16"/>
          <w:szCs w:val="16"/>
          <w:b w:val="1"/>
          <w:bCs w:val="1"/>
          <w:color w:val="auto"/>
        </w:rPr>
        <w:t>Three Months Ended</w:t>
      </w:r>
    </w:p>
    <w:p>
      <w:pPr>
        <w:spacing w:after="0" w:line="14" w:lineRule="exact"/>
        <w:rPr>
          <w:sz w:val="20"/>
          <w:szCs w:val="20"/>
          <w:color w:val="auto"/>
        </w:rPr>
      </w:pPr>
    </w:p>
    <w:p>
      <w:pPr>
        <w:jc w:val="center"/>
        <w:ind w:left="7000"/>
        <w:spacing w:after="0"/>
        <w:rPr>
          <w:sz w:val="20"/>
          <w:szCs w:val="20"/>
          <w:color w:val="auto"/>
        </w:rPr>
      </w:pPr>
      <w:r>
        <w:rPr>
          <w:rFonts w:ascii="Arial" w:cs="Arial" w:eastAsia="Arial" w:hAnsi="Arial"/>
          <w:sz w:val="16"/>
          <w:szCs w:val="16"/>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80" w:type="dxa"/>
            <w:vAlign w:val="bottom"/>
          </w:tcPr>
          <w:p>
            <w:pPr>
              <w:spacing w:after="0"/>
              <w:rPr>
                <w:sz w:val="17"/>
                <w:szCs w:val="17"/>
                <w:color w:val="auto"/>
              </w:rPr>
            </w:pPr>
          </w:p>
        </w:tc>
        <w:tc>
          <w:tcPr>
            <w:tcW w:w="36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2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r>
      <w:tr>
        <w:trPr>
          <w:trHeight w:val="189"/>
        </w:trPr>
        <w:tc>
          <w:tcPr>
            <w:tcW w:w="4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460" w:type="dxa"/>
            <w:vAlign w:val="bottom"/>
            <w:gridSpan w:val="7"/>
          </w:tcPr>
          <w:p>
            <w:pPr>
              <w:ind w:left="360"/>
              <w:spacing w:after="0"/>
              <w:rPr>
                <w:sz w:val="20"/>
                <w:szCs w:val="20"/>
                <w:color w:val="auto"/>
              </w:rPr>
            </w:pPr>
            <w:r>
              <w:rPr>
                <w:rFonts w:ascii="Arial" w:cs="Arial" w:eastAsia="Arial" w:hAnsi="Arial"/>
                <w:sz w:val="14"/>
                <w:szCs w:val="14"/>
                <w:i w:val="1"/>
                <w:iCs w:val="1"/>
                <w:color w:val="auto"/>
              </w:rPr>
              <w:t>(In thousands, except per share amounts)</w:t>
            </w:r>
          </w:p>
        </w:tc>
      </w:tr>
      <w:tr>
        <w:trPr>
          <w:trHeight w:val="207"/>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2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38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368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59,270</w:t>
            </w:r>
          </w:p>
        </w:tc>
        <w:tc>
          <w:tcPr>
            <w:tcW w:w="6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45,560</w:t>
            </w:r>
          </w:p>
        </w:tc>
        <w:tc>
          <w:tcPr>
            <w:tcW w:w="80" w:type="dxa"/>
            <w:vAlign w:val="bottom"/>
          </w:tcPr>
          <w:p>
            <w:pPr>
              <w:spacing w:after="0"/>
              <w:rPr>
                <w:sz w:val="17"/>
                <w:szCs w:val="17"/>
                <w:color w:val="auto"/>
              </w:rPr>
            </w:pPr>
          </w:p>
        </w:tc>
      </w:tr>
      <w:tr>
        <w:trPr>
          <w:trHeight w:val="205"/>
        </w:trPr>
        <w:tc>
          <w:tcPr>
            <w:tcW w:w="43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Less: Net earnings allocated to restricted stock</w:t>
            </w:r>
          </w:p>
        </w:tc>
        <w:tc>
          <w:tcPr>
            <w:tcW w:w="2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Net earnings allocated to common shareholders</w:t>
            </w:r>
          </w:p>
        </w:tc>
        <w:tc>
          <w:tcPr>
            <w:tcW w:w="368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58,863</w:t>
            </w:r>
          </w:p>
        </w:tc>
        <w:tc>
          <w:tcPr>
            <w:tcW w:w="1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45,307</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4380" w:type="dxa"/>
            <w:vAlign w:val="bottom"/>
            <w:shd w:val="clear" w:color="auto" w:fill="CFF0FC"/>
          </w:tcPr>
          <w:p>
            <w:pPr>
              <w:ind w:left="180"/>
              <w:spacing w:after="0" w:line="180" w:lineRule="exact"/>
              <w:rPr>
                <w:sz w:val="20"/>
                <w:szCs w:val="20"/>
                <w:color w:val="auto"/>
              </w:rPr>
            </w:pPr>
            <w:r>
              <w:rPr>
                <w:rFonts w:ascii="Arial" w:cs="Arial" w:eastAsia="Arial" w:hAnsi="Arial"/>
                <w:sz w:val="16"/>
                <w:szCs w:val="16"/>
                <w:color w:val="auto"/>
              </w:rPr>
              <w:t>Weighted average shares outstanding</w:t>
            </w:r>
          </w:p>
        </w:tc>
        <w:tc>
          <w:tcPr>
            <w:tcW w:w="27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6"/>
              </w:rPr>
              <w:t>138,592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144,725</w:t>
            </w:r>
          </w:p>
        </w:tc>
        <w:tc>
          <w:tcPr>
            <w:tcW w:w="80" w:type="dxa"/>
            <w:vAlign w:val="bottom"/>
            <w:shd w:val="clear" w:color="auto" w:fill="CFF0FC"/>
          </w:tcPr>
          <w:p>
            <w:pPr>
              <w:spacing w:after="0"/>
              <w:rPr>
                <w:sz w:val="15"/>
                <w:szCs w:val="15"/>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Basic earnings per common share</w:t>
            </w:r>
          </w:p>
        </w:tc>
        <w:tc>
          <w:tcPr>
            <w:tcW w:w="368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0.31</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43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2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Net income allocated to common shareholders</w:t>
            </w:r>
          </w:p>
        </w:tc>
        <w:tc>
          <w:tcPr>
            <w:tcW w:w="368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58,863</w:t>
            </w:r>
          </w:p>
        </w:tc>
        <w:tc>
          <w:tcPr>
            <w:tcW w:w="1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45,307</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4380" w:type="dxa"/>
            <w:vAlign w:val="bottom"/>
            <w:shd w:val="clear" w:color="auto" w:fill="CFF0FC"/>
          </w:tcPr>
          <w:p>
            <w:pPr>
              <w:ind w:left="340"/>
              <w:spacing w:after="0" w:line="180" w:lineRule="exact"/>
              <w:rPr>
                <w:sz w:val="20"/>
                <w:szCs w:val="20"/>
                <w:color w:val="auto"/>
              </w:rPr>
            </w:pPr>
            <w:r>
              <w:rPr>
                <w:rFonts w:ascii="Arial" w:cs="Arial" w:eastAsia="Arial" w:hAnsi="Arial"/>
                <w:sz w:val="16"/>
                <w:szCs w:val="16"/>
                <w:color w:val="auto"/>
              </w:rPr>
              <w:t>Weighted average shares outstanding</w:t>
            </w:r>
          </w:p>
        </w:tc>
        <w:tc>
          <w:tcPr>
            <w:tcW w:w="27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6"/>
              </w:rPr>
              <w:t>138,592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144,725</w:t>
            </w:r>
          </w:p>
        </w:tc>
        <w:tc>
          <w:tcPr>
            <w:tcW w:w="80" w:type="dxa"/>
            <w:vAlign w:val="bottom"/>
            <w:shd w:val="clear" w:color="auto" w:fill="CFF0FC"/>
          </w:tcPr>
          <w:p>
            <w:pPr>
              <w:spacing w:after="0"/>
              <w:rPr>
                <w:sz w:val="15"/>
                <w:szCs w:val="15"/>
                <w:color w:val="auto"/>
              </w:rPr>
            </w:pPr>
          </w:p>
        </w:tc>
      </w:tr>
      <w:tr>
        <w:trPr>
          <w:trHeight w:val="185"/>
        </w:trPr>
        <w:tc>
          <w:tcPr>
            <w:tcW w:w="4380" w:type="dxa"/>
            <w:vAlign w:val="bottom"/>
          </w:tcPr>
          <w:p>
            <w:pPr>
              <w:ind w:left="340"/>
              <w:spacing w:after="0"/>
              <w:rPr>
                <w:sz w:val="20"/>
                <w:szCs w:val="20"/>
                <w:color w:val="auto"/>
              </w:rPr>
            </w:pPr>
            <w:r>
              <w:rPr>
                <w:rFonts w:ascii="Arial" w:cs="Arial" w:eastAsia="Arial" w:hAnsi="Arial"/>
                <w:sz w:val="16"/>
                <w:szCs w:val="16"/>
                <w:color w:val="auto"/>
              </w:rPr>
              <w:t>Incremental shares from assumed exercise of</w:t>
            </w:r>
          </w:p>
        </w:tc>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4380" w:type="dxa"/>
            <w:vAlign w:val="bottom"/>
          </w:tcPr>
          <w:p>
            <w:pPr>
              <w:ind w:left="460"/>
              <w:spacing w:after="0"/>
              <w:rPr>
                <w:sz w:val="20"/>
                <w:szCs w:val="20"/>
                <w:color w:val="auto"/>
              </w:rPr>
            </w:pPr>
            <w:r>
              <w:rPr>
                <w:rFonts w:ascii="Arial" w:cs="Arial" w:eastAsia="Arial" w:hAnsi="Arial"/>
                <w:sz w:val="16"/>
                <w:szCs w:val="16"/>
                <w:color w:val="auto"/>
              </w:rPr>
              <w:t>outstanding options</w:t>
            </w:r>
          </w:p>
        </w:tc>
        <w:tc>
          <w:tcPr>
            <w:tcW w:w="2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w:t>
            </w:r>
          </w:p>
        </w:tc>
        <w:tc>
          <w:tcPr>
            <w:tcW w:w="80" w:type="dxa"/>
            <w:vAlign w:val="bottom"/>
          </w:tcPr>
          <w:p>
            <w:pPr>
              <w:spacing w:after="0"/>
              <w:rPr>
                <w:sz w:val="17"/>
                <w:szCs w:val="17"/>
                <w:color w:val="auto"/>
              </w:rPr>
            </w:pPr>
          </w:p>
        </w:tc>
      </w:tr>
      <w:tr>
        <w:trPr>
          <w:trHeight w:val="205"/>
        </w:trPr>
        <w:tc>
          <w:tcPr>
            <w:tcW w:w="43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Diluted weighted average shares outstanding</w:t>
            </w:r>
          </w:p>
        </w:tc>
        <w:tc>
          <w:tcPr>
            <w:tcW w:w="2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138,953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145,019</w:t>
            </w:r>
          </w:p>
        </w:tc>
        <w:tc>
          <w:tcPr>
            <w:tcW w:w="8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Diluted earnings per common share</w:t>
            </w:r>
          </w:p>
        </w:tc>
        <w:tc>
          <w:tcPr>
            <w:tcW w:w="368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0.31</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6"/>
        </w:trPr>
        <w:tc>
          <w:tcPr>
            <w:tcW w:w="4380" w:type="dxa"/>
            <w:vAlign w:val="bottom"/>
          </w:tcPr>
          <w:p>
            <w:pPr>
              <w:spacing w:after="0"/>
              <w:rPr>
                <w:sz w:val="24"/>
                <w:szCs w:val="24"/>
                <w:color w:val="auto"/>
              </w:rPr>
            </w:pPr>
          </w:p>
        </w:tc>
        <w:tc>
          <w:tcPr>
            <w:tcW w:w="2720" w:type="dxa"/>
            <w:vAlign w:val="bottom"/>
          </w:tcPr>
          <w:p>
            <w:pPr>
              <w:jc w:val="right"/>
              <w:ind w:right="1642"/>
              <w:spacing w:after="0"/>
              <w:rPr>
                <w:sz w:val="20"/>
                <w:szCs w:val="20"/>
                <w:color w:val="auto"/>
              </w:rPr>
            </w:pPr>
            <w:r>
              <w:rPr>
                <w:rFonts w:ascii="Arial" w:cs="Arial" w:eastAsia="Arial" w:hAnsi="Arial"/>
                <w:sz w:val="16"/>
                <w:szCs w:val="16"/>
                <w:color w:val="auto"/>
              </w:rPr>
              <w:t>27</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4380" w:type="dxa"/>
            <w:vAlign w:val="bottom"/>
            <w:tcBorders>
              <w:bottom w:val="single" w:sz="8" w:color="EEEEEE"/>
            </w:tcBorders>
          </w:tcPr>
          <w:p>
            <w:pPr>
              <w:spacing w:after="0"/>
              <w:rPr>
                <w:sz w:val="24"/>
                <w:szCs w:val="24"/>
                <w:color w:val="auto"/>
              </w:rPr>
            </w:pPr>
          </w:p>
        </w:tc>
        <w:tc>
          <w:tcPr>
            <w:tcW w:w="27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ectPr>
          <w:pgSz w:w="11900" w:h="16840" w:orient="portrait"/>
          <w:cols w:equalWidth="0" w:num="1">
            <w:col w:w="10560"/>
          </w:cols>
          <w:pgMar w:left="660" w:top="782" w:right="680" w:bottom="1440" w:gutter="0" w:footer="0" w:header="0"/>
        </w:sectPr>
      </w:pPr>
    </w:p>
    <w:bookmarkStart w:id="26" w:name="page27"/>
    <w:bookmarkEnd w:id="26"/>
    <w:p>
      <w:pPr>
        <w:ind w:left="300" w:hanging="294"/>
        <w:spacing w:after="0"/>
        <w:tabs>
          <w:tab w:leader="none" w:pos="3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FAIR VALUE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Hierarchy</w:t>
      </w:r>
    </w:p>
    <w:p>
      <w:pPr>
        <w:spacing w:after="0" w:line="184" w:lineRule="exact"/>
        <w:rPr>
          <w:sz w:val="20"/>
          <w:szCs w:val="20"/>
          <w:color w:val="auto"/>
        </w:rPr>
      </w:pPr>
    </w:p>
    <w:p>
      <w:pPr>
        <w:ind w:right="160" w:firstLine="432"/>
        <w:spacing w:after="0" w:line="252" w:lineRule="auto"/>
        <w:rPr>
          <w:sz w:val="20"/>
          <w:szCs w:val="20"/>
          <w:color w:val="auto"/>
        </w:rPr>
      </w:pPr>
      <w:r>
        <w:rPr>
          <w:rFonts w:ascii="Arial" w:cs="Arial" w:eastAsia="Arial" w:hAnsi="Arial"/>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54" w:lineRule="exact"/>
        <w:rPr>
          <w:sz w:val="20"/>
          <w:szCs w:val="20"/>
          <w:color w:val="auto"/>
        </w:rPr>
      </w:pPr>
    </w:p>
    <w:p>
      <w:pPr>
        <w:ind w:right="60" w:firstLine="432"/>
        <w:spacing w:after="0" w:line="252" w:lineRule="auto"/>
        <w:rPr>
          <w:sz w:val="20"/>
          <w:szCs w:val="20"/>
          <w:color w:val="auto"/>
        </w:rPr>
      </w:pPr>
      <w:r>
        <w:rPr>
          <w:rFonts w:ascii="Arial" w:cs="Arial" w:eastAsia="Arial" w:hAnsi="Arial"/>
          <w:sz w:val="16"/>
          <w:szCs w:val="16"/>
          <w:color w:val="auto"/>
        </w:rPr>
        <w:t xml:space="preserve">The valuation methodologies for financial assets and liabilities measured at fair value on a recurring and non-recurring basis are described in Note 19 — </w:t>
      </w:r>
      <w:r>
        <w:rPr>
          <w:rFonts w:ascii="Arial" w:cs="Arial" w:eastAsia="Arial" w:hAnsi="Arial"/>
          <w:sz w:val="16"/>
          <w:szCs w:val="16"/>
          <w:i w:val="1"/>
          <w:iCs w:val="1"/>
          <w:color w:val="auto"/>
        </w:rPr>
        <w:t>Fair Value Information,</w:t>
      </w:r>
      <w:r>
        <w:rPr>
          <w:rFonts w:ascii="Arial" w:cs="Arial" w:eastAsia="Arial" w:hAnsi="Arial"/>
          <w:sz w:val="16"/>
          <w:szCs w:val="16"/>
          <w:color w:val="auto"/>
        </w:rPr>
        <w:t xml:space="preserve"> included in our Annual Report on Form 10-K for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Assets and Liabilities Measured at Fair Value on a Recurring Basis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tables below present the balances of assets and liabilities measured at fair value on a recurring basis as of the dates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Quoted Prices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Active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 for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 at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Identical Assets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7"/>
          </w:tcPr>
          <w:p>
            <w:pPr>
              <w:ind w:left="860"/>
              <w:spacing w:after="0"/>
              <w:rPr>
                <w:sz w:val="20"/>
                <w:szCs w:val="20"/>
                <w:color w:val="auto"/>
              </w:rPr>
            </w:pPr>
            <w:r>
              <w:rPr>
                <w:rFonts w:ascii="Arial" w:cs="Arial" w:eastAsia="Arial" w:hAnsi="Arial"/>
                <w:sz w:val="13"/>
                <w:szCs w:val="13"/>
                <w:i w:val="1"/>
                <w:iCs w:val="1"/>
                <w:color w:val="auto"/>
              </w:rPr>
              <w:t>(Dollars in thousands)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Description of assets</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180"/>
              <w:spacing w:after="0"/>
              <w:rPr>
                <w:sz w:val="20"/>
                <w:szCs w:val="20"/>
                <w:color w:val="auto"/>
              </w:rPr>
            </w:pPr>
            <w:r>
              <w:rPr>
                <w:rFonts w:ascii="Arial" w:cs="Arial" w:eastAsia="Arial" w:hAnsi="Arial"/>
                <w:sz w:val="14"/>
                <w:szCs w:val="14"/>
                <w:color w:val="auto"/>
              </w:rPr>
              <w:t>Investment securities - AFS: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Mortgage-backed securities</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2,747,865</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2,747,865</w:t>
            </w:r>
          </w:p>
        </w:tc>
        <w:tc>
          <w:tcPr>
            <w:tcW w:w="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tcPr>
          <w:p>
            <w:pPr>
              <w:ind w:left="260"/>
              <w:spacing w:after="0"/>
              <w:rPr>
                <w:sz w:val="20"/>
                <w:szCs w:val="20"/>
                <w:color w:val="auto"/>
              </w:rPr>
            </w:pPr>
            <w:r>
              <w:rPr>
                <w:rFonts w:ascii="Arial" w:cs="Arial" w:eastAsia="Arial" w:hAnsi="Arial"/>
                <w:sz w:val="14"/>
                <w:szCs w:val="14"/>
                <w:color w:val="auto"/>
              </w:rPr>
              <w:t>CMO/REMIC</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429,422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429,422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Municipal bonds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26,158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26,158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420" w:type="dxa"/>
            <w:vAlign w:val="bottom"/>
            <w:vMerge w:val="restart"/>
          </w:tcPr>
          <w:p>
            <w:pPr>
              <w:ind w:left="260"/>
              <w:spacing w:after="0"/>
              <w:rPr>
                <w:sz w:val="20"/>
                <w:szCs w:val="20"/>
                <w:color w:val="auto"/>
              </w:rPr>
            </w:pPr>
            <w:r>
              <w:rPr>
                <w:rFonts w:ascii="Arial" w:cs="Arial" w:eastAsia="Arial" w:hAnsi="Arial"/>
                <w:sz w:val="14"/>
                <w:szCs w:val="14"/>
                <w:color w:val="auto"/>
              </w:rPr>
              <w:t>Other securities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34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3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investment securities - AFS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3,204,524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3,204,524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tcPr>
          <w:p>
            <w:pPr>
              <w:jc w:val="center"/>
              <w:ind w:right="1788"/>
              <w:spacing w:after="0"/>
              <w:rPr>
                <w:sz w:val="20"/>
                <w:szCs w:val="20"/>
                <w:color w:val="auto"/>
              </w:rPr>
            </w:pPr>
            <w:r>
              <w:rPr>
                <w:rFonts w:ascii="Arial" w:cs="Arial" w:eastAsia="Arial" w:hAnsi="Arial"/>
                <w:sz w:val="14"/>
                <w:szCs w:val="14"/>
                <w:color w:val="auto"/>
              </w:rPr>
              <w:t>Interest rate swaps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5"/>
        </w:trPr>
        <w:tc>
          <w:tcPr>
            <w:tcW w:w="3420" w:type="dxa"/>
            <w:vAlign w:val="bottom"/>
            <w:shd w:val="clear" w:color="auto" w:fill="CFF0FC"/>
          </w:tcPr>
          <w:p>
            <w:pPr>
              <w:jc w:val="center"/>
              <w:ind w:right="1748"/>
              <w:spacing w:after="0"/>
              <w:rPr>
                <w:sz w:val="20"/>
                <w:szCs w:val="20"/>
                <w:color w:val="auto"/>
              </w:rPr>
            </w:pPr>
            <w:r>
              <w:rPr>
                <w:rFonts w:ascii="Arial" w:cs="Arial" w:eastAsia="Arial" w:hAnsi="Arial"/>
                <w:sz w:val="14"/>
                <w:szCs w:val="14"/>
                <w:color w:val="auto"/>
              </w:rPr>
              <w:t>Total assets</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3,204,659</w:t>
            </w:r>
          </w:p>
        </w:tc>
        <w:tc>
          <w:tcPr>
            <w:tcW w:w="1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3,204,659</w:t>
            </w:r>
          </w:p>
        </w:tc>
        <w:tc>
          <w:tcPr>
            <w:tcW w:w="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3420" w:type="dxa"/>
            <w:vAlign w:val="bottom"/>
            <w:tcBorders>
              <w:top w:val="single" w:sz="8" w:color="CFF0FC"/>
            </w:tcBorders>
          </w:tcPr>
          <w:p>
            <w:pPr>
              <w:jc w:val="center"/>
              <w:ind w:right="1808"/>
              <w:spacing w:after="0"/>
              <w:rPr>
                <w:sz w:val="20"/>
                <w:szCs w:val="20"/>
                <w:color w:val="auto"/>
              </w:rPr>
            </w:pPr>
            <w:r>
              <w:rPr>
                <w:rFonts w:ascii="Arial" w:cs="Arial" w:eastAsia="Arial" w:hAnsi="Arial"/>
                <w:sz w:val="14"/>
                <w:szCs w:val="14"/>
                <w:b w:val="1"/>
                <w:bCs w:val="1"/>
                <w:color w:val="auto"/>
              </w:rPr>
              <w:t>Description of liability</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20" w:type="dxa"/>
            <w:vAlign w:val="bottom"/>
            <w:shd w:val="clear" w:color="auto" w:fill="CFF0FC"/>
          </w:tcPr>
          <w:p>
            <w:pPr>
              <w:jc w:val="center"/>
              <w:ind w:right="1788"/>
              <w:spacing w:after="0"/>
              <w:rPr>
                <w:sz w:val="20"/>
                <w:szCs w:val="20"/>
                <w:color w:val="auto"/>
              </w:rPr>
            </w:pPr>
            <w:r>
              <w:rPr>
                <w:rFonts w:ascii="Arial" w:cs="Arial" w:eastAsia="Arial" w:hAnsi="Arial"/>
                <w:sz w:val="14"/>
                <w:szCs w:val="14"/>
                <w:color w:val="auto"/>
              </w:rPr>
              <w:t>Interest rate swaps</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42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44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Quoted Prices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Active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 for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 Value at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Identical Assets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7"/>
          </w:tcPr>
          <w:p>
            <w:pPr>
              <w:ind w:left="880"/>
              <w:spacing w:after="0"/>
              <w:rPr>
                <w:sz w:val="20"/>
                <w:szCs w:val="20"/>
                <w:color w:val="auto"/>
              </w:rPr>
            </w:pPr>
            <w:r>
              <w:rPr>
                <w:rFonts w:ascii="Arial" w:cs="Arial" w:eastAsia="Arial" w:hAnsi="Arial"/>
                <w:sz w:val="13"/>
                <w:szCs w:val="13"/>
                <w:i w:val="1"/>
                <w:iCs w:val="1"/>
                <w:color w:val="auto"/>
              </w:rPr>
              <w:t>(Dollars in thousands)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Description of assets</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180"/>
              <w:spacing w:after="0"/>
              <w:rPr>
                <w:sz w:val="20"/>
                <w:szCs w:val="20"/>
                <w:color w:val="auto"/>
              </w:rPr>
            </w:pPr>
            <w:r>
              <w:rPr>
                <w:rFonts w:ascii="Arial" w:cs="Arial" w:eastAsia="Arial" w:hAnsi="Arial"/>
                <w:sz w:val="14"/>
                <w:szCs w:val="14"/>
                <w:color w:val="auto"/>
              </w:rPr>
              <w:t>Investment securities - AFS: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Mortgage-backed securities</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2,789,141</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2,789,141</w:t>
            </w:r>
          </w:p>
        </w:tc>
        <w:tc>
          <w:tcPr>
            <w:tcW w:w="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tcPr>
          <w:p>
            <w:pPr>
              <w:ind w:left="260"/>
              <w:spacing w:after="0"/>
              <w:rPr>
                <w:sz w:val="20"/>
                <w:szCs w:val="20"/>
                <w:color w:val="auto"/>
              </w:rPr>
            </w:pPr>
            <w:r>
              <w:rPr>
                <w:rFonts w:ascii="Arial" w:cs="Arial" w:eastAsia="Arial" w:hAnsi="Arial"/>
                <w:sz w:val="14"/>
                <w:szCs w:val="14"/>
                <w:color w:val="auto"/>
              </w:rPr>
              <w:t>CMO/REMIC</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439,303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439,303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420" w:type="dxa"/>
            <w:vAlign w:val="bottom"/>
            <w:shd w:val="clear" w:color="auto" w:fill="CFF0FC"/>
          </w:tcPr>
          <w:p>
            <w:pPr>
              <w:jc w:val="center"/>
              <w:ind w:right="1788"/>
              <w:spacing w:after="0"/>
              <w:rPr>
                <w:sz w:val="20"/>
                <w:szCs w:val="20"/>
                <w:color w:val="auto"/>
              </w:rPr>
            </w:pPr>
            <w:r>
              <w:rPr>
                <w:rFonts w:ascii="Arial" w:cs="Arial" w:eastAsia="Arial" w:hAnsi="Arial"/>
                <w:sz w:val="14"/>
                <w:szCs w:val="14"/>
                <w:color w:val="auto"/>
              </w:rPr>
              <w:t>Municipal bonds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25,687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25,687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tcPr>
          <w:p>
            <w:pPr>
              <w:jc w:val="center"/>
              <w:ind w:right="1828"/>
              <w:spacing w:after="0"/>
              <w:rPr>
                <w:sz w:val="20"/>
                <w:szCs w:val="20"/>
                <w:color w:val="auto"/>
              </w:rPr>
            </w:pPr>
            <w:r>
              <w:rPr>
                <w:rFonts w:ascii="Arial" w:cs="Arial" w:eastAsia="Arial" w:hAnsi="Arial"/>
                <w:sz w:val="14"/>
                <w:szCs w:val="14"/>
                <w:color w:val="auto"/>
              </w:rPr>
              <w:t>Other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investment securities - AFS</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3,255,211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3,255,211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20" w:type="dxa"/>
            <w:vAlign w:val="bottom"/>
          </w:tcPr>
          <w:p>
            <w:pPr>
              <w:jc w:val="center"/>
              <w:ind w:right="1788"/>
              <w:spacing w:after="0"/>
              <w:rPr>
                <w:sz w:val="20"/>
                <w:szCs w:val="20"/>
                <w:color w:val="auto"/>
              </w:rPr>
            </w:pPr>
            <w:r>
              <w:rPr>
                <w:rFonts w:ascii="Arial" w:cs="Arial" w:eastAsia="Arial" w:hAnsi="Arial"/>
                <w:sz w:val="14"/>
                <w:szCs w:val="14"/>
                <w:color w:val="auto"/>
              </w:rPr>
              <w:t>Interest rate swaps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5"/>
        </w:trPr>
        <w:tc>
          <w:tcPr>
            <w:tcW w:w="3420" w:type="dxa"/>
            <w:vAlign w:val="bottom"/>
            <w:shd w:val="clear" w:color="auto" w:fill="CFF0FC"/>
          </w:tcPr>
          <w:p>
            <w:pPr>
              <w:jc w:val="center"/>
              <w:ind w:right="1748"/>
              <w:spacing w:after="0"/>
              <w:rPr>
                <w:sz w:val="20"/>
                <w:szCs w:val="20"/>
                <w:color w:val="auto"/>
              </w:rPr>
            </w:pPr>
            <w:r>
              <w:rPr>
                <w:rFonts w:ascii="Arial" w:cs="Arial" w:eastAsia="Arial" w:hAnsi="Arial"/>
                <w:sz w:val="14"/>
                <w:szCs w:val="14"/>
                <w:color w:val="auto"/>
              </w:rPr>
              <w:t>Total assets</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3,255,293</w:t>
            </w:r>
          </w:p>
        </w:tc>
        <w:tc>
          <w:tcPr>
            <w:tcW w:w="1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3,255,293</w:t>
            </w:r>
          </w:p>
        </w:tc>
        <w:tc>
          <w:tcPr>
            <w:tcW w:w="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3420" w:type="dxa"/>
            <w:vAlign w:val="bottom"/>
            <w:tcBorders>
              <w:top w:val="single" w:sz="8" w:color="CFF0FC"/>
            </w:tcBorders>
          </w:tcPr>
          <w:p>
            <w:pPr>
              <w:jc w:val="center"/>
              <w:ind w:right="1808"/>
              <w:spacing w:after="0"/>
              <w:rPr>
                <w:sz w:val="20"/>
                <w:szCs w:val="20"/>
                <w:color w:val="auto"/>
              </w:rPr>
            </w:pPr>
            <w:r>
              <w:rPr>
                <w:rFonts w:ascii="Arial" w:cs="Arial" w:eastAsia="Arial" w:hAnsi="Arial"/>
                <w:sz w:val="14"/>
                <w:szCs w:val="14"/>
                <w:b w:val="1"/>
                <w:bCs w:val="1"/>
                <w:color w:val="auto"/>
              </w:rPr>
              <w:t>Description of liability</w:t>
            </w:r>
          </w:p>
        </w:tc>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jc w:val="center"/>
              <w:ind w:right="1788"/>
              <w:spacing w:after="0"/>
              <w:rPr>
                <w:sz w:val="20"/>
                <w:szCs w:val="20"/>
                <w:color w:val="auto"/>
              </w:rPr>
            </w:pPr>
            <w:r>
              <w:rPr>
                <w:rFonts w:ascii="Arial" w:cs="Arial" w:eastAsia="Arial" w:hAnsi="Arial"/>
                <w:sz w:val="14"/>
                <w:szCs w:val="14"/>
                <w:color w:val="auto"/>
              </w:rPr>
              <w:t>Interest rate swaps</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42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7"/>
                <w:szCs w:val="17"/>
                <w:color w:val="auto"/>
              </w:rPr>
            </w:pPr>
          </w:p>
        </w:tc>
        <w:tc>
          <w:tcPr>
            <w:tcW w:w="44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4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4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782" w:right="680"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Assets and Liabilities Measured at Fair Value on a Non-Recurring Basis</w:t>
      </w:r>
    </w:p>
    <w:p>
      <w:pPr>
        <w:spacing w:after="0" w:line="184" w:lineRule="exact"/>
        <w:rPr>
          <w:sz w:val="20"/>
          <w:szCs w:val="20"/>
          <w:color w:val="auto"/>
        </w:rPr>
      </w:pPr>
    </w:p>
    <w:p>
      <w:pPr>
        <w:ind w:right="260" w:firstLine="432"/>
        <w:spacing w:after="0" w:line="252" w:lineRule="auto"/>
        <w:rPr>
          <w:sz w:val="20"/>
          <w:szCs w:val="20"/>
          <w:color w:val="auto"/>
        </w:rPr>
      </w:pPr>
      <w:r>
        <w:rPr>
          <w:rFonts w:ascii="Arial" w:cs="Arial" w:eastAsia="Arial" w:hAnsi="Arial"/>
          <w:sz w:val="16"/>
          <w:szCs w:val="16"/>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54" w:lineRule="exact"/>
        <w:rPr>
          <w:sz w:val="20"/>
          <w:szCs w:val="20"/>
          <w:color w:val="auto"/>
        </w:rPr>
      </w:pPr>
    </w:p>
    <w:p>
      <w:pPr>
        <w:ind w:right="380" w:firstLine="432"/>
        <w:spacing w:after="0" w:line="243" w:lineRule="auto"/>
        <w:rPr>
          <w:sz w:val="20"/>
          <w:szCs w:val="20"/>
          <w:color w:val="auto"/>
        </w:rPr>
      </w:pPr>
      <w:r>
        <w:rPr>
          <w:rFonts w:ascii="Arial" w:cs="Arial" w:eastAsia="Arial" w:hAnsi="Arial"/>
          <w:sz w:val="16"/>
          <w:szCs w:val="16"/>
          <w:color w:val="auto"/>
        </w:rPr>
        <w:t>For assets measured at fair value on a non- recurring basis that were held on the balance sheet at March 31, 2023 and December 31, 2022, respectively, the following tables provide the level of valuation assumptions used to determine each adjustment and the carrying value of the related assets that had losses during the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Quoted Prices in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Active Markets for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Significant Other</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ind w:left="60"/>
              <w:spacing w:after="0"/>
              <w:rPr>
                <w:sz w:val="20"/>
                <w:szCs w:val="20"/>
                <w:color w:val="auto"/>
              </w:rPr>
            </w:pPr>
            <w:r>
              <w:rPr>
                <w:rFonts w:ascii="Arial" w:cs="Arial" w:eastAsia="Arial" w:hAnsi="Arial"/>
                <w:sz w:val="13"/>
                <w:szCs w:val="13"/>
                <w:b w:val="1"/>
                <w:bCs w:val="1"/>
                <w:color w:val="auto"/>
              </w:rPr>
              <w:t>Total Losses For the</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Carrying Value at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Identical Assets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Observable Inputs</w:t>
            </w:r>
          </w:p>
        </w:tc>
        <w:tc>
          <w:tcPr>
            <w:tcW w:w="160" w:type="dxa"/>
            <w:vAlign w:val="bottom"/>
          </w:tcPr>
          <w:p>
            <w:pPr>
              <w:spacing w:after="0"/>
              <w:rPr>
                <w:sz w:val="13"/>
                <w:szCs w:val="13"/>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Unobservable Inputs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ind w:left="6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ind w:left="80"/>
              <w:spacing w:after="0"/>
              <w:rPr>
                <w:sz w:val="20"/>
                <w:szCs w:val="20"/>
                <w:color w:val="auto"/>
              </w:rPr>
            </w:pPr>
            <w:r>
              <w:rPr>
                <w:rFonts w:ascii="Arial" w:cs="Arial" w:eastAsia="Arial" w:hAnsi="Arial"/>
                <w:sz w:val="13"/>
                <w:szCs w:val="13"/>
                <w:b w:val="1"/>
                <w:bCs w:val="1"/>
                <w:color w:val="auto"/>
              </w:rPr>
              <w:t>March 31, 2023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ind w:left="80"/>
              <w:spacing w:after="0"/>
              <w:rPr>
                <w:sz w:val="20"/>
                <w:szCs w:val="20"/>
                <w:color w:val="auto"/>
              </w:rPr>
            </w:pPr>
            <w:r>
              <w:rPr>
                <w:rFonts w:ascii="Arial" w:cs="Arial" w:eastAsia="Arial" w:hAnsi="Arial"/>
                <w:sz w:val="13"/>
                <w:szCs w:val="13"/>
                <w:b w:val="1"/>
                <w:bCs w:val="1"/>
                <w:color w:val="auto"/>
              </w:rPr>
              <w:t>March 31, 2023</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2"/>
                <w:szCs w:val="12"/>
                <w:i w:val="1"/>
                <w:iCs w:val="1"/>
                <w:color w:val="auto"/>
                <w:w w:val="99"/>
              </w:rPr>
              <w:t>(Dollars in thousands)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Description of assets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480" w:type="dxa"/>
            <w:vAlign w:val="bottom"/>
          </w:tcPr>
          <w:p>
            <w:pPr>
              <w:ind w:left="40"/>
              <w:spacing w:after="0"/>
              <w:rPr>
                <w:sz w:val="20"/>
                <w:szCs w:val="20"/>
                <w:color w:val="auto"/>
              </w:rPr>
            </w:pPr>
            <w:r>
              <w:rPr>
                <w:rFonts w:ascii="Arial" w:cs="Arial" w:eastAsia="Arial" w:hAnsi="Arial"/>
                <w:sz w:val="13"/>
                <w:szCs w:val="13"/>
                <w:color w:val="auto"/>
              </w:rPr>
              <w:t>Loans: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Commercial real estate</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1,587</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1,587</w:t>
            </w:r>
          </w:p>
        </w:tc>
        <w:tc>
          <w:tcPr>
            <w:tcW w:w="10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Construction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0" w:type="dxa"/>
            <w:vAlign w:val="bottom"/>
            <w:shd w:val="clear" w:color="auto" w:fill="CFF0FC"/>
          </w:tcPr>
          <w:p>
            <w:pPr>
              <w:spacing w:after="0"/>
              <w:rPr>
                <w:sz w:val="17"/>
                <w:szCs w:val="17"/>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SBA</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470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SBA - PPP</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0" w:type="dxa"/>
            <w:vAlign w:val="bottom"/>
            <w:shd w:val="clear" w:color="auto" w:fill="CFF0FC"/>
          </w:tcPr>
          <w:p>
            <w:pPr>
              <w:spacing w:after="0"/>
              <w:rPr>
                <w:sz w:val="17"/>
                <w:szCs w:val="17"/>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Commercial and industrial</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2,338</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2,338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1,056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Dairy &amp; livestock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vMerge w:val="restart"/>
          </w:tcPr>
          <w:p>
            <w:pPr>
              <w:ind w:left="1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vMerge w:val="restart"/>
          </w:tcPr>
          <w:p>
            <w:pPr>
              <w:ind w:left="1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480" w:type="dxa"/>
            <w:vAlign w:val="bottom"/>
          </w:tcPr>
          <w:p>
            <w:pPr>
              <w:jc w:val="center"/>
              <w:ind w:right="1074"/>
              <w:spacing w:after="0"/>
              <w:rPr>
                <w:sz w:val="20"/>
                <w:szCs w:val="20"/>
                <w:color w:val="auto"/>
              </w:rPr>
            </w:pPr>
            <w:r>
              <w:rPr>
                <w:rFonts w:ascii="Arial" w:cs="Arial" w:eastAsia="Arial" w:hAnsi="Arial"/>
                <w:sz w:val="13"/>
                <w:szCs w:val="13"/>
                <w:color w:val="auto"/>
              </w:rPr>
              <w:t>agribusiness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CFF0FC"/>
          </w:tcPr>
          <w:p>
            <w:pPr>
              <w:spacing w:after="0"/>
              <w:rPr>
                <w:sz w:val="14"/>
                <w:szCs w:val="14"/>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Municipal lease finance</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gridSpan w:val="3"/>
            <w:vMerge w:val="restart"/>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3"/>
            <w:vMerge w:val="restart"/>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0" w:type="dxa"/>
            <w:vAlign w:val="bottom"/>
            <w:shd w:val="clear" w:color="auto" w:fill="CFF0FC"/>
          </w:tcPr>
          <w:p>
            <w:pPr>
              <w:spacing w:after="0"/>
              <w:rPr>
                <w:sz w:val="15"/>
                <w:szCs w:val="15"/>
                <w:color w:val="auto"/>
              </w:rPr>
            </w:pPr>
          </w:p>
        </w:tc>
        <w:tc>
          <w:tcPr>
            <w:tcW w:w="24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receivables</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gridSpan w:val="3"/>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3"/>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gridSpan w:val="3"/>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3"/>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SFR mortgage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0" w:type="dxa"/>
            <w:vAlign w:val="bottom"/>
            <w:shd w:val="clear" w:color="auto" w:fill="CFF0FC"/>
          </w:tcPr>
          <w:p>
            <w:pPr>
              <w:spacing w:after="0"/>
              <w:rPr>
                <w:sz w:val="17"/>
                <w:szCs w:val="17"/>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Consumer and other loans</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40"/>
              <w:spacing w:after="0"/>
              <w:rPr>
                <w:sz w:val="20"/>
                <w:szCs w:val="20"/>
                <w:color w:val="auto"/>
              </w:rPr>
            </w:pPr>
            <w:r>
              <w:rPr>
                <w:rFonts w:ascii="Arial" w:cs="Arial" w:eastAsia="Arial" w:hAnsi="Arial"/>
                <w:sz w:val="13"/>
                <w:szCs w:val="13"/>
                <w:color w:val="auto"/>
              </w:rPr>
              <w:t>Other real estate owned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0" w:type="dxa"/>
            <w:vAlign w:val="bottom"/>
            <w:shd w:val="clear" w:color="auto" w:fill="CFF0FC"/>
          </w:tcPr>
          <w:p>
            <w:pPr>
              <w:spacing w:after="0"/>
              <w:rPr>
                <w:sz w:val="17"/>
                <w:szCs w:val="17"/>
                <w:color w:val="auto"/>
              </w:rPr>
            </w:pPr>
          </w:p>
        </w:tc>
        <w:tc>
          <w:tcPr>
            <w:tcW w:w="2480" w:type="dxa"/>
            <w:vAlign w:val="bottom"/>
            <w:shd w:val="clear" w:color="auto" w:fill="CFF0FC"/>
          </w:tcPr>
          <w:p>
            <w:pPr>
              <w:ind w:left="40"/>
              <w:spacing w:after="0"/>
              <w:rPr>
                <w:sz w:val="20"/>
                <w:szCs w:val="20"/>
                <w:color w:val="auto"/>
              </w:rPr>
            </w:pPr>
            <w:r>
              <w:rPr>
                <w:rFonts w:ascii="Arial" w:cs="Arial" w:eastAsia="Arial" w:hAnsi="Arial"/>
                <w:sz w:val="13"/>
                <w:szCs w:val="13"/>
                <w:color w:val="auto"/>
              </w:rPr>
              <w:t>Asset held-for-sale</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2480" w:type="dxa"/>
            <w:vAlign w:val="bottom"/>
          </w:tcPr>
          <w:p>
            <w:pPr>
              <w:ind w:left="440"/>
              <w:spacing w:after="0"/>
              <w:rPr>
                <w:sz w:val="20"/>
                <w:szCs w:val="20"/>
                <w:color w:val="auto"/>
              </w:rPr>
            </w:pPr>
            <w:r>
              <w:rPr>
                <w:rFonts w:ascii="Arial" w:cs="Arial" w:eastAsia="Arial" w:hAnsi="Arial"/>
                <w:sz w:val="13"/>
                <w:szCs w:val="13"/>
                <w:color w:val="auto"/>
              </w:rPr>
              <w:t>Total assets</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6,394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6,394</w:t>
            </w:r>
          </w:p>
        </w:tc>
        <w:tc>
          <w:tcPr>
            <w:tcW w:w="10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1,269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Quoted Prices in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Active Markets for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Significant Other</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Total Losses For the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Carrying Value at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Identical Assets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Observable Inputs</w:t>
            </w:r>
          </w:p>
        </w:tc>
        <w:tc>
          <w:tcPr>
            <w:tcW w:w="160" w:type="dxa"/>
            <w:vAlign w:val="bottom"/>
          </w:tcPr>
          <w:p>
            <w:pPr>
              <w:spacing w:after="0"/>
              <w:rPr>
                <w:sz w:val="13"/>
                <w:szCs w:val="13"/>
                <w:color w:val="auto"/>
              </w:rPr>
            </w:pPr>
          </w:p>
        </w:tc>
        <w:tc>
          <w:tcPr>
            <w:tcW w:w="14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Unobservable Inputs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rPr>
              <w:t>December 31, 2022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ind w:left="80"/>
              <w:spacing w:after="0"/>
              <w:rPr>
                <w:sz w:val="20"/>
                <w:szCs w:val="20"/>
                <w:color w:val="auto"/>
              </w:rPr>
            </w:pPr>
            <w:r>
              <w:rPr>
                <w:rFonts w:ascii="Arial" w:cs="Arial" w:eastAsia="Arial" w:hAnsi="Arial"/>
                <w:sz w:val="13"/>
                <w:szCs w:val="13"/>
                <w:b w:val="1"/>
                <w:bCs w:val="1"/>
                <w:color w:val="auto"/>
              </w:rPr>
              <w:t>December 31, 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2"/>
                <w:szCs w:val="12"/>
                <w:i w:val="1"/>
                <w:iCs w:val="1"/>
                <w:color w:val="auto"/>
                <w:w w:val="99"/>
              </w:rPr>
              <w:t>(Dollars in thousands)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480" w:type="dxa"/>
            <w:vAlign w:val="bottom"/>
            <w:shd w:val="clear" w:color="auto" w:fill="CFF0FC"/>
          </w:tcPr>
          <w:p>
            <w:pPr>
              <w:jc w:val="center"/>
              <w:ind w:right="1074"/>
              <w:spacing w:after="0"/>
              <w:rPr>
                <w:sz w:val="20"/>
                <w:szCs w:val="20"/>
                <w:color w:val="auto"/>
              </w:rPr>
            </w:pPr>
            <w:r>
              <w:rPr>
                <w:rFonts w:ascii="Arial" w:cs="Arial" w:eastAsia="Arial" w:hAnsi="Arial"/>
                <w:sz w:val="13"/>
                <w:szCs w:val="13"/>
                <w:b w:val="1"/>
                <w:bCs w:val="1"/>
                <w:color w:val="auto"/>
              </w:rPr>
              <w:t>Description of assets</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3"/>
                <w:szCs w:val="13"/>
                <w:color w:val="auto"/>
              </w:rPr>
              <w:t>Loans: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Commercial real estate</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2,639</w:t>
            </w:r>
          </w:p>
        </w:tc>
        <w:tc>
          <w:tcPr>
            <w:tcW w:w="8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2,639</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ind w:right="14"/>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40"/>
              <w:spacing w:after="0"/>
              <w:rPr>
                <w:sz w:val="20"/>
                <w:szCs w:val="20"/>
                <w:color w:val="auto"/>
              </w:rPr>
            </w:pPr>
            <w:r>
              <w:rPr>
                <w:rFonts w:ascii="Arial" w:cs="Arial" w:eastAsia="Arial" w:hAnsi="Arial"/>
                <w:sz w:val="13"/>
                <w:szCs w:val="13"/>
                <w:color w:val="auto"/>
              </w:rPr>
              <w:t>Construction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SBA</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80" w:type="dxa"/>
            <w:vAlign w:val="bottom"/>
            <w:tcBorders>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40"/>
              <w:spacing w:after="0"/>
              <w:rPr>
                <w:sz w:val="20"/>
                <w:szCs w:val="20"/>
                <w:color w:val="auto"/>
              </w:rPr>
            </w:pPr>
            <w:r>
              <w:rPr>
                <w:rFonts w:ascii="Arial" w:cs="Arial" w:eastAsia="Arial" w:hAnsi="Arial"/>
                <w:sz w:val="13"/>
                <w:szCs w:val="13"/>
                <w:color w:val="auto"/>
              </w:rPr>
              <w:t>SBA - PPP</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Commercial and industrial</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80" w:type="dxa"/>
            <w:vAlign w:val="bottom"/>
            <w:tcBorders>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2480" w:type="dxa"/>
            <w:vAlign w:val="bottom"/>
          </w:tcPr>
          <w:p>
            <w:pPr>
              <w:ind w:left="240"/>
              <w:spacing w:after="0"/>
              <w:rPr>
                <w:sz w:val="20"/>
                <w:szCs w:val="20"/>
                <w:color w:val="auto"/>
              </w:rPr>
            </w:pPr>
            <w:r>
              <w:rPr>
                <w:rFonts w:ascii="Arial" w:cs="Arial" w:eastAsia="Arial" w:hAnsi="Arial"/>
                <w:sz w:val="13"/>
                <w:szCs w:val="13"/>
                <w:color w:val="auto"/>
              </w:rPr>
              <w:t>Dairy &amp; livestock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vMerge w:val="restart"/>
          </w:tcPr>
          <w:p>
            <w:pPr>
              <w:ind w:left="1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vMerge w:val="restart"/>
          </w:tcPr>
          <w:p>
            <w:pPr>
              <w:ind w:left="1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113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480" w:type="dxa"/>
            <w:vAlign w:val="bottom"/>
          </w:tcPr>
          <w:p>
            <w:pPr>
              <w:ind w:left="360"/>
              <w:spacing w:after="0"/>
              <w:rPr>
                <w:sz w:val="20"/>
                <w:szCs w:val="20"/>
                <w:color w:val="auto"/>
              </w:rPr>
            </w:pPr>
            <w:r>
              <w:rPr>
                <w:rFonts w:ascii="Arial" w:cs="Arial" w:eastAsia="Arial" w:hAnsi="Arial"/>
                <w:sz w:val="13"/>
                <w:szCs w:val="13"/>
                <w:color w:val="auto"/>
              </w:rPr>
              <w:t>agribusiness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Municipal lease finance</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gridSpan w:val="3"/>
            <w:vMerge w:val="restart"/>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3"/>
            <w:vMerge w:val="restart"/>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480" w:type="dxa"/>
            <w:vAlign w:val="bottom"/>
            <w:shd w:val="clear" w:color="auto" w:fill="CFF0FC"/>
          </w:tcPr>
          <w:p>
            <w:pPr>
              <w:jc w:val="center"/>
              <w:ind w:right="1034"/>
              <w:spacing w:after="0"/>
              <w:rPr>
                <w:sz w:val="20"/>
                <w:szCs w:val="20"/>
                <w:color w:val="auto"/>
              </w:rPr>
            </w:pPr>
            <w:r>
              <w:rPr>
                <w:rFonts w:ascii="Arial" w:cs="Arial" w:eastAsia="Arial" w:hAnsi="Arial"/>
                <w:sz w:val="13"/>
                <w:szCs w:val="13"/>
                <w:color w:val="auto"/>
              </w:rPr>
              <w:t>receivables</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gridSpan w:val="3"/>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3"/>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gridSpan w:val="3"/>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tcBorders>
              <w:right w:val="single" w:sz="8" w:color="CFF0FC"/>
            </w:tcBorders>
            <w:gridSpan w:val="2"/>
            <w:vMerge w:val="continue"/>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240"/>
              <w:spacing w:after="0"/>
              <w:rPr>
                <w:sz w:val="20"/>
                <w:szCs w:val="20"/>
                <w:color w:val="auto"/>
              </w:rPr>
            </w:pPr>
            <w:r>
              <w:rPr>
                <w:rFonts w:ascii="Arial" w:cs="Arial" w:eastAsia="Arial" w:hAnsi="Arial"/>
                <w:sz w:val="13"/>
                <w:szCs w:val="13"/>
                <w:color w:val="auto"/>
              </w:rPr>
              <w:t>SFR mortgage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Consumer and other loans</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ind w:left="80"/>
              <w:spacing w:after="0"/>
              <w:rPr>
                <w:sz w:val="20"/>
                <w:szCs w:val="20"/>
                <w:color w:val="auto"/>
              </w:rPr>
            </w:pPr>
            <w:r>
              <w:rPr>
                <w:rFonts w:ascii="Arial" w:cs="Arial" w:eastAsia="Arial" w:hAnsi="Arial"/>
                <w:sz w:val="13"/>
                <w:szCs w:val="13"/>
                <w:color w:val="auto"/>
              </w:rPr>
              <w:t>Other real estate owned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2480" w:type="dxa"/>
            <w:vAlign w:val="bottom"/>
            <w:shd w:val="clear" w:color="auto" w:fill="CFF0FC"/>
          </w:tcPr>
          <w:p>
            <w:pPr>
              <w:ind w:left="80"/>
              <w:spacing w:after="0"/>
              <w:rPr>
                <w:sz w:val="20"/>
                <w:szCs w:val="20"/>
                <w:color w:val="auto"/>
              </w:rPr>
            </w:pPr>
            <w:r>
              <w:rPr>
                <w:rFonts w:ascii="Arial" w:cs="Arial" w:eastAsia="Arial" w:hAnsi="Arial"/>
                <w:sz w:val="13"/>
                <w:szCs w:val="13"/>
                <w:color w:val="auto"/>
              </w:rPr>
              <w:t>Asset held-for-sale</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1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2480" w:type="dxa"/>
            <w:vAlign w:val="bottom"/>
          </w:tcPr>
          <w:p>
            <w:pPr>
              <w:ind w:left="480"/>
              <w:spacing w:after="0"/>
              <w:rPr>
                <w:sz w:val="20"/>
                <w:szCs w:val="20"/>
                <w:color w:val="auto"/>
              </w:rPr>
            </w:pPr>
            <w:r>
              <w:rPr>
                <w:rFonts w:ascii="Arial" w:cs="Arial" w:eastAsia="Arial" w:hAnsi="Arial"/>
                <w:sz w:val="13"/>
                <w:szCs w:val="13"/>
                <w:color w:val="auto"/>
              </w:rPr>
              <w:t>Total assets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3,526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3,526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3"/>
          </w:tcPr>
          <w:p>
            <w:pPr>
              <w:jc w:val="right"/>
              <w:ind w:right="14"/>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920"/>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 w:type="dxa"/>
            <w:vAlign w:val="bottom"/>
            <w:tcBorders>
              <w:bottom w:val="single" w:sz="8" w:color="EEEEEE"/>
            </w:tcBorders>
          </w:tcPr>
          <w:p>
            <w:pPr>
              <w:spacing w:after="0"/>
              <w:rPr>
                <w:sz w:val="24"/>
                <w:szCs w:val="24"/>
                <w:color w:val="auto"/>
              </w:rPr>
            </w:pPr>
          </w:p>
        </w:tc>
        <w:tc>
          <w:tcPr>
            <w:tcW w:w="24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782" w:right="680"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84" w:lineRule="exact"/>
        <w:rPr>
          <w:sz w:val="20"/>
          <w:szCs w:val="20"/>
          <w:color w:val="auto"/>
        </w:rPr>
      </w:pPr>
    </w:p>
    <w:p>
      <w:pPr>
        <w:ind w:right="60" w:firstLine="432"/>
        <w:spacing w:after="0" w:line="239" w:lineRule="auto"/>
        <w:rPr>
          <w:sz w:val="20"/>
          <w:szCs w:val="20"/>
          <w:color w:val="auto"/>
        </w:rPr>
      </w:pPr>
      <w:r>
        <w:rPr>
          <w:rFonts w:ascii="Arial" w:cs="Arial" w:eastAsia="Arial" w:hAnsi="Arial"/>
          <w:sz w:val="16"/>
          <w:szCs w:val="16"/>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March 31, 2023 and December 31, 2022, respectively. The use of different market assumptions and/or estimation methodologies may have a material effect on the estimated fair value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March 31, 2023</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3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282"/>
              <w:spacing w:after="0"/>
              <w:rPr>
                <w:sz w:val="20"/>
                <w:szCs w:val="20"/>
                <w:color w:val="auto"/>
              </w:rPr>
            </w:pPr>
            <w:r>
              <w:rPr>
                <w:rFonts w:ascii="Arial" w:cs="Arial" w:eastAsia="Arial" w:hAnsi="Arial"/>
                <w:sz w:val="16"/>
                <w:szCs w:val="16"/>
                <w:b w:val="1"/>
                <w:bCs w:val="1"/>
                <w:color w:val="auto"/>
              </w:rPr>
              <w:t>Carrying</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gridSpan w:val="3"/>
          </w:tcPr>
          <w:p>
            <w:pPr>
              <w:jc w:val="right"/>
              <w:ind w:right="462"/>
              <w:spacing w:after="0"/>
              <w:rPr>
                <w:sz w:val="20"/>
                <w:szCs w:val="20"/>
                <w:color w:val="auto"/>
              </w:rPr>
            </w:pPr>
            <w:r>
              <w:rPr>
                <w:rFonts w:ascii="Arial" w:cs="Arial" w:eastAsia="Arial" w:hAnsi="Arial"/>
                <w:sz w:val="16"/>
                <w:szCs w:val="16"/>
                <w:b w:val="1"/>
                <w:bCs w:val="1"/>
                <w:color w:val="auto"/>
              </w:rPr>
              <w:t>Estimated Fair Value</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3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Arial" w:cs="Arial" w:eastAsia="Arial" w:hAnsi="Arial"/>
                <w:sz w:val="16"/>
                <w:szCs w:val="16"/>
                <w:b w:val="1"/>
                <w:bCs w:val="1"/>
                <w:color w:val="auto"/>
              </w:rPr>
              <w:t>Amount</w:t>
            </w:r>
          </w:p>
        </w:tc>
        <w:tc>
          <w:tcPr>
            <w:tcW w:w="320" w:type="dxa"/>
            <w:vAlign w:val="bottom"/>
          </w:tcPr>
          <w:p>
            <w:pPr>
              <w:spacing w:after="0"/>
              <w:rPr>
                <w:sz w:val="17"/>
                <w:szCs w:val="17"/>
                <w:color w:val="auto"/>
              </w:rPr>
            </w:pPr>
          </w:p>
        </w:tc>
        <w:tc>
          <w:tcPr>
            <w:tcW w:w="920" w:type="dxa"/>
            <w:vAlign w:val="bottom"/>
          </w:tcPr>
          <w:p>
            <w:pPr>
              <w:jc w:val="right"/>
              <w:ind w:right="242"/>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7"/>
                <w:szCs w:val="17"/>
                <w:color w:val="auto"/>
              </w:rPr>
            </w:pPr>
          </w:p>
        </w:tc>
        <w:tc>
          <w:tcPr>
            <w:tcW w:w="1100" w:type="dxa"/>
            <w:vAlign w:val="bottom"/>
          </w:tcPr>
          <w:p>
            <w:pPr>
              <w:jc w:val="center"/>
              <w:ind w:right="322"/>
              <w:spacing w:after="0"/>
              <w:rPr>
                <w:sz w:val="20"/>
                <w:szCs w:val="20"/>
                <w:color w:val="auto"/>
              </w:rPr>
            </w:pPr>
            <w:r>
              <w:rPr>
                <w:rFonts w:ascii="Arial" w:cs="Arial" w:eastAsia="Arial" w:hAnsi="Arial"/>
                <w:sz w:val="16"/>
                <w:szCs w:val="16"/>
                <w:b w:val="1"/>
                <w:bCs w:val="1"/>
                <w:color w:val="auto"/>
                <w:w w:val="99"/>
              </w:rPr>
              <w:t>Level 2</w:t>
            </w:r>
          </w:p>
        </w:tc>
        <w:tc>
          <w:tcPr>
            <w:tcW w:w="240" w:type="dxa"/>
            <w:vAlign w:val="bottom"/>
          </w:tcPr>
          <w:p>
            <w:pPr>
              <w:spacing w:after="0"/>
              <w:rPr>
                <w:sz w:val="17"/>
                <w:szCs w:val="17"/>
                <w:color w:val="auto"/>
              </w:rPr>
            </w:pPr>
          </w:p>
        </w:tc>
        <w:tc>
          <w:tcPr>
            <w:tcW w:w="980" w:type="dxa"/>
            <w:vAlign w:val="bottom"/>
          </w:tcPr>
          <w:p>
            <w:pPr>
              <w:jc w:val="right"/>
              <w:ind w:right="302"/>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7"/>
                <w:szCs w:val="17"/>
                <w:color w:val="auto"/>
              </w:rPr>
            </w:pPr>
          </w:p>
        </w:tc>
        <w:tc>
          <w:tcPr>
            <w:tcW w:w="960" w:type="dxa"/>
            <w:vAlign w:val="bottom"/>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95"/>
        </w:trPr>
        <w:tc>
          <w:tcPr>
            <w:tcW w:w="3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3"/>
        </w:trPr>
        <w:tc>
          <w:tcPr>
            <w:tcW w:w="34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7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460" w:type="dxa"/>
            <w:vAlign w:val="bottom"/>
          </w:tcPr>
          <w:p>
            <w:pPr>
              <w:ind w:left="180"/>
              <w:spacing w:after="0"/>
              <w:rPr>
                <w:sz w:val="20"/>
                <w:szCs w:val="20"/>
                <w:color w:val="auto"/>
              </w:rPr>
            </w:pPr>
            <w:r>
              <w:rPr>
                <w:rFonts w:ascii="Arial" w:cs="Arial" w:eastAsia="Arial" w:hAnsi="Arial"/>
                <w:sz w:val="16"/>
                <w:szCs w:val="16"/>
                <w:color w:val="auto"/>
              </w:rPr>
              <w:t>Total cash and cash equivalents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227,534</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227,534</w:t>
            </w:r>
          </w:p>
        </w:tc>
        <w:tc>
          <w:tcPr>
            <w:tcW w:w="4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227,534</w:t>
            </w:r>
          </w:p>
        </w:tc>
      </w:tr>
      <w:tr>
        <w:trPr>
          <w:trHeight w:val="186"/>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w:t>
            </w:r>
          </w:p>
        </w:tc>
        <w:tc>
          <w:tcPr>
            <w:tcW w:w="7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99"/>
        </w:trPr>
        <w:tc>
          <w:tcPr>
            <w:tcW w:w="34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depository institutions</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11,944</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11,944</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11,944</w:t>
            </w:r>
          </w:p>
        </w:tc>
      </w:tr>
      <w:tr>
        <w:trPr>
          <w:trHeight w:val="203"/>
        </w:trPr>
        <w:tc>
          <w:tcPr>
            <w:tcW w:w="3460" w:type="dxa"/>
            <w:vAlign w:val="bottom"/>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3,204,524</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3,204,524</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3,204,524</w:t>
            </w:r>
          </w:p>
        </w:tc>
      </w:tr>
      <w:tr>
        <w:trPr>
          <w:trHeight w:val="205"/>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 held-to-maturity</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2,535,979</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2,168,569</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2,168,569</w:t>
            </w:r>
          </w:p>
        </w:tc>
      </w:tr>
      <w:tr>
        <w:trPr>
          <w:trHeight w:val="185"/>
        </w:trPr>
        <w:tc>
          <w:tcPr>
            <w:tcW w:w="3460" w:type="dxa"/>
            <w:vAlign w:val="bottom"/>
          </w:tcPr>
          <w:p>
            <w:pPr>
              <w:ind w:left="180"/>
              <w:spacing w:after="0"/>
              <w:rPr>
                <w:sz w:val="20"/>
                <w:szCs w:val="20"/>
                <w:color w:val="auto"/>
              </w:rPr>
            </w:pPr>
            <w:r>
              <w:rPr>
                <w:rFonts w:ascii="Arial" w:cs="Arial" w:eastAsia="Arial" w:hAnsi="Arial"/>
                <w:sz w:val="16"/>
                <w:szCs w:val="16"/>
                <w:color w:val="auto"/>
              </w:rPr>
              <w:t>Total loans, net of allowance for credit</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8"/>
        </w:trPr>
        <w:tc>
          <w:tcPr>
            <w:tcW w:w="3460" w:type="dxa"/>
            <w:vAlign w:val="bottom"/>
          </w:tcPr>
          <w:p>
            <w:pPr>
              <w:ind w:left="300"/>
              <w:spacing w:after="0"/>
              <w:rPr>
                <w:sz w:val="20"/>
                <w:szCs w:val="20"/>
                <w:color w:val="auto"/>
              </w:rPr>
            </w:pPr>
            <w:r>
              <w:rPr>
                <w:rFonts w:ascii="Arial" w:cs="Arial" w:eastAsia="Arial" w:hAnsi="Arial"/>
                <w:sz w:val="16"/>
                <w:szCs w:val="16"/>
                <w:color w:val="auto"/>
              </w:rPr>
              <w:t>losses</w:t>
            </w:r>
          </w:p>
        </w:tc>
        <w:tc>
          <w:tcPr>
            <w:tcW w:w="74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8,855,949</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8,022,018</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8,022,018</w:t>
            </w:r>
          </w:p>
        </w:tc>
      </w:tr>
      <w:tr>
        <w:trPr>
          <w:trHeight w:val="205"/>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Swaps</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135</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135</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135</w:t>
            </w:r>
          </w:p>
        </w:tc>
      </w:tr>
      <w:tr>
        <w:trPr>
          <w:trHeight w:val="204"/>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Deposits:</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3460" w:type="dxa"/>
            <w:vAlign w:val="bottom"/>
          </w:tcPr>
          <w:p>
            <w:pPr>
              <w:ind w:left="340"/>
              <w:spacing w:after="0"/>
              <w:rPr>
                <w:sz w:val="20"/>
                <w:szCs w:val="20"/>
                <w:color w:val="auto"/>
              </w:rPr>
            </w:pPr>
            <w:r>
              <w:rPr>
                <w:rFonts w:ascii="Arial" w:cs="Arial" w:eastAsia="Arial" w:hAnsi="Arial"/>
                <w:sz w:val="16"/>
                <w:szCs w:val="16"/>
                <w:color w:val="auto"/>
              </w:rPr>
              <w:t>Interest-bearing</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4,427,541</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4,421,511</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4,421,511</w:t>
            </w:r>
          </w:p>
        </w:tc>
      </w:tr>
      <w:tr>
        <w:trPr>
          <w:trHeight w:val="205"/>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Borrowings</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1,895,235</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1,797,500</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1,797,500</w:t>
            </w:r>
          </w:p>
        </w:tc>
      </w:tr>
      <w:tr>
        <w:trPr>
          <w:trHeight w:val="203"/>
        </w:trPr>
        <w:tc>
          <w:tcPr>
            <w:tcW w:w="3460" w:type="dxa"/>
            <w:vAlign w:val="bottom"/>
          </w:tcPr>
          <w:p>
            <w:pPr>
              <w:ind w:left="180"/>
              <w:spacing w:after="0"/>
              <w:rPr>
                <w:sz w:val="20"/>
                <w:szCs w:val="20"/>
                <w:color w:val="auto"/>
              </w:rPr>
            </w:pPr>
            <w:r>
              <w:rPr>
                <w:rFonts w:ascii="Arial" w:cs="Arial" w:eastAsia="Arial" w:hAnsi="Arial"/>
                <w:sz w:val="16"/>
                <w:szCs w:val="16"/>
                <w:color w:val="auto"/>
              </w:rPr>
              <w:t>Junior subordinated debentures</w:t>
            </w:r>
          </w:p>
        </w:tc>
        <w:tc>
          <w:tcPr>
            <w:tcW w:w="74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05"/>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Swaps</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135</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135</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135</w:t>
            </w: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December 31, 2022</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3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282"/>
              <w:spacing w:after="0"/>
              <w:rPr>
                <w:sz w:val="20"/>
                <w:szCs w:val="20"/>
                <w:color w:val="auto"/>
              </w:rPr>
            </w:pPr>
            <w:r>
              <w:rPr>
                <w:rFonts w:ascii="Arial" w:cs="Arial" w:eastAsia="Arial" w:hAnsi="Arial"/>
                <w:sz w:val="16"/>
                <w:szCs w:val="16"/>
                <w:b w:val="1"/>
                <w:bCs w:val="1"/>
                <w:color w:val="auto"/>
              </w:rPr>
              <w:t>Carrying</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00" w:type="dxa"/>
            <w:vAlign w:val="bottom"/>
            <w:gridSpan w:val="3"/>
          </w:tcPr>
          <w:p>
            <w:pPr>
              <w:jc w:val="right"/>
              <w:ind w:right="462"/>
              <w:spacing w:after="0"/>
              <w:rPr>
                <w:sz w:val="20"/>
                <w:szCs w:val="20"/>
                <w:color w:val="auto"/>
              </w:rPr>
            </w:pPr>
            <w:r>
              <w:rPr>
                <w:rFonts w:ascii="Arial" w:cs="Arial" w:eastAsia="Arial" w:hAnsi="Arial"/>
                <w:sz w:val="16"/>
                <w:szCs w:val="16"/>
                <w:b w:val="1"/>
                <w:bCs w:val="1"/>
                <w:color w:val="auto"/>
              </w:rPr>
              <w:t>Estimated Fair Value</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3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7"/>
                <w:szCs w:val="17"/>
                <w:color w:val="auto"/>
              </w:rPr>
            </w:pPr>
          </w:p>
        </w:tc>
        <w:tc>
          <w:tcPr>
            <w:tcW w:w="920" w:type="dxa"/>
            <w:vAlign w:val="bottom"/>
          </w:tcPr>
          <w:p>
            <w:pPr>
              <w:jc w:val="right"/>
              <w:ind w:right="242"/>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7"/>
                <w:szCs w:val="17"/>
                <w:color w:val="auto"/>
              </w:rPr>
            </w:pPr>
          </w:p>
        </w:tc>
        <w:tc>
          <w:tcPr>
            <w:tcW w:w="1080" w:type="dxa"/>
            <w:vAlign w:val="bottom"/>
          </w:tcPr>
          <w:p>
            <w:pPr>
              <w:jc w:val="right"/>
              <w:ind w:right="382"/>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7"/>
                <w:szCs w:val="17"/>
                <w:color w:val="auto"/>
              </w:rPr>
            </w:pPr>
          </w:p>
        </w:tc>
        <w:tc>
          <w:tcPr>
            <w:tcW w:w="980" w:type="dxa"/>
            <w:vAlign w:val="bottom"/>
          </w:tcPr>
          <w:p>
            <w:pPr>
              <w:jc w:val="right"/>
              <w:ind w:right="302"/>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7"/>
                <w:szCs w:val="17"/>
                <w:color w:val="auto"/>
              </w:rPr>
            </w:pPr>
          </w:p>
        </w:tc>
        <w:tc>
          <w:tcPr>
            <w:tcW w:w="960" w:type="dxa"/>
            <w:vAlign w:val="bottom"/>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95"/>
        </w:trPr>
        <w:tc>
          <w:tcPr>
            <w:tcW w:w="3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3"/>
        </w:trPr>
        <w:tc>
          <w:tcPr>
            <w:tcW w:w="34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7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460" w:type="dxa"/>
            <w:vAlign w:val="bottom"/>
          </w:tcPr>
          <w:p>
            <w:pPr>
              <w:ind w:left="180"/>
              <w:spacing w:after="0"/>
              <w:rPr>
                <w:sz w:val="20"/>
                <w:szCs w:val="20"/>
                <w:color w:val="auto"/>
              </w:rPr>
            </w:pPr>
            <w:r>
              <w:rPr>
                <w:rFonts w:ascii="Arial" w:cs="Arial" w:eastAsia="Arial" w:hAnsi="Arial"/>
                <w:sz w:val="16"/>
                <w:szCs w:val="16"/>
                <w:color w:val="auto"/>
              </w:rPr>
              <w:t>Total cash and cash equivalents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203,461</w:t>
            </w:r>
          </w:p>
        </w:tc>
        <w:tc>
          <w:tcPr>
            <w:tcW w:w="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203,461</w:t>
            </w:r>
          </w:p>
        </w:tc>
        <w:tc>
          <w:tcPr>
            <w:tcW w:w="4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203,461</w:t>
            </w:r>
          </w:p>
        </w:tc>
      </w:tr>
      <w:tr>
        <w:trPr>
          <w:trHeight w:val="186"/>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w:t>
            </w:r>
          </w:p>
        </w:tc>
        <w:tc>
          <w:tcPr>
            <w:tcW w:w="7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99"/>
        </w:trPr>
        <w:tc>
          <w:tcPr>
            <w:tcW w:w="34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depository institutions</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9,553</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9,553</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9,553</w:t>
            </w:r>
          </w:p>
        </w:tc>
      </w:tr>
      <w:tr>
        <w:trPr>
          <w:trHeight w:val="203"/>
        </w:trPr>
        <w:tc>
          <w:tcPr>
            <w:tcW w:w="3460" w:type="dxa"/>
            <w:vAlign w:val="bottom"/>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3,255,211</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3,255,211</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3,255,211</w:t>
            </w:r>
          </w:p>
        </w:tc>
      </w:tr>
      <w:tr>
        <w:trPr>
          <w:trHeight w:val="205"/>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 held-to-maturity</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2,554,301</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2,155,587</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2,155,587</w:t>
            </w:r>
          </w:p>
        </w:tc>
      </w:tr>
      <w:tr>
        <w:trPr>
          <w:trHeight w:val="185"/>
        </w:trPr>
        <w:tc>
          <w:tcPr>
            <w:tcW w:w="3460" w:type="dxa"/>
            <w:vAlign w:val="bottom"/>
          </w:tcPr>
          <w:p>
            <w:pPr>
              <w:ind w:left="180"/>
              <w:spacing w:after="0"/>
              <w:rPr>
                <w:sz w:val="20"/>
                <w:szCs w:val="20"/>
                <w:color w:val="auto"/>
              </w:rPr>
            </w:pPr>
            <w:r>
              <w:rPr>
                <w:rFonts w:ascii="Arial" w:cs="Arial" w:eastAsia="Arial" w:hAnsi="Arial"/>
                <w:sz w:val="16"/>
                <w:szCs w:val="16"/>
                <w:color w:val="auto"/>
              </w:rPr>
              <w:t>Total loans, net of allowance for credit</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8"/>
        </w:trPr>
        <w:tc>
          <w:tcPr>
            <w:tcW w:w="3460" w:type="dxa"/>
            <w:vAlign w:val="bottom"/>
          </w:tcPr>
          <w:p>
            <w:pPr>
              <w:ind w:left="300"/>
              <w:spacing w:after="0"/>
              <w:rPr>
                <w:sz w:val="20"/>
                <w:szCs w:val="20"/>
                <w:color w:val="auto"/>
              </w:rPr>
            </w:pPr>
            <w:r>
              <w:rPr>
                <w:rFonts w:ascii="Arial" w:cs="Arial" w:eastAsia="Arial" w:hAnsi="Arial"/>
                <w:sz w:val="16"/>
                <w:szCs w:val="16"/>
                <w:color w:val="auto"/>
              </w:rPr>
              <w:t>losses</w:t>
            </w:r>
          </w:p>
        </w:tc>
        <w:tc>
          <w:tcPr>
            <w:tcW w:w="74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8,994,275</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8,074,952</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8,074,952</w:t>
            </w:r>
          </w:p>
        </w:tc>
      </w:tr>
      <w:tr>
        <w:trPr>
          <w:trHeight w:val="205"/>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Swaps</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82</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82</w:t>
            </w:r>
          </w:p>
        </w:tc>
      </w:tr>
      <w:tr>
        <w:trPr>
          <w:trHeight w:val="204"/>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Deposits:</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3460" w:type="dxa"/>
            <w:vAlign w:val="bottom"/>
          </w:tcPr>
          <w:p>
            <w:pPr>
              <w:ind w:left="340"/>
              <w:spacing w:after="0"/>
              <w:rPr>
                <w:sz w:val="20"/>
                <w:szCs w:val="20"/>
                <w:color w:val="auto"/>
              </w:rPr>
            </w:pPr>
            <w:r>
              <w:rPr>
                <w:rFonts w:ascii="Arial" w:cs="Arial" w:eastAsia="Arial" w:hAnsi="Arial"/>
                <w:sz w:val="16"/>
                <w:szCs w:val="16"/>
                <w:color w:val="auto"/>
              </w:rPr>
              <w:t>Interest-bearing</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4,671,881</w:t>
            </w:r>
          </w:p>
        </w:tc>
        <w:tc>
          <w:tcPr>
            <w:tcW w:w="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4,664,657</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4,664,657</w:t>
            </w:r>
          </w:p>
        </w:tc>
      </w:tr>
      <w:tr>
        <w:trPr>
          <w:trHeight w:val="205"/>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Borrowings</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1,560,431</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1,444,659</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1,444,659</w:t>
            </w:r>
          </w:p>
        </w:tc>
      </w:tr>
      <w:tr>
        <w:trPr>
          <w:trHeight w:val="215"/>
        </w:trPr>
        <w:tc>
          <w:tcPr>
            <w:tcW w:w="3460" w:type="dxa"/>
            <w:vAlign w:val="bottom"/>
          </w:tcPr>
          <w:p>
            <w:pPr>
              <w:ind w:left="180"/>
              <w:spacing w:after="0"/>
              <w:rPr>
                <w:sz w:val="20"/>
                <w:szCs w:val="20"/>
                <w:color w:val="auto"/>
              </w:rPr>
            </w:pPr>
            <w:r>
              <w:rPr>
                <w:rFonts w:ascii="Arial" w:cs="Arial" w:eastAsia="Arial" w:hAnsi="Arial"/>
                <w:sz w:val="16"/>
                <w:szCs w:val="16"/>
                <w:color w:val="auto"/>
              </w:rPr>
              <w:t>Junior subordinated debentures</w:t>
            </w:r>
          </w:p>
        </w:tc>
        <w:tc>
          <w:tcPr>
            <w:tcW w:w="740" w:type="dxa"/>
            <w:vAlign w:val="bottom"/>
          </w:tcPr>
          <w:p>
            <w:pPr>
              <w:spacing w:after="0"/>
              <w:rPr>
                <w:sz w:val="18"/>
                <w:szCs w:val="18"/>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05"/>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Swaps</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82</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82</w:t>
            </w:r>
          </w:p>
        </w:tc>
      </w:tr>
    </w:tbl>
    <w:p>
      <w:pPr>
        <w:spacing w:after="0" w:line="161" w:lineRule="exact"/>
        <w:rPr>
          <w:sz w:val="20"/>
          <w:szCs w:val="20"/>
          <w:color w:val="auto"/>
        </w:rPr>
      </w:pPr>
    </w:p>
    <w:p>
      <w:pPr>
        <w:ind w:right="40" w:firstLine="432"/>
        <w:spacing w:after="0"/>
        <w:rPr>
          <w:sz w:val="20"/>
          <w:szCs w:val="20"/>
          <w:color w:val="auto"/>
        </w:rPr>
      </w:pPr>
      <w:r>
        <w:rPr>
          <w:rFonts w:ascii="Arial" w:cs="Arial" w:eastAsia="Arial" w:hAnsi="Arial"/>
          <w:sz w:val="16"/>
          <w:szCs w:val="16"/>
          <w:color w:val="auto"/>
        </w:rPr>
        <w:t>The fair value estimates presented herein are based on pertinent information available to management as of March 31, 2023 and December 31, 2022.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29" w:name="page30"/>
    <w:bookmarkEnd w:id="29"/>
    <w:p>
      <w:pPr>
        <w:ind w:left="300" w:hanging="294"/>
        <w:spacing w:after="0"/>
        <w:tabs>
          <w:tab w:leader="none" w:pos="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DERIVATIVE FINANCIAL INSTRUMENTS</w:t>
      </w:r>
    </w:p>
    <w:p>
      <w:pPr>
        <w:spacing w:after="0" w:line="184" w:lineRule="exact"/>
        <w:rPr>
          <w:sz w:val="20"/>
          <w:szCs w:val="20"/>
          <w:color w:val="auto"/>
        </w:rPr>
      </w:pPr>
    </w:p>
    <w:p>
      <w:pPr>
        <w:ind w:right="40" w:firstLine="432"/>
        <w:spacing w:after="0" w:line="238" w:lineRule="auto"/>
        <w:rPr>
          <w:sz w:val="20"/>
          <w:szCs w:val="20"/>
          <w:color w:val="auto"/>
        </w:rPr>
      </w:pPr>
      <w:r>
        <w:rPr>
          <w:rFonts w:ascii="Arial" w:cs="Arial" w:eastAsia="Arial" w:hAnsi="Arial"/>
          <w:sz w:val="16"/>
          <w:szCs w:val="16"/>
          <w:color w:val="auto"/>
        </w:rPr>
        <w:t>The Bank is exposed to certain risks relating to its ongoing business operations and utilizes interest rate swap agreements (“swaps”) as part of its asset/liability management strategy to help manage its interest rate risk position. As of March 31, 2023, the Bank has entered into 142 interest-rate swap agreements with customers with a notional amount totaling $498.8 million. The Bank then entered into identical offsetting swaps with a counterparty.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66" w:lineRule="exact"/>
        <w:rPr>
          <w:sz w:val="20"/>
          <w:szCs w:val="20"/>
          <w:color w:val="auto"/>
        </w:rPr>
      </w:pPr>
    </w:p>
    <w:p>
      <w:pPr>
        <w:ind w:right="60" w:firstLine="432"/>
        <w:spacing w:after="0" w:line="237" w:lineRule="auto"/>
        <w:rPr>
          <w:sz w:val="20"/>
          <w:szCs w:val="20"/>
          <w:color w:val="auto"/>
        </w:rPr>
      </w:pPr>
      <w:r>
        <w:rPr>
          <w:rFonts w:ascii="Arial" w:cs="Arial" w:eastAsia="Arial" w:hAnsi="Arial"/>
          <w:sz w:val="16"/>
          <w:szCs w:val="16"/>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the counterparty bank in which the Bank pays the counterparty a fixed rate and the counterparty in return pays the Bank a variable rate. The net effect of the transaction allows the Bank to receive interest on the loan from the customer at a variable rate based on SOFR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64" w:lineRule="exact"/>
        <w:rPr>
          <w:sz w:val="20"/>
          <w:szCs w:val="20"/>
          <w:color w:val="auto"/>
        </w:rPr>
      </w:pPr>
    </w:p>
    <w:p>
      <w:pPr>
        <w:ind w:right="20" w:firstLine="432"/>
        <w:spacing w:after="0" w:line="243" w:lineRule="auto"/>
        <w:rPr>
          <w:sz w:val="20"/>
          <w:szCs w:val="20"/>
          <w:color w:val="auto"/>
        </w:rPr>
      </w:pPr>
      <w:r>
        <w:rPr>
          <w:rFonts w:ascii="Arial" w:cs="Arial" w:eastAsia="Arial" w:hAnsi="Arial"/>
          <w:sz w:val="16"/>
          <w:szCs w:val="16"/>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Balance Sheet Classification of Derivative Financial Instruments</w:t>
      </w:r>
    </w:p>
    <w:p>
      <w:pPr>
        <w:spacing w:after="0" w:line="184" w:lineRule="exact"/>
        <w:rPr>
          <w:sz w:val="20"/>
          <w:szCs w:val="20"/>
          <w:color w:val="auto"/>
        </w:rPr>
      </w:pPr>
    </w:p>
    <w:p>
      <w:pPr>
        <w:ind w:right="680" w:firstLine="432"/>
        <w:spacing w:after="0" w:line="252" w:lineRule="auto"/>
        <w:rPr>
          <w:sz w:val="20"/>
          <w:szCs w:val="20"/>
          <w:color w:val="auto"/>
        </w:rPr>
      </w:pPr>
      <w:r>
        <w:rPr>
          <w:rFonts w:ascii="Arial" w:cs="Arial" w:eastAsia="Arial" w:hAnsi="Arial"/>
          <w:sz w:val="16"/>
          <w:szCs w:val="16"/>
          <w:color w:val="auto"/>
        </w:rPr>
        <w:t>As of March 31, 2023 and December 31, 2022, the total notional amount of the Company’s swaps was $498.8 million, and $425.6 million, respectively. The location of the asset and liability, and their respective fair values, are summarized in the tables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3"/>
          </w:tcPr>
          <w:p>
            <w:pPr>
              <w:jc w:val="center"/>
              <w:ind w:right="1162"/>
              <w:spacing w:after="0"/>
              <w:rPr>
                <w:sz w:val="20"/>
                <w:szCs w:val="20"/>
                <w:color w:val="auto"/>
              </w:rPr>
            </w:pPr>
            <w:r>
              <w:rPr>
                <w:rFonts w:ascii="Arial" w:cs="Arial" w:eastAsia="Arial" w:hAnsi="Arial"/>
                <w:sz w:val="16"/>
                <w:szCs w:val="16"/>
                <w:b w:val="1"/>
                <w:bCs w:val="1"/>
                <w:color w:val="auto"/>
                <w:w w:val="96"/>
              </w:rPr>
              <w:t>March 31, 2023</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660" w:type="dxa"/>
            <w:vAlign w:val="bottom"/>
          </w:tcPr>
          <w:p>
            <w:pPr>
              <w:spacing w:after="0"/>
              <w:rPr>
                <w:sz w:val="17"/>
                <w:szCs w:val="17"/>
                <w:color w:val="auto"/>
              </w:rPr>
            </w:pPr>
          </w:p>
        </w:tc>
        <w:tc>
          <w:tcPr>
            <w:tcW w:w="224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Asset Derivatives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rPr>
              <w:t>Liability Derivatives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660" w:type="dxa"/>
            <w:vAlign w:val="bottom"/>
          </w:tcPr>
          <w:p>
            <w:pPr>
              <w:spacing w:after="0"/>
              <w:rPr>
                <w:sz w:val="15"/>
                <w:szCs w:val="15"/>
                <w:color w:val="auto"/>
              </w:rPr>
            </w:pPr>
          </w:p>
        </w:tc>
        <w:tc>
          <w:tcPr>
            <w:tcW w:w="20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Balance Sheet</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Balance Sheet</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7"/>
        </w:trPr>
        <w:tc>
          <w:tcPr>
            <w:tcW w:w="466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5"/>
              </w:rPr>
              <w:t>Location</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5"/>
              </w:rPr>
              <w:t>Location</w:t>
            </w:r>
          </w:p>
        </w:tc>
        <w:tc>
          <w:tcPr>
            <w:tcW w:w="920" w:type="dxa"/>
            <w:vAlign w:val="bottom"/>
            <w:gridSpan w:val="3"/>
          </w:tcPr>
          <w:p>
            <w:pPr>
              <w:ind w:left="40"/>
              <w:spacing w:after="0"/>
              <w:rPr>
                <w:sz w:val="20"/>
                <w:szCs w:val="20"/>
                <w:color w:val="auto"/>
              </w:rPr>
            </w:pPr>
            <w:r>
              <w:rPr>
                <w:rFonts w:ascii="Arial" w:cs="Arial" w:eastAsia="Arial" w:hAnsi="Arial"/>
                <w:sz w:val="16"/>
                <w:szCs w:val="16"/>
                <w:b w:val="1"/>
                <w:bCs w:val="1"/>
                <w:color w:val="auto"/>
              </w:rPr>
              <w:t>Fair Value</w:t>
            </w:r>
          </w:p>
        </w:tc>
      </w:tr>
      <w:tr>
        <w:trPr>
          <w:trHeight w:val="195"/>
        </w:trPr>
        <w:tc>
          <w:tcPr>
            <w:tcW w:w="4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3"/>
          </w:tcPr>
          <w:p>
            <w:pPr>
              <w:jc w:val="center"/>
              <w:ind w:right="1182"/>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660" w:type="dxa"/>
            <w:vAlign w:val="bottom"/>
          </w:tcPr>
          <w:p>
            <w:pPr>
              <w:jc w:val="center"/>
              <w:ind w:right="3082"/>
              <w:spacing w:after="0"/>
              <w:rPr>
                <w:sz w:val="20"/>
                <w:szCs w:val="20"/>
                <w:color w:val="auto"/>
              </w:rPr>
            </w:pPr>
            <w:r>
              <w:rPr>
                <w:rFonts w:ascii="Arial" w:cs="Arial" w:eastAsia="Arial" w:hAnsi="Arial"/>
                <w:sz w:val="16"/>
                <w:szCs w:val="16"/>
                <w:color w:val="auto"/>
                <w:w w:val="96"/>
              </w:rPr>
              <w:t>Interest rate swaps</w:t>
            </w:r>
          </w:p>
        </w:tc>
        <w:tc>
          <w:tcPr>
            <w:tcW w:w="2000" w:type="dxa"/>
            <w:vAlign w:val="bottom"/>
          </w:tcPr>
          <w:p>
            <w:pPr>
              <w:jc w:val="center"/>
              <w:spacing w:after="0"/>
              <w:rPr>
                <w:sz w:val="20"/>
                <w:szCs w:val="20"/>
                <w:color w:val="auto"/>
              </w:rPr>
            </w:pPr>
            <w:r>
              <w:rPr>
                <w:rFonts w:ascii="Arial" w:cs="Arial" w:eastAsia="Arial" w:hAnsi="Arial"/>
                <w:sz w:val="16"/>
                <w:szCs w:val="16"/>
                <w:color w:val="auto"/>
                <w:w w:val="96"/>
              </w:rPr>
              <w:t>Other assets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7"/>
              </w:rPr>
              <w:t>Other liabilities</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7"/>
                <w:szCs w:val="17"/>
                <w:color w:val="auto"/>
              </w:rPr>
            </w:pPr>
          </w:p>
        </w:tc>
      </w:tr>
      <w:tr>
        <w:trPr>
          <w:trHeight w:val="245"/>
        </w:trPr>
        <w:tc>
          <w:tcPr>
            <w:tcW w:w="4660" w:type="dxa"/>
            <w:vAlign w:val="bottom"/>
            <w:tcBorders>
              <w:bottom w:val="single" w:sz="8" w:color="CFF0FC"/>
            </w:tcBorders>
            <w:shd w:val="clear" w:color="auto" w:fill="CFF0FC"/>
          </w:tcPr>
          <w:p>
            <w:pPr>
              <w:jc w:val="center"/>
              <w:ind w:right="3102"/>
              <w:spacing w:after="0"/>
              <w:rPr>
                <w:sz w:val="20"/>
                <w:szCs w:val="20"/>
                <w:color w:val="auto"/>
              </w:rPr>
            </w:pPr>
            <w:r>
              <w:rPr>
                <w:rFonts w:ascii="Arial" w:cs="Arial" w:eastAsia="Arial" w:hAnsi="Arial"/>
                <w:sz w:val="16"/>
                <w:szCs w:val="16"/>
                <w:color w:val="auto"/>
                <w:w w:val="96"/>
              </w:rPr>
              <w:t>Total derivatives</w:t>
            </w:r>
          </w:p>
        </w:tc>
        <w:tc>
          <w:tcPr>
            <w:tcW w:w="2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16"/>
        </w:trPr>
        <w:tc>
          <w:tcPr>
            <w:tcW w:w="4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46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3"/>
          </w:tcPr>
          <w:p>
            <w:pPr>
              <w:jc w:val="center"/>
              <w:ind w:right="1122"/>
              <w:spacing w:after="0"/>
              <w:rPr>
                <w:sz w:val="20"/>
                <w:szCs w:val="20"/>
                <w:color w:val="auto"/>
              </w:rPr>
            </w:pPr>
            <w:r>
              <w:rPr>
                <w:rFonts w:ascii="Arial" w:cs="Arial" w:eastAsia="Arial" w:hAnsi="Arial"/>
                <w:sz w:val="16"/>
                <w:szCs w:val="16"/>
                <w:b w:val="1"/>
                <w:bCs w:val="1"/>
                <w:color w:val="auto"/>
                <w:w w:val="98"/>
              </w:rPr>
              <w:t>December 31, 2022</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66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Arial" w:cs="Arial" w:eastAsia="Arial" w:hAnsi="Arial"/>
                <w:sz w:val="16"/>
                <w:szCs w:val="16"/>
                <w:b w:val="1"/>
                <w:bCs w:val="1"/>
                <w:color w:val="auto"/>
              </w:rPr>
              <w:t>Asset Derivatives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rPr>
              <w:t>Liability Derivatives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7"/>
        </w:trPr>
        <w:tc>
          <w:tcPr>
            <w:tcW w:w="4660" w:type="dxa"/>
            <w:vAlign w:val="bottom"/>
          </w:tcPr>
          <w:p>
            <w:pPr>
              <w:spacing w:after="0"/>
              <w:rPr>
                <w:sz w:val="15"/>
                <w:szCs w:val="15"/>
                <w:color w:val="auto"/>
              </w:rPr>
            </w:pPr>
          </w:p>
        </w:tc>
        <w:tc>
          <w:tcPr>
            <w:tcW w:w="200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6"/>
              </w:rPr>
              <w:t>Balance Sheet</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6"/>
              </w:rPr>
              <w:t>Balance Sheet</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7"/>
        </w:trPr>
        <w:tc>
          <w:tcPr>
            <w:tcW w:w="46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8"/>
              </w:rPr>
              <w:t>Location</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5"/>
              </w:rPr>
              <w:t>Location</w:t>
            </w: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8"/>
                <w:szCs w:val="18"/>
                <w:color w:val="auto"/>
              </w:rPr>
            </w:pPr>
          </w:p>
        </w:tc>
      </w:tr>
      <w:tr>
        <w:trPr>
          <w:trHeight w:val="195"/>
        </w:trPr>
        <w:tc>
          <w:tcPr>
            <w:tcW w:w="4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3"/>
          </w:tcPr>
          <w:p>
            <w:pPr>
              <w:jc w:val="center"/>
              <w:ind w:right="1142"/>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660" w:type="dxa"/>
            <w:vAlign w:val="bottom"/>
          </w:tcPr>
          <w:p>
            <w:pPr>
              <w:jc w:val="center"/>
              <w:ind w:right="3082"/>
              <w:spacing w:after="0"/>
              <w:rPr>
                <w:sz w:val="20"/>
                <w:szCs w:val="20"/>
                <w:color w:val="auto"/>
              </w:rPr>
            </w:pPr>
            <w:r>
              <w:rPr>
                <w:rFonts w:ascii="Arial" w:cs="Arial" w:eastAsia="Arial" w:hAnsi="Arial"/>
                <w:sz w:val="16"/>
                <w:szCs w:val="16"/>
                <w:color w:val="auto"/>
                <w:w w:val="96"/>
              </w:rPr>
              <w:t>Interest rate swaps</w:t>
            </w:r>
          </w:p>
        </w:tc>
        <w:tc>
          <w:tcPr>
            <w:tcW w:w="2000" w:type="dxa"/>
            <w:vAlign w:val="bottom"/>
          </w:tcPr>
          <w:p>
            <w:pPr>
              <w:jc w:val="center"/>
              <w:spacing w:after="0"/>
              <w:rPr>
                <w:sz w:val="20"/>
                <w:szCs w:val="20"/>
                <w:color w:val="auto"/>
              </w:rPr>
            </w:pPr>
            <w:r>
              <w:rPr>
                <w:rFonts w:ascii="Arial" w:cs="Arial" w:eastAsia="Arial" w:hAnsi="Arial"/>
                <w:sz w:val="16"/>
                <w:szCs w:val="16"/>
                <w:color w:val="auto"/>
                <w:w w:val="96"/>
              </w:rPr>
              <w:t>Other assets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7"/>
              </w:rPr>
              <w:t>Other liabilities</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7"/>
                <w:szCs w:val="17"/>
                <w:color w:val="auto"/>
              </w:rPr>
            </w:pPr>
          </w:p>
        </w:tc>
      </w:tr>
      <w:tr>
        <w:trPr>
          <w:trHeight w:val="245"/>
        </w:trPr>
        <w:tc>
          <w:tcPr>
            <w:tcW w:w="4660" w:type="dxa"/>
            <w:vAlign w:val="bottom"/>
            <w:tcBorders>
              <w:bottom w:val="single" w:sz="8" w:color="CFF0FC"/>
            </w:tcBorders>
            <w:shd w:val="clear" w:color="auto" w:fill="CFF0FC"/>
          </w:tcPr>
          <w:p>
            <w:pPr>
              <w:jc w:val="center"/>
              <w:ind w:right="3102"/>
              <w:spacing w:after="0"/>
              <w:rPr>
                <w:sz w:val="20"/>
                <w:szCs w:val="20"/>
                <w:color w:val="auto"/>
              </w:rPr>
            </w:pPr>
            <w:r>
              <w:rPr>
                <w:rFonts w:ascii="Arial" w:cs="Arial" w:eastAsia="Arial" w:hAnsi="Arial"/>
                <w:sz w:val="16"/>
                <w:szCs w:val="16"/>
                <w:color w:val="auto"/>
                <w:w w:val="96"/>
              </w:rPr>
              <w:t>Total derivatives</w:t>
            </w:r>
          </w:p>
        </w:tc>
        <w:tc>
          <w:tcPr>
            <w:tcW w:w="2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46"/>
        </w:trPr>
        <w:tc>
          <w:tcPr>
            <w:tcW w:w="4660" w:type="dxa"/>
            <w:vAlign w:val="bottom"/>
          </w:tcPr>
          <w:p>
            <w:pPr>
              <w:spacing w:after="0"/>
              <w:rPr>
                <w:sz w:val="24"/>
                <w:szCs w:val="24"/>
                <w:color w:val="auto"/>
              </w:rPr>
            </w:pPr>
          </w:p>
        </w:tc>
        <w:tc>
          <w:tcPr>
            <w:tcW w:w="2000" w:type="dxa"/>
            <w:vAlign w:val="bottom"/>
          </w:tcPr>
          <w:p>
            <w:pPr>
              <w:jc w:val="right"/>
              <w:ind w:right="1202"/>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4660" w:type="dxa"/>
            <w:vAlign w:val="bottom"/>
            <w:tcBorders>
              <w:bottom w:val="single" w:sz="8" w:color="EEEEEE"/>
            </w:tcBorders>
          </w:tcPr>
          <w:p>
            <w:pPr>
              <w:spacing w:after="0"/>
              <w:rPr>
                <w:sz w:val="24"/>
                <w:szCs w:val="24"/>
                <w:color w:val="auto"/>
              </w:rPr>
            </w:pPr>
          </w:p>
        </w:tc>
        <w:tc>
          <w:tcPr>
            <w:tcW w:w="20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2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ectPr>
          <w:pgSz w:w="11900" w:h="16840" w:orient="portrait"/>
          <w:cols w:equalWidth="0" w:num="1">
            <w:col w:w="10560"/>
          </w:cols>
          <w:pgMar w:left="660" w:top="782" w:right="680"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Effect of Derivative Financial Instruments on the Condensed Consolidated Statements of Earnings</w:t>
      </w:r>
    </w:p>
    <w:p>
      <w:pPr>
        <w:spacing w:after="0" w:line="184" w:lineRule="exact"/>
        <w:rPr>
          <w:sz w:val="20"/>
          <w:szCs w:val="20"/>
          <w:color w:val="auto"/>
        </w:rPr>
      </w:pPr>
    </w:p>
    <w:p>
      <w:pPr>
        <w:ind w:right="40" w:firstLine="432"/>
        <w:spacing w:after="0" w:line="252" w:lineRule="auto"/>
        <w:rPr>
          <w:sz w:val="20"/>
          <w:szCs w:val="20"/>
          <w:color w:val="auto"/>
        </w:rPr>
      </w:pPr>
      <w:r>
        <w:rPr>
          <w:rFonts w:ascii="Arial" w:cs="Arial" w:eastAsia="Arial" w:hAnsi="Arial"/>
          <w:sz w:val="16"/>
          <w:szCs w:val="16"/>
          <w:color w:val="auto"/>
        </w:rPr>
        <w:t>The following table summarizes the effect of derivative financial instruments on the condensed consolidated statements of earnings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80" w:type="dxa"/>
            <w:vAlign w:val="bottom"/>
          </w:tcPr>
          <w:p>
            <w:pPr>
              <w:jc w:val="center"/>
              <w:ind w:right="34"/>
              <w:spacing w:after="0"/>
              <w:rPr>
                <w:sz w:val="20"/>
                <w:szCs w:val="20"/>
                <w:color w:val="auto"/>
              </w:rPr>
            </w:pPr>
            <w:r>
              <w:rPr>
                <w:rFonts w:ascii="Arial" w:cs="Arial" w:eastAsia="Arial" w:hAnsi="Arial"/>
                <w:sz w:val="13"/>
                <w:szCs w:val="13"/>
                <w:b w:val="1"/>
                <w:bCs w:val="1"/>
                <w:color w:val="auto"/>
              </w:rPr>
              <w:t>Derivatives Not Designated</w:t>
            </w:r>
          </w:p>
        </w:tc>
        <w:tc>
          <w:tcPr>
            <w:tcW w:w="3680" w:type="dxa"/>
            <w:vAlign w:val="bottom"/>
          </w:tcPr>
          <w:p>
            <w:pPr>
              <w:jc w:val="center"/>
              <w:ind w:right="34"/>
              <w:spacing w:after="0"/>
              <w:rPr>
                <w:sz w:val="20"/>
                <w:szCs w:val="20"/>
                <w:color w:val="auto"/>
              </w:rPr>
            </w:pPr>
            <w:r>
              <w:rPr>
                <w:rFonts w:ascii="Arial" w:cs="Arial" w:eastAsia="Arial" w:hAnsi="Arial"/>
                <w:sz w:val="13"/>
                <w:szCs w:val="13"/>
                <w:b w:val="1"/>
                <w:bCs w:val="1"/>
                <w:color w:val="auto"/>
              </w:rPr>
              <w:t>Location of Gain Recognized in</w:t>
            </w:r>
          </w:p>
        </w:tc>
        <w:tc>
          <w:tcPr>
            <w:tcW w:w="400" w:type="dxa"/>
            <w:vAlign w:val="bottom"/>
          </w:tcPr>
          <w:p>
            <w:pPr>
              <w:spacing w:after="0"/>
              <w:rPr>
                <w:sz w:val="13"/>
                <w:szCs w:val="13"/>
                <w:color w:val="auto"/>
              </w:rPr>
            </w:pPr>
          </w:p>
        </w:tc>
        <w:tc>
          <w:tcPr>
            <w:tcW w:w="3400" w:type="dxa"/>
            <w:vAlign w:val="bottom"/>
            <w:gridSpan w:val="6"/>
          </w:tcPr>
          <w:p>
            <w:pPr>
              <w:jc w:val="center"/>
              <w:ind w:right="520"/>
              <w:spacing w:after="0"/>
              <w:rPr>
                <w:sz w:val="20"/>
                <w:szCs w:val="20"/>
                <w:color w:val="auto"/>
              </w:rPr>
            </w:pPr>
            <w:r>
              <w:rPr>
                <w:rFonts w:ascii="Arial" w:cs="Arial" w:eastAsia="Arial" w:hAnsi="Arial"/>
                <w:sz w:val="13"/>
                <w:szCs w:val="13"/>
                <w:b w:val="1"/>
                <w:bCs w:val="1"/>
                <w:color w:val="auto"/>
              </w:rPr>
              <w:t>Amount of Gain Recognized in</w:t>
            </w:r>
          </w:p>
        </w:tc>
      </w:tr>
      <w:tr>
        <w:trPr>
          <w:trHeight w:val="180"/>
        </w:trPr>
        <w:tc>
          <w:tcPr>
            <w:tcW w:w="3080" w:type="dxa"/>
            <w:vAlign w:val="bottom"/>
          </w:tcPr>
          <w:p>
            <w:pPr>
              <w:jc w:val="center"/>
              <w:spacing w:after="0"/>
              <w:rPr>
                <w:sz w:val="20"/>
                <w:szCs w:val="20"/>
                <w:color w:val="auto"/>
              </w:rPr>
            </w:pPr>
            <w:r>
              <w:rPr>
                <w:rFonts w:ascii="Arial" w:cs="Arial" w:eastAsia="Arial" w:hAnsi="Arial"/>
                <w:sz w:val="13"/>
                <w:szCs w:val="13"/>
                <w:b w:val="1"/>
                <w:bCs w:val="1"/>
                <w:color w:val="auto"/>
              </w:rPr>
              <w:t>as Hedging Instruments</w:t>
            </w:r>
          </w:p>
        </w:tc>
        <w:tc>
          <w:tcPr>
            <w:tcW w:w="3680" w:type="dxa"/>
            <w:vAlign w:val="bottom"/>
          </w:tcPr>
          <w:p>
            <w:pPr>
              <w:jc w:val="center"/>
              <w:ind w:right="14"/>
              <w:spacing w:after="0"/>
              <w:rPr>
                <w:sz w:val="20"/>
                <w:szCs w:val="20"/>
                <w:color w:val="auto"/>
              </w:rPr>
            </w:pPr>
            <w:r>
              <w:rPr>
                <w:rFonts w:ascii="Arial" w:cs="Arial" w:eastAsia="Arial" w:hAnsi="Arial"/>
                <w:sz w:val="13"/>
                <w:szCs w:val="13"/>
                <w:b w:val="1"/>
                <w:bCs w:val="1"/>
                <w:color w:val="auto"/>
              </w:rPr>
              <w:t>Income on Derivative Instruments</w:t>
            </w:r>
          </w:p>
        </w:tc>
        <w:tc>
          <w:tcPr>
            <w:tcW w:w="400" w:type="dxa"/>
            <w:vAlign w:val="bottom"/>
          </w:tcPr>
          <w:p>
            <w:pPr>
              <w:spacing w:after="0"/>
              <w:rPr>
                <w:sz w:val="15"/>
                <w:szCs w:val="15"/>
                <w:color w:val="auto"/>
              </w:rPr>
            </w:pPr>
          </w:p>
        </w:tc>
        <w:tc>
          <w:tcPr>
            <w:tcW w:w="3400" w:type="dxa"/>
            <w:vAlign w:val="bottom"/>
            <w:gridSpan w:val="6"/>
          </w:tcPr>
          <w:p>
            <w:pPr>
              <w:ind w:left="400"/>
              <w:spacing w:after="0"/>
              <w:rPr>
                <w:sz w:val="20"/>
                <w:szCs w:val="20"/>
                <w:color w:val="auto"/>
              </w:rPr>
            </w:pPr>
            <w:r>
              <w:rPr>
                <w:rFonts w:ascii="Arial" w:cs="Arial" w:eastAsia="Arial" w:hAnsi="Arial"/>
                <w:sz w:val="13"/>
                <w:szCs w:val="13"/>
                <w:b w:val="1"/>
                <w:bCs w:val="1"/>
                <w:color w:val="auto"/>
              </w:rPr>
              <w:t>Income on Derivative Instruments</w:t>
            </w:r>
          </w:p>
        </w:tc>
      </w:tr>
      <w:tr>
        <w:trPr>
          <w:trHeight w:val="156"/>
        </w:trPr>
        <w:tc>
          <w:tcPr>
            <w:tcW w:w="30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gridSpan w:val="4"/>
          </w:tcPr>
          <w:p>
            <w:pPr>
              <w:jc w:val="center"/>
              <w:ind w:left="634"/>
              <w:spacing w:after="0"/>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30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gridSpan w:val="4"/>
          </w:tcPr>
          <w:p>
            <w:pPr>
              <w:jc w:val="center"/>
              <w:ind w:left="634"/>
              <w:spacing w:after="0"/>
              <w:rPr>
                <w:sz w:val="20"/>
                <w:szCs w:val="20"/>
                <w:color w:val="auto"/>
              </w:rPr>
            </w:pPr>
            <w:r>
              <w:rPr>
                <w:rFonts w:ascii="Arial" w:cs="Arial" w:eastAsia="Arial" w:hAnsi="Arial"/>
                <w:sz w:val="13"/>
                <w:szCs w:val="13"/>
                <w:b w:val="1"/>
                <w:bCs w:val="1"/>
                <w:color w:val="auto"/>
              </w:rPr>
              <w:t>March 31,</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30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5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ind w:right="65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77"/>
        </w:trPr>
        <w:tc>
          <w:tcPr>
            <w:tcW w:w="30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gridSpan w:val="4"/>
          </w:tcPr>
          <w:p>
            <w:pPr>
              <w:jc w:val="center"/>
              <w:ind w:left="654"/>
              <w:spacing w:after="0"/>
              <w:rPr>
                <w:sz w:val="20"/>
                <w:szCs w:val="20"/>
                <w:color w:val="auto"/>
              </w:rPr>
            </w:pPr>
            <w:r>
              <w:rPr>
                <w:rFonts w:ascii="Arial" w:cs="Arial" w:eastAsia="Arial" w:hAnsi="Arial"/>
                <w:sz w:val="13"/>
                <w:szCs w:val="13"/>
                <w:i w:val="1"/>
                <w:iCs w:val="1"/>
                <w:color w:val="auto"/>
              </w:rPr>
              <w:t>(Dollars in thousands)</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3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 rate swaps</w:t>
            </w:r>
          </w:p>
        </w:tc>
        <w:tc>
          <w:tcPr>
            <w:tcW w:w="368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Other income</w:t>
            </w:r>
          </w:p>
        </w:tc>
        <w:tc>
          <w:tcPr>
            <w:tcW w:w="400" w:type="dxa"/>
            <w:vAlign w:val="bottom"/>
            <w:shd w:val="clear" w:color="auto" w:fill="CFF0FC"/>
          </w:tcPr>
          <w:p>
            <w:pPr>
              <w:jc w:val="right"/>
              <w:ind w:right="254"/>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FF0FC"/>
          </w:tcPr>
          <w:p>
            <w:pPr>
              <w:ind w:left="1180"/>
              <w:spacing w:after="0"/>
              <w:rPr>
                <w:sz w:val="20"/>
                <w:szCs w:val="20"/>
                <w:color w:val="auto"/>
              </w:rPr>
            </w:pPr>
            <w:r>
              <w:rPr>
                <w:rFonts w:ascii="Arial" w:cs="Arial" w:eastAsia="Arial" w:hAnsi="Arial"/>
                <w:sz w:val="13"/>
                <w:szCs w:val="13"/>
                <w:color w:val="auto"/>
                <w:w w:val="91"/>
              </w:rPr>
              <w:t>—</w:t>
            </w:r>
          </w:p>
        </w:tc>
        <w:tc>
          <w:tcPr>
            <w:tcW w:w="880" w:type="dxa"/>
            <w:vAlign w:val="bottom"/>
            <w:gridSpan w:val="3"/>
            <w:shd w:val="clear" w:color="auto" w:fill="CFF0FC"/>
          </w:tcPr>
          <w:p>
            <w:pPr>
              <w:jc w:val="right"/>
              <w:ind w:right="5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ind w:left="960"/>
              <w:spacing w:after="0"/>
              <w:rPr>
                <w:sz w:val="20"/>
                <w:szCs w:val="20"/>
                <w:color w:val="auto"/>
              </w:rPr>
            </w:pPr>
            <w:r>
              <w:rPr>
                <w:rFonts w:ascii="Arial" w:cs="Arial" w:eastAsia="Arial" w:hAnsi="Arial"/>
                <w:sz w:val="13"/>
                <w:szCs w:val="13"/>
                <w:color w:val="auto"/>
              </w:rPr>
              <w:t>—</w:t>
            </w:r>
          </w:p>
        </w:tc>
      </w:tr>
      <w:tr>
        <w:trPr>
          <w:trHeight w:val="180"/>
        </w:trPr>
        <w:tc>
          <w:tcPr>
            <w:tcW w:w="3080" w:type="dxa"/>
            <w:vAlign w:val="bottom"/>
          </w:tcPr>
          <w:p>
            <w:pPr>
              <w:ind w:left="100"/>
              <w:spacing w:after="0"/>
              <w:rPr>
                <w:sz w:val="20"/>
                <w:szCs w:val="20"/>
                <w:color w:val="auto"/>
              </w:rPr>
            </w:pPr>
            <w:r>
              <w:rPr>
                <w:rFonts w:ascii="Arial" w:cs="Arial" w:eastAsia="Arial" w:hAnsi="Arial"/>
                <w:sz w:val="13"/>
                <w:szCs w:val="13"/>
                <w:color w:val="auto"/>
              </w:rPr>
              <w:t>Total</w:t>
            </w:r>
          </w:p>
        </w:tc>
        <w:tc>
          <w:tcPr>
            <w:tcW w:w="3680" w:type="dxa"/>
            <w:vAlign w:val="bottom"/>
          </w:tcPr>
          <w:p>
            <w:pPr>
              <w:spacing w:after="0"/>
              <w:rPr>
                <w:sz w:val="15"/>
                <w:szCs w:val="15"/>
                <w:color w:val="auto"/>
              </w:rPr>
            </w:pPr>
          </w:p>
        </w:tc>
        <w:tc>
          <w:tcPr>
            <w:tcW w:w="400" w:type="dxa"/>
            <w:vAlign w:val="bottom"/>
          </w:tcPr>
          <w:p>
            <w:pPr>
              <w:jc w:val="right"/>
              <w:ind w:right="254"/>
              <w:spacing w:after="0"/>
              <w:rPr>
                <w:sz w:val="20"/>
                <w:szCs w:val="20"/>
                <w:color w:val="auto"/>
              </w:rPr>
            </w:pPr>
            <w:r>
              <w:rPr>
                <w:rFonts w:ascii="Arial" w:cs="Arial" w:eastAsia="Arial" w:hAnsi="Arial"/>
                <w:sz w:val="13"/>
                <w:szCs w:val="13"/>
                <w:color w:val="auto"/>
                <w:w w:val="82"/>
              </w:rPr>
              <w:t>$</w:t>
            </w:r>
          </w:p>
        </w:tc>
        <w:tc>
          <w:tcPr>
            <w:tcW w:w="1320" w:type="dxa"/>
            <w:vAlign w:val="bottom"/>
          </w:tcPr>
          <w:p>
            <w:pPr>
              <w:ind w:left="11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ind w:left="960"/>
              <w:spacing w:after="0"/>
              <w:rPr>
                <w:sz w:val="20"/>
                <w:szCs w:val="20"/>
                <w:color w:val="auto"/>
              </w:rPr>
            </w:pPr>
            <w:r>
              <w:rPr>
                <w:rFonts w:ascii="Arial" w:cs="Arial" w:eastAsia="Arial" w:hAnsi="Arial"/>
                <w:sz w:val="13"/>
                <w:szCs w:val="13"/>
                <w:color w:val="auto"/>
              </w:rPr>
              <w:t>—</w:t>
            </w:r>
          </w:p>
        </w:tc>
      </w:tr>
      <w:tr>
        <w:trPr>
          <w:trHeight w:val="20"/>
        </w:trPr>
        <w:tc>
          <w:tcPr>
            <w:tcW w:w="30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5" w:lineRule="exact"/>
        <w:rPr>
          <w:sz w:val="20"/>
          <w:szCs w:val="20"/>
          <w:color w:val="auto"/>
        </w:rPr>
      </w:pPr>
    </w:p>
    <w:p>
      <w:pPr>
        <w:ind w:left="400" w:hanging="394"/>
        <w:spacing w:after="0"/>
        <w:tabs>
          <w:tab w:leader="none" w:pos="4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provides a summary of the components of other comprehensive income (“OCI”)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080" w:type="dxa"/>
            <w:vAlign w:val="bottom"/>
            <w:gridSpan w:val="8"/>
          </w:tcPr>
          <w:p>
            <w:pPr>
              <w:jc w:val="right"/>
              <w:ind w:right="100"/>
              <w:spacing w:after="0"/>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Before-tax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Tax effect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After-tax</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Before-tax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5"/>
              </w:rPr>
              <w:t>Tax effect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b w:val="1"/>
                <w:bCs w:val="1"/>
                <w:color w:val="auto"/>
              </w:rPr>
              <w:t>After-tax</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jc w:val="right"/>
              <w:ind w:right="440"/>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securities:</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180"/>
              <w:spacing w:after="0"/>
              <w:rPr>
                <w:sz w:val="20"/>
                <w:szCs w:val="20"/>
                <w:color w:val="auto"/>
              </w:rPr>
            </w:pPr>
            <w:r>
              <w:rPr>
                <w:rFonts w:ascii="Arial" w:cs="Arial" w:eastAsia="Arial" w:hAnsi="Arial"/>
                <w:sz w:val="13"/>
                <w:szCs w:val="13"/>
                <w:color w:val="auto"/>
              </w:rPr>
              <w:t>Net change in fair value recorded in accumulated OCI</w:t>
            </w:r>
          </w:p>
        </w:tc>
        <w:tc>
          <w:tcPr>
            <w:tcW w:w="34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40,424</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(11,951 )</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28,473</w:t>
            </w:r>
          </w:p>
        </w:tc>
        <w:tc>
          <w:tcPr>
            <w:tcW w:w="100" w:type="dxa"/>
            <w:vAlign w:val="bottom"/>
          </w:tcPr>
          <w:p>
            <w:pPr>
              <w:spacing w:after="0"/>
              <w:rPr>
                <w:sz w:val="15"/>
                <w:szCs w:val="15"/>
                <w:color w:val="auto"/>
              </w:rPr>
            </w:pPr>
          </w:p>
        </w:tc>
        <w:tc>
          <w:tcPr>
            <w:tcW w:w="3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(202,072 )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59,740</w:t>
            </w:r>
          </w:p>
        </w:tc>
        <w:tc>
          <w:tcPr>
            <w:tcW w:w="10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(142,332 )</w:t>
            </w:r>
          </w:p>
        </w:tc>
        <w:tc>
          <w:tcPr>
            <w:tcW w:w="0" w:type="dxa"/>
            <w:vAlign w:val="bottom"/>
          </w:tcPr>
          <w:p>
            <w:pPr>
              <w:spacing w:after="0"/>
              <w:rPr>
                <w:sz w:val="1"/>
                <w:szCs w:val="1"/>
                <w:color w:val="auto"/>
              </w:rPr>
            </w:pPr>
          </w:p>
        </w:tc>
      </w:tr>
      <w:tr>
        <w:trPr>
          <w:trHeight w:val="166"/>
        </w:trPr>
        <w:tc>
          <w:tcPr>
            <w:tcW w:w="44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net unrealized losses on securities</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shd w:val="clear" w:color="auto" w:fill="CFF0FC"/>
          </w:tcPr>
          <w:p>
            <w:pPr>
              <w:ind w:left="280"/>
              <w:spacing w:after="0"/>
              <w:rPr>
                <w:sz w:val="20"/>
                <w:szCs w:val="20"/>
                <w:color w:val="auto"/>
              </w:rPr>
            </w:pPr>
            <w:r>
              <w:rPr>
                <w:rFonts w:ascii="Arial" w:cs="Arial" w:eastAsia="Arial" w:hAnsi="Arial"/>
                <w:sz w:val="13"/>
                <w:szCs w:val="13"/>
                <w:color w:val="auto"/>
              </w:rPr>
              <w:t>transferred from available-for-sale to held-to-maturity</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(82 )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500"/>
              <w:spacing w:after="0"/>
              <w:rPr>
                <w:sz w:val="20"/>
                <w:szCs w:val="20"/>
                <w:color w:val="auto"/>
              </w:rPr>
            </w:pPr>
            <w:r>
              <w:rPr>
                <w:rFonts w:ascii="Arial" w:cs="Arial" w:eastAsia="Arial" w:hAnsi="Arial"/>
                <w:sz w:val="13"/>
                <w:szCs w:val="13"/>
                <w:color w:val="auto"/>
              </w:rPr>
              <w:t>Net change</w:t>
            </w:r>
          </w:p>
        </w:tc>
        <w:tc>
          <w:tcPr>
            <w:tcW w:w="34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40,702</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(12,033 )</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28,669</w:t>
            </w:r>
          </w:p>
        </w:tc>
        <w:tc>
          <w:tcPr>
            <w:tcW w:w="100" w:type="dxa"/>
            <w:vAlign w:val="bottom"/>
          </w:tcPr>
          <w:p>
            <w:pPr>
              <w:spacing w:after="0"/>
              <w:rPr>
                <w:sz w:val="15"/>
                <w:szCs w:val="15"/>
                <w:color w:val="auto"/>
              </w:rPr>
            </w:pPr>
          </w:p>
        </w:tc>
        <w:tc>
          <w:tcPr>
            <w:tcW w:w="3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(202,018 )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59,724</w:t>
            </w:r>
          </w:p>
        </w:tc>
        <w:tc>
          <w:tcPr>
            <w:tcW w:w="10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(142,294 )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40" w:orient="portrait"/>
          <w:cols w:equalWidth="0" w:num="1">
            <w:col w:w="10560"/>
          </w:cols>
          <w:pgMar w:left="660" w:top="782" w:right="680"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11.  BALANCE SHEET OFFSETTING</w:t>
      </w:r>
    </w:p>
    <w:p>
      <w:pPr>
        <w:spacing w:after="0" w:line="184" w:lineRule="exact"/>
        <w:rPr>
          <w:sz w:val="20"/>
          <w:szCs w:val="20"/>
          <w:color w:val="auto"/>
        </w:rPr>
      </w:pPr>
    </w:p>
    <w:p>
      <w:pPr>
        <w:ind w:firstLine="348"/>
        <w:spacing w:after="0" w:line="237" w:lineRule="auto"/>
        <w:rPr>
          <w:sz w:val="20"/>
          <w:szCs w:val="20"/>
          <w:color w:val="auto"/>
        </w:rPr>
      </w:pPr>
      <w:r>
        <w:rPr>
          <w:rFonts w:ascii="Arial" w:cs="Arial" w:eastAsia="Arial" w:hAnsi="Arial"/>
          <w:sz w:val="16"/>
          <w:szCs w:val="16"/>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34"/>
              <w:spacing w:after="0"/>
              <w:rPr>
                <w:sz w:val="20"/>
                <w:szCs w:val="20"/>
                <w:color w:val="auto"/>
              </w:rPr>
            </w:pPr>
            <w:r>
              <w:rPr>
                <w:rFonts w:ascii="Arial" w:cs="Arial" w:eastAsia="Arial" w:hAnsi="Arial"/>
                <w:sz w:val="13"/>
                <w:szCs w:val="13"/>
                <w:b w:val="1"/>
                <w:bCs w:val="1"/>
                <w:color w:val="auto"/>
              </w:rPr>
              <w:t>Gross Amounts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Gross Amounts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Net Amounts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rPr>
              <w:t>Gross Amounts Not Offset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22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rPr>
              <w:t>Recognized in the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Offset in the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Presented in the</w:t>
            </w:r>
          </w:p>
        </w:tc>
        <w:tc>
          <w:tcPr>
            <w:tcW w:w="100" w:type="dxa"/>
            <w:vAlign w:val="bottom"/>
          </w:tcPr>
          <w:p>
            <w:pPr>
              <w:spacing w:after="0"/>
              <w:rPr>
                <w:sz w:val="13"/>
                <w:szCs w:val="13"/>
                <w:color w:val="auto"/>
              </w:rPr>
            </w:pPr>
          </w:p>
        </w:tc>
        <w:tc>
          <w:tcPr>
            <w:tcW w:w="268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rPr>
              <w:t>in the Condensed Consolidated Balance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34"/>
              <w:spacing w:after="0"/>
              <w:rPr>
                <w:sz w:val="20"/>
                <w:szCs w:val="20"/>
                <w:color w:val="auto"/>
              </w:rPr>
            </w:pPr>
            <w:r>
              <w:rPr>
                <w:rFonts w:ascii="Arial" w:cs="Arial" w:eastAsia="Arial" w:hAnsi="Arial"/>
                <w:sz w:val="13"/>
                <w:szCs w:val="13"/>
                <w:b w:val="1"/>
                <w:bCs w:val="1"/>
                <w:color w:val="auto"/>
              </w:rPr>
              <w:t>Condensed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Condensed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Condensed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4"/>
          </w:tcPr>
          <w:p>
            <w:pPr>
              <w:jc w:val="center"/>
              <w:ind w:left="594"/>
              <w:spacing w:after="0"/>
              <w:rPr>
                <w:sz w:val="20"/>
                <w:szCs w:val="20"/>
                <w:color w:val="auto"/>
              </w:rPr>
            </w:pPr>
            <w:r>
              <w:rPr>
                <w:rFonts w:ascii="Arial" w:cs="Arial" w:eastAsia="Arial" w:hAnsi="Arial"/>
                <w:sz w:val="13"/>
                <w:szCs w:val="13"/>
                <w:b w:val="1"/>
                <w:bCs w:val="1"/>
                <w:color w:val="auto"/>
              </w:rPr>
              <w:t>Sheets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34"/>
              <w:spacing w:after="0"/>
              <w:rPr>
                <w:sz w:val="20"/>
                <w:szCs w:val="20"/>
                <w:color w:val="auto"/>
              </w:rPr>
            </w:pPr>
            <w:r>
              <w:rPr>
                <w:rFonts w:ascii="Arial" w:cs="Arial" w:eastAsia="Arial" w:hAnsi="Arial"/>
                <w:sz w:val="13"/>
                <w:szCs w:val="13"/>
                <w:b w:val="1"/>
                <w:bCs w:val="1"/>
                <w:color w:val="auto"/>
              </w:rPr>
              <w:t>Consolidated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Consolidated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Consolidated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Financial</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34"/>
              <w:spacing w:after="0"/>
              <w:rPr>
                <w:sz w:val="20"/>
                <w:szCs w:val="20"/>
                <w:color w:val="auto"/>
              </w:rPr>
            </w:pPr>
            <w:r>
              <w:rPr>
                <w:rFonts w:ascii="Arial" w:cs="Arial" w:eastAsia="Arial" w:hAnsi="Arial"/>
                <w:sz w:val="13"/>
                <w:szCs w:val="13"/>
                <w:b w:val="1"/>
                <w:bCs w:val="1"/>
                <w:color w:val="auto"/>
                <w:w w:val="99"/>
              </w:rPr>
              <w:t>Balance Sheets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Balance Sheets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Balance Sheets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Instruments</w:t>
            </w:r>
          </w:p>
        </w:tc>
        <w:tc>
          <w:tcPr>
            <w:tcW w:w="1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rPr>
              <w:t>Collateral Pledged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Net Amount</w:t>
            </w:r>
          </w:p>
        </w:tc>
      </w:tr>
      <w:tr>
        <w:trPr>
          <w:trHeight w:val="17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ind w:left="540"/>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March 31, 2023</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Financial assets: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1"/>
        </w:trPr>
        <w:tc>
          <w:tcPr>
            <w:tcW w:w="22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22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FF0FC"/>
          </w:tcPr>
          <w:p>
            <w:pPr>
              <w:spacing w:after="0"/>
              <w:rPr>
                <w:sz w:val="15"/>
                <w:szCs w:val="15"/>
                <w:color w:val="auto"/>
              </w:rPr>
            </w:pPr>
          </w:p>
        </w:tc>
      </w:tr>
      <w:tr>
        <w:trPr>
          <w:trHeight w:val="180"/>
        </w:trPr>
        <w:tc>
          <w:tcPr>
            <w:tcW w:w="2220" w:type="dxa"/>
            <w:vAlign w:val="bottom"/>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5"/>
                <w:szCs w:val="15"/>
                <w:color w:val="auto"/>
              </w:rPr>
            </w:pPr>
          </w:p>
        </w:tc>
        <w:tc>
          <w:tcPr>
            <w:tcW w:w="4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5"/>
                <w:szCs w:val="15"/>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6"/>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1"/>
        </w:trPr>
        <w:tc>
          <w:tcPr>
            <w:tcW w:w="2220" w:type="dxa"/>
            <w:vAlign w:val="bottom"/>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2220" w:type="dxa"/>
            <w:vAlign w:val="bottom"/>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43,028</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(42,893 )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4"/>
                <w:szCs w:val="14"/>
                <w:color w:val="auto"/>
              </w:rPr>
            </w:pPr>
          </w:p>
        </w:tc>
        <w:tc>
          <w:tcPr>
            <w:tcW w:w="2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42,893</w:t>
            </w:r>
          </w:p>
        </w:tc>
        <w:tc>
          <w:tcPr>
            <w:tcW w:w="8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(20,581 )</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22,447</w:t>
            </w:r>
          </w:p>
        </w:tc>
        <w:tc>
          <w:tcPr>
            <w:tcW w:w="80" w:type="dxa"/>
            <w:vAlign w:val="bottom"/>
          </w:tcPr>
          <w:p>
            <w:pPr>
              <w:spacing w:after="0"/>
              <w:rPr>
                <w:sz w:val="14"/>
                <w:szCs w:val="14"/>
                <w:color w:val="auto"/>
              </w:rPr>
            </w:pPr>
          </w:p>
        </w:tc>
      </w:tr>
      <w:tr>
        <w:trPr>
          <w:trHeight w:val="185"/>
        </w:trPr>
        <w:tc>
          <w:tcPr>
            <w:tcW w:w="22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Repurchase agreements</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490,235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490,235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(579,048 )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(88,813 )</w:t>
            </w:r>
          </w:p>
        </w:tc>
      </w:tr>
      <w:tr>
        <w:trPr>
          <w:trHeight w:val="180"/>
        </w:trPr>
        <w:tc>
          <w:tcPr>
            <w:tcW w:w="2220" w:type="dxa"/>
            <w:vAlign w:val="bottom"/>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533,263</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(42,893 )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490,370</w:t>
            </w:r>
          </w:p>
        </w:tc>
        <w:tc>
          <w:tcPr>
            <w:tcW w:w="120" w:type="dxa"/>
            <w:vAlign w:val="bottom"/>
          </w:tcPr>
          <w:p>
            <w:pPr>
              <w:spacing w:after="0"/>
              <w:rPr>
                <w:sz w:val="15"/>
                <w:szCs w:val="15"/>
                <w:color w:val="auto"/>
              </w:rPr>
            </w:pPr>
          </w:p>
        </w:tc>
        <w:tc>
          <w:tcPr>
            <w:tcW w:w="2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42,893</w:t>
            </w:r>
          </w:p>
        </w:tc>
        <w:tc>
          <w:tcPr>
            <w:tcW w:w="80" w:type="dxa"/>
            <w:vAlign w:val="bottom"/>
          </w:tcPr>
          <w:p>
            <w:pPr>
              <w:spacing w:after="0"/>
              <w:rPr>
                <w:sz w:val="15"/>
                <w:szCs w:val="15"/>
                <w:color w:val="auto"/>
              </w:rPr>
            </w:pPr>
          </w:p>
        </w:tc>
        <w:tc>
          <w:tcPr>
            <w:tcW w:w="4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(599,629 )</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(66,366 )</w:t>
            </w:r>
          </w:p>
        </w:tc>
      </w:tr>
      <w:tr>
        <w:trPr>
          <w:trHeight w:val="20"/>
        </w:trPr>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6"/>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Financial assets: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1"/>
        </w:trPr>
        <w:tc>
          <w:tcPr>
            <w:tcW w:w="22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22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FF0FC"/>
          </w:tcPr>
          <w:p>
            <w:pPr>
              <w:spacing w:after="0"/>
              <w:rPr>
                <w:sz w:val="15"/>
                <w:szCs w:val="15"/>
                <w:color w:val="auto"/>
              </w:rPr>
            </w:pPr>
          </w:p>
        </w:tc>
      </w:tr>
      <w:tr>
        <w:trPr>
          <w:trHeight w:val="180"/>
        </w:trPr>
        <w:tc>
          <w:tcPr>
            <w:tcW w:w="2220" w:type="dxa"/>
            <w:vAlign w:val="bottom"/>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5"/>
                <w:szCs w:val="15"/>
                <w:color w:val="auto"/>
              </w:rPr>
            </w:pPr>
          </w:p>
        </w:tc>
        <w:tc>
          <w:tcPr>
            <w:tcW w:w="4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5"/>
                <w:szCs w:val="15"/>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1"/>
        </w:trPr>
        <w:tc>
          <w:tcPr>
            <w:tcW w:w="2220" w:type="dxa"/>
            <w:vAlign w:val="bottom"/>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220" w:type="dxa"/>
            <w:vAlign w:val="bottom"/>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53,996</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(53,914 )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4"/>
                <w:szCs w:val="14"/>
                <w:color w:val="auto"/>
              </w:rPr>
            </w:pPr>
          </w:p>
        </w:tc>
        <w:tc>
          <w:tcPr>
            <w:tcW w:w="2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53,914</w:t>
            </w:r>
          </w:p>
        </w:tc>
        <w:tc>
          <w:tcPr>
            <w:tcW w:w="8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(18,258 )</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35,738</w:t>
            </w:r>
          </w:p>
        </w:tc>
        <w:tc>
          <w:tcPr>
            <w:tcW w:w="80" w:type="dxa"/>
            <w:vAlign w:val="bottom"/>
          </w:tcPr>
          <w:p>
            <w:pPr>
              <w:spacing w:after="0"/>
              <w:rPr>
                <w:sz w:val="14"/>
                <w:szCs w:val="14"/>
                <w:color w:val="auto"/>
              </w:rPr>
            </w:pPr>
          </w:p>
        </w:tc>
      </w:tr>
      <w:tr>
        <w:trPr>
          <w:trHeight w:val="185"/>
        </w:trPr>
        <w:tc>
          <w:tcPr>
            <w:tcW w:w="22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Repurchase agreements</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565,431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565,431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(634,075 )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(68,644 )</w:t>
            </w:r>
          </w:p>
        </w:tc>
      </w:tr>
      <w:tr>
        <w:trPr>
          <w:trHeight w:val="180"/>
        </w:trPr>
        <w:tc>
          <w:tcPr>
            <w:tcW w:w="2220" w:type="dxa"/>
            <w:vAlign w:val="bottom"/>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619,427</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(53,914 )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565,513</w:t>
            </w:r>
          </w:p>
        </w:tc>
        <w:tc>
          <w:tcPr>
            <w:tcW w:w="120" w:type="dxa"/>
            <w:vAlign w:val="bottom"/>
          </w:tcPr>
          <w:p>
            <w:pPr>
              <w:spacing w:after="0"/>
              <w:rPr>
                <w:sz w:val="15"/>
                <w:szCs w:val="15"/>
                <w:color w:val="auto"/>
              </w:rPr>
            </w:pPr>
          </w:p>
        </w:tc>
        <w:tc>
          <w:tcPr>
            <w:tcW w:w="2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53,914</w:t>
            </w:r>
          </w:p>
        </w:tc>
        <w:tc>
          <w:tcPr>
            <w:tcW w:w="80" w:type="dxa"/>
            <w:vAlign w:val="bottom"/>
          </w:tcPr>
          <w:p>
            <w:pPr>
              <w:spacing w:after="0"/>
              <w:rPr>
                <w:sz w:val="15"/>
                <w:szCs w:val="15"/>
                <w:color w:val="auto"/>
              </w:rPr>
            </w:pPr>
          </w:p>
        </w:tc>
        <w:tc>
          <w:tcPr>
            <w:tcW w:w="4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(652,333 )</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(32,906 )</w:t>
            </w:r>
          </w:p>
        </w:tc>
      </w:tr>
      <w:tr>
        <w:trPr>
          <w:trHeight w:val="20"/>
        </w:trPr>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40" w:orient="portrait"/>
          <w:cols w:equalWidth="0" w:num="1">
            <w:col w:w="10580"/>
          </w:cols>
          <w:pgMar w:left="660" w:top="782" w:right="660"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12.  LEASES</w:t>
      </w:r>
    </w:p>
    <w:p>
      <w:pPr>
        <w:spacing w:after="0" w:line="184" w:lineRule="exact"/>
        <w:rPr>
          <w:sz w:val="20"/>
          <w:szCs w:val="20"/>
          <w:color w:val="auto"/>
        </w:rPr>
      </w:pPr>
    </w:p>
    <w:p>
      <w:pPr>
        <w:ind w:right="80" w:firstLine="348"/>
        <w:spacing w:after="0"/>
        <w:rPr>
          <w:sz w:val="20"/>
          <w:szCs w:val="20"/>
          <w:color w:val="auto"/>
        </w:rPr>
      </w:pPr>
      <w:r>
        <w:rPr>
          <w:rFonts w:ascii="Arial" w:cs="Arial" w:eastAsia="Arial" w:hAnsi="Arial"/>
          <w:sz w:val="16"/>
          <w:szCs w:val="16"/>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64" w:lineRule="exact"/>
        <w:rPr>
          <w:sz w:val="20"/>
          <w:szCs w:val="20"/>
          <w:color w:val="auto"/>
        </w:rPr>
      </w:pPr>
    </w:p>
    <w:p>
      <w:pPr>
        <w:ind w:right="580" w:firstLine="348"/>
        <w:spacing w:after="0" w:line="252" w:lineRule="auto"/>
        <w:rPr>
          <w:sz w:val="20"/>
          <w:szCs w:val="20"/>
          <w:color w:val="auto"/>
        </w:rPr>
      </w:pPr>
      <w:r>
        <w:rPr>
          <w:rFonts w:ascii="Arial" w:cs="Arial" w:eastAsia="Arial" w:hAnsi="Arial"/>
          <w:sz w:val="16"/>
          <w:szCs w:val="16"/>
          <w:color w:val="auto"/>
        </w:rPr>
        <w:t>While the Company has, as a lessor, certain equipment finance leases, such leases are not material to the Company’s consolidated financial statements.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tables below present the components of lease costs and supplemental information related to leases as of and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3420" w:type="dxa"/>
            <w:vAlign w:val="bottom"/>
          </w:tcPr>
          <w:p>
            <w:pPr>
              <w:jc w:val="center"/>
              <w:ind w:left="2462"/>
              <w:spacing w:after="0"/>
              <w:rPr>
                <w:sz w:val="20"/>
                <w:szCs w:val="20"/>
                <w:color w:val="auto"/>
              </w:rPr>
            </w:pPr>
            <w:r>
              <w:rPr>
                <w:rFonts w:ascii="Arial" w:cs="Arial" w:eastAsia="Arial" w:hAnsi="Arial"/>
                <w:sz w:val="16"/>
                <w:szCs w:val="16"/>
                <w:b w:val="1"/>
                <w:bCs w:val="1"/>
                <w:color w:val="auto"/>
                <w:w w:val="97"/>
              </w:rPr>
              <w:t>March 31,</w:t>
            </w: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40" w:type="dxa"/>
            <w:vAlign w:val="bottom"/>
          </w:tcPr>
          <w:p>
            <w:pPr>
              <w:jc w:val="right"/>
              <w:ind w:right="542"/>
              <w:spacing w:after="0"/>
              <w:rPr>
                <w:sz w:val="20"/>
                <w:szCs w:val="20"/>
                <w:color w:val="auto"/>
              </w:rPr>
            </w:pPr>
            <w:r>
              <w:rPr>
                <w:rFonts w:ascii="Arial" w:cs="Arial" w:eastAsia="Arial" w:hAnsi="Arial"/>
                <w:sz w:val="16"/>
                <w:szCs w:val="16"/>
                <w:b w:val="1"/>
                <w:bCs w:val="1"/>
                <w:color w:val="auto"/>
                <w:w w:val="96"/>
              </w:rPr>
              <w:t>December 31,</w:t>
            </w:r>
          </w:p>
        </w:tc>
      </w:tr>
      <w:tr>
        <w:trPr>
          <w:trHeight w:val="217"/>
        </w:trPr>
        <w:tc>
          <w:tcPr>
            <w:tcW w:w="4020" w:type="dxa"/>
            <w:vAlign w:val="bottom"/>
          </w:tcPr>
          <w:p>
            <w:pPr>
              <w:spacing w:after="0"/>
              <w:rPr>
                <w:sz w:val="18"/>
                <w:szCs w:val="18"/>
                <w:color w:val="auto"/>
              </w:rPr>
            </w:pPr>
          </w:p>
        </w:tc>
        <w:tc>
          <w:tcPr>
            <w:tcW w:w="3420" w:type="dxa"/>
            <w:vAlign w:val="bottom"/>
          </w:tcPr>
          <w:p>
            <w:pPr>
              <w:jc w:val="right"/>
              <w:ind w:right="182"/>
              <w:spacing w:after="0"/>
              <w:rPr>
                <w:sz w:val="20"/>
                <w:szCs w:val="20"/>
                <w:color w:val="auto"/>
              </w:rPr>
            </w:pPr>
            <w:r>
              <w:rPr>
                <w:rFonts w:ascii="Arial" w:cs="Arial" w:eastAsia="Arial" w:hAnsi="Arial"/>
                <w:sz w:val="16"/>
                <w:szCs w:val="16"/>
                <w:b w:val="1"/>
                <w:bCs w:val="1"/>
                <w:color w:val="auto"/>
              </w:rPr>
              <w:t>2023</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jc w:val="right"/>
              <w:ind w:right="882"/>
              <w:spacing w:after="0"/>
              <w:rPr>
                <w:sz w:val="20"/>
                <w:szCs w:val="20"/>
                <w:color w:val="auto"/>
              </w:rPr>
            </w:pPr>
            <w:r>
              <w:rPr>
                <w:rFonts w:ascii="Arial" w:cs="Arial" w:eastAsia="Arial" w:hAnsi="Arial"/>
                <w:sz w:val="16"/>
                <w:szCs w:val="16"/>
                <w:b w:val="1"/>
                <w:bCs w:val="1"/>
                <w:color w:val="auto"/>
              </w:rPr>
              <w:t>2022</w:t>
            </w:r>
          </w:p>
        </w:tc>
      </w:tr>
      <w:tr>
        <w:trPr>
          <w:trHeight w:val="191"/>
        </w:trPr>
        <w:tc>
          <w:tcPr>
            <w:tcW w:w="40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1640" w:type="dxa"/>
            <w:vAlign w:val="bottom"/>
          </w:tcPr>
          <w:p>
            <w:pPr>
              <w:spacing w:after="0"/>
              <w:rPr>
                <w:sz w:val="16"/>
                <w:szCs w:val="16"/>
                <w:color w:val="auto"/>
              </w:rPr>
            </w:pPr>
          </w:p>
        </w:tc>
      </w:tr>
      <w:tr>
        <w:trPr>
          <w:trHeight w:val="207"/>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Lease Assets and Liabilities</w:t>
            </w:r>
          </w:p>
        </w:tc>
        <w:tc>
          <w:tcPr>
            <w:tcW w:w="3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03"/>
        </w:trPr>
        <w:tc>
          <w:tcPr>
            <w:tcW w:w="4020" w:type="dxa"/>
            <w:vAlign w:val="bottom"/>
          </w:tcPr>
          <w:p>
            <w:pPr>
              <w:ind w:left="100"/>
              <w:spacing w:after="0"/>
              <w:rPr>
                <w:sz w:val="20"/>
                <w:szCs w:val="20"/>
                <w:color w:val="auto"/>
              </w:rPr>
            </w:pPr>
            <w:r>
              <w:rPr>
                <w:rFonts w:ascii="Arial" w:cs="Arial" w:eastAsia="Arial" w:hAnsi="Arial"/>
                <w:sz w:val="16"/>
                <w:szCs w:val="16"/>
                <w:color w:val="auto"/>
              </w:rPr>
              <w:t>ROU assets</w:t>
            </w:r>
          </w:p>
        </w:tc>
        <w:tc>
          <w:tcPr>
            <w:tcW w:w="3420" w:type="dxa"/>
            <w:vAlign w:val="bottom"/>
          </w:tcPr>
          <w:p>
            <w:pPr>
              <w:jc w:val="right"/>
              <w:ind w:right="13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4"/>
              <w:spacing w:after="0"/>
              <w:rPr>
                <w:sz w:val="20"/>
                <w:szCs w:val="20"/>
                <w:color w:val="auto"/>
              </w:rPr>
            </w:pPr>
            <w:r>
              <w:rPr>
                <w:rFonts w:ascii="Arial" w:cs="Arial" w:eastAsia="Arial" w:hAnsi="Arial"/>
                <w:sz w:val="16"/>
                <w:szCs w:val="16"/>
                <w:color w:val="auto"/>
              </w:rPr>
              <w:t>22,932</w:t>
            </w:r>
          </w:p>
        </w:tc>
        <w:tc>
          <w:tcPr>
            <w:tcW w:w="70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2"/>
              <w:spacing w:after="0"/>
              <w:rPr>
                <w:sz w:val="20"/>
                <w:szCs w:val="20"/>
                <w:color w:val="auto"/>
              </w:rPr>
            </w:pPr>
            <w:r>
              <w:rPr>
                <w:rFonts w:ascii="Arial" w:cs="Arial" w:eastAsia="Arial" w:hAnsi="Arial"/>
                <w:sz w:val="16"/>
                <w:szCs w:val="16"/>
                <w:color w:val="auto"/>
              </w:rPr>
              <w:t>22,696</w:t>
            </w:r>
          </w:p>
        </w:tc>
      </w:tr>
      <w:tr>
        <w:trPr>
          <w:trHeight w:val="205"/>
        </w:trPr>
        <w:tc>
          <w:tcPr>
            <w:tcW w:w="40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Total lease liabilities</w:t>
            </w:r>
          </w:p>
        </w:tc>
        <w:tc>
          <w:tcPr>
            <w:tcW w:w="3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24,629</w:t>
            </w:r>
          </w:p>
        </w:tc>
        <w:tc>
          <w:tcPr>
            <w:tcW w:w="70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24,458</w:t>
            </w:r>
          </w:p>
        </w:tc>
      </w:tr>
    </w:tbl>
    <w:p>
      <w:pPr>
        <w:spacing w:after="0" w:line="237"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Three Months Ended</w:t>
      </w:r>
    </w:p>
    <w:p>
      <w:pPr>
        <w:spacing w:after="0" w:line="14"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40" w:type="dxa"/>
            <w:vAlign w:val="bottom"/>
          </w:tcPr>
          <w:p>
            <w:pPr>
              <w:spacing w:after="0"/>
              <w:rPr>
                <w:sz w:val="18"/>
                <w:szCs w:val="18"/>
                <w:color w:val="auto"/>
              </w:rPr>
            </w:pPr>
          </w:p>
        </w:tc>
        <w:tc>
          <w:tcPr>
            <w:tcW w:w="1460" w:type="dxa"/>
            <w:vAlign w:val="bottom"/>
          </w:tcPr>
          <w:p>
            <w:pPr>
              <w:jc w:val="right"/>
              <w:ind w:right="162"/>
              <w:spacing w:after="0"/>
              <w:rPr>
                <w:sz w:val="20"/>
                <w:szCs w:val="20"/>
                <w:color w:val="auto"/>
              </w:rPr>
            </w:pPr>
            <w:r>
              <w:rPr>
                <w:rFonts w:ascii="Arial" w:cs="Arial" w:eastAsia="Arial" w:hAnsi="Arial"/>
                <w:sz w:val="16"/>
                <w:szCs w:val="16"/>
                <w:b w:val="1"/>
                <w:bCs w:val="1"/>
                <w:color w:val="auto"/>
              </w:rPr>
              <w:t>2023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ind w:right="78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181"/>
        </w:trPr>
        <w:tc>
          <w:tcPr>
            <w:tcW w:w="5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Lease Cost</w:t>
            </w:r>
          </w:p>
        </w:tc>
        <w:tc>
          <w:tcPr>
            <w:tcW w:w="14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940" w:type="dxa"/>
            <w:vAlign w:val="bottom"/>
          </w:tcPr>
          <w:p>
            <w:pPr>
              <w:ind w:left="100"/>
              <w:spacing w:after="0"/>
              <w:rPr>
                <w:sz w:val="20"/>
                <w:szCs w:val="20"/>
                <w:color w:val="auto"/>
              </w:rPr>
            </w:pPr>
            <w:r>
              <w:rPr>
                <w:rFonts w:ascii="Arial" w:cs="Arial" w:eastAsia="Arial" w:hAnsi="Arial"/>
                <w:sz w:val="16"/>
                <w:szCs w:val="16"/>
                <w:color w:val="auto"/>
              </w:rPr>
              <w:t>Operating lease expense (1)</w:t>
            </w:r>
          </w:p>
        </w:tc>
        <w:tc>
          <w:tcPr>
            <w:tcW w:w="1460" w:type="dxa"/>
            <w:vAlign w:val="bottom"/>
          </w:tcPr>
          <w:p>
            <w:pPr>
              <w:jc w:val="right"/>
              <w:ind w:right="12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1,841</w:t>
            </w:r>
          </w:p>
        </w:tc>
        <w:tc>
          <w:tcPr>
            <w:tcW w:w="8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1,846</w:t>
            </w:r>
          </w:p>
        </w:tc>
        <w:tc>
          <w:tcPr>
            <w:tcW w:w="80" w:type="dxa"/>
            <w:vAlign w:val="bottom"/>
          </w:tcPr>
          <w:p>
            <w:pPr>
              <w:spacing w:after="0"/>
              <w:rPr>
                <w:sz w:val="17"/>
                <w:szCs w:val="17"/>
                <w:color w:val="auto"/>
              </w:rPr>
            </w:pPr>
          </w:p>
        </w:tc>
      </w:tr>
      <w:tr>
        <w:trPr>
          <w:trHeight w:val="205"/>
        </w:trPr>
        <w:tc>
          <w:tcPr>
            <w:tcW w:w="59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Sublease income</w:t>
            </w:r>
          </w:p>
        </w:tc>
        <w:tc>
          <w:tcPr>
            <w:tcW w:w="14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4"/>
        </w:trPr>
        <w:tc>
          <w:tcPr>
            <w:tcW w:w="5940" w:type="dxa"/>
            <w:vAlign w:val="bottom"/>
          </w:tcPr>
          <w:p>
            <w:pPr>
              <w:ind w:left="260"/>
              <w:spacing w:after="0"/>
              <w:rPr>
                <w:sz w:val="20"/>
                <w:szCs w:val="20"/>
                <w:color w:val="auto"/>
              </w:rPr>
            </w:pPr>
            <w:r>
              <w:rPr>
                <w:rFonts w:ascii="Arial" w:cs="Arial" w:eastAsia="Arial" w:hAnsi="Arial"/>
                <w:sz w:val="16"/>
                <w:szCs w:val="16"/>
                <w:color w:val="auto"/>
              </w:rPr>
              <w:t>Total lease expense</w:t>
            </w:r>
          </w:p>
        </w:tc>
        <w:tc>
          <w:tcPr>
            <w:tcW w:w="1460" w:type="dxa"/>
            <w:vAlign w:val="bottom"/>
          </w:tcPr>
          <w:p>
            <w:pPr>
              <w:jc w:val="right"/>
              <w:ind w:right="12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1,846</w:t>
            </w:r>
          </w:p>
        </w:tc>
        <w:tc>
          <w:tcPr>
            <w:tcW w:w="80" w:type="dxa"/>
            <w:vAlign w:val="bottom"/>
          </w:tcPr>
          <w:p>
            <w:pPr>
              <w:spacing w:after="0"/>
              <w:rPr>
                <w:sz w:val="17"/>
                <w:szCs w:val="17"/>
                <w:color w:val="auto"/>
              </w:rPr>
            </w:pPr>
          </w:p>
        </w:tc>
      </w:tr>
      <w:tr>
        <w:trPr>
          <w:trHeight w:val="20"/>
        </w:trPr>
        <w:tc>
          <w:tcPr>
            <w:tcW w:w="59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(1)Includes short-term leases and variable lease costs, which are immaterial.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w w:val="99"/>
              </w:rPr>
              <w:t>Other Information</w:t>
            </w:r>
          </w:p>
        </w:tc>
        <w:tc>
          <w:tcPr>
            <w:tcW w:w="60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460" w:type="dxa"/>
            <w:vAlign w:val="bottom"/>
            <w:gridSpan w:val="2"/>
          </w:tcPr>
          <w:p>
            <w:pPr>
              <w:ind w:left="100"/>
              <w:spacing w:after="0"/>
              <w:rPr>
                <w:sz w:val="20"/>
                <w:szCs w:val="20"/>
                <w:color w:val="auto"/>
              </w:rPr>
            </w:pPr>
            <w:r>
              <w:rPr>
                <w:rFonts w:ascii="Arial" w:cs="Arial" w:eastAsia="Arial" w:hAnsi="Arial"/>
                <w:sz w:val="16"/>
                <w:szCs w:val="16"/>
                <w:color w:val="auto"/>
              </w:rPr>
              <w:t>Cash paid for amounts included in the</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80" w:type="dxa"/>
            <w:vAlign w:val="bottom"/>
          </w:tcPr>
          <w:p>
            <w:pPr>
              <w:ind w:left="220"/>
              <w:spacing w:after="0"/>
              <w:rPr>
                <w:sz w:val="20"/>
                <w:szCs w:val="20"/>
                <w:color w:val="auto"/>
              </w:rPr>
            </w:pPr>
            <w:r>
              <w:rPr>
                <w:rFonts w:ascii="Arial" w:cs="Arial" w:eastAsia="Arial" w:hAnsi="Arial"/>
                <w:sz w:val="16"/>
                <w:szCs w:val="16"/>
                <w:color w:val="auto"/>
                <w:w w:val="98"/>
              </w:rPr>
              <w:t>measurement of</w:t>
            </w:r>
          </w:p>
        </w:tc>
        <w:tc>
          <w:tcPr>
            <w:tcW w:w="6080" w:type="dxa"/>
            <w:vAlign w:val="bottom"/>
          </w:tcPr>
          <w:p>
            <w:pPr>
              <w:jc w:val="right"/>
              <w:ind w:right="4902"/>
              <w:spacing w:after="0"/>
              <w:rPr>
                <w:sz w:val="20"/>
                <w:szCs w:val="20"/>
                <w:color w:val="auto"/>
              </w:rPr>
            </w:pPr>
            <w:r>
              <w:rPr>
                <w:rFonts w:ascii="Arial" w:cs="Arial" w:eastAsia="Arial" w:hAnsi="Arial"/>
                <w:sz w:val="16"/>
                <w:szCs w:val="16"/>
                <w:color w:val="auto"/>
              </w:rPr>
              <w:t>lease liabilities:</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Operating cash outflows from operating</w:t>
            </w:r>
          </w:p>
        </w:tc>
        <w:tc>
          <w:tcPr>
            <w:tcW w:w="8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3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leases, net</w:t>
            </w:r>
          </w:p>
        </w:tc>
        <w:tc>
          <w:tcPr>
            <w:tcW w:w="6080" w:type="dxa"/>
            <w:vAlign w:val="bottom"/>
            <w:shd w:val="clear" w:color="auto" w:fill="CFF0FC"/>
          </w:tcPr>
          <w:p>
            <w:pPr>
              <w:jc w:val="right"/>
              <w:ind w:right="1342"/>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1,756</w:t>
            </w:r>
          </w:p>
        </w:tc>
        <w:tc>
          <w:tcPr>
            <w:tcW w:w="4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3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380" w:type="dxa"/>
            <w:vAlign w:val="bottom"/>
          </w:tcPr>
          <w:p>
            <w:pPr>
              <w:spacing w:after="0"/>
              <w:rPr>
                <w:sz w:val="15"/>
                <w:szCs w:val="15"/>
                <w:color w:val="auto"/>
              </w:rPr>
            </w:pPr>
          </w:p>
        </w:tc>
        <w:tc>
          <w:tcPr>
            <w:tcW w:w="6080" w:type="dxa"/>
            <w:vAlign w:val="bottom"/>
          </w:tcPr>
          <w:p>
            <w:pPr>
              <w:jc w:val="center"/>
              <w:ind w:left="4922"/>
              <w:spacing w:after="0" w:line="177" w:lineRule="exact"/>
              <w:rPr>
                <w:sz w:val="20"/>
                <w:szCs w:val="20"/>
                <w:color w:val="auto"/>
              </w:rPr>
            </w:pPr>
            <w:r>
              <w:rPr>
                <w:rFonts w:ascii="Arial" w:cs="Arial" w:eastAsia="Arial" w:hAnsi="Arial"/>
                <w:sz w:val="16"/>
                <w:szCs w:val="16"/>
                <w:b w:val="1"/>
                <w:bCs w:val="1"/>
                <w:color w:val="auto"/>
                <w:w w:val="97"/>
              </w:rPr>
              <w:t>March 31,</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jc w:val="right"/>
              <w:ind w:right="582"/>
              <w:spacing w:after="0" w:line="177" w:lineRule="exact"/>
              <w:rPr>
                <w:sz w:val="20"/>
                <w:szCs w:val="20"/>
                <w:color w:val="auto"/>
              </w:rPr>
            </w:pPr>
            <w:r>
              <w:rPr>
                <w:rFonts w:ascii="Arial" w:cs="Arial" w:eastAsia="Arial" w:hAnsi="Arial"/>
                <w:sz w:val="16"/>
                <w:szCs w:val="16"/>
                <w:b w:val="1"/>
                <w:bCs w:val="1"/>
                <w:color w:val="auto"/>
              </w:rPr>
              <w:t>December 31,</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8"/>
                <w:szCs w:val="18"/>
                <w:color w:val="auto"/>
              </w:rPr>
            </w:pPr>
          </w:p>
        </w:tc>
        <w:tc>
          <w:tcPr>
            <w:tcW w:w="6080" w:type="dxa"/>
            <w:vAlign w:val="bottom"/>
          </w:tcPr>
          <w:p>
            <w:pPr>
              <w:jc w:val="right"/>
              <w:ind w:right="282"/>
              <w:spacing w:after="0"/>
              <w:rPr>
                <w:sz w:val="20"/>
                <w:szCs w:val="20"/>
                <w:color w:val="auto"/>
              </w:rPr>
            </w:pPr>
            <w:r>
              <w:rPr>
                <w:rFonts w:ascii="Arial" w:cs="Arial" w:eastAsia="Arial" w:hAnsi="Arial"/>
                <w:sz w:val="16"/>
                <w:szCs w:val="16"/>
                <w:b w:val="1"/>
                <w:bCs w:val="1"/>
                <w:color w:val="auto"/>
              </w:rPr>
              <w:t>2023</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jc w:val="right"/>
              <w:ind w:right="90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6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Lease Term and Discount Rate</w:t>
            </w:r>
          </w:p>
        </w:tc>
        <w:tc>
          <w:tcPr>
            <w:tcW w:w="8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Weighted average remaining lease term</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380" w:type="dxa"/>
            <w:vAlign w:val="bottom"/>
          </w:tcPr>
          <w:p>
            <w:pPr>
              <w:ind w:left="140"/>
              <w:spacing w:after="0"/>
              <w:rPr>
                <w:sz w:val="20"/>
                <w:szCs w:val="20"/>
                <w:color w:val="auto"/>
              </w:rPr>
            </w:pPr>
            <w:r>
              <w:rPr>
                <w:rFonts w:ascii="Arial" w:cs="Arial" w:eastAsia="Arial" w:hAnsi="Arial"/>
                <w:sz w:val="16"/>
                <w:szCs w:val="16"/>
                <w:color w:val="auto"/>
              </w:rPr>
              <w:t>(years)</w:t>
            </w:r>
          </w:p>
        </w:tc>
        <w:tc>
          <w:tcPr>
            <w:tcW w:w="608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4.13</w:t>
            </w:r>
          </w:p>
        </w:tc>
        <w:tc>
          <w:tcPr>
            <w:tcW w:w="40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4.12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Weighted average discount rate</w:t>
            </w:r>
          </w:p>
        </w:tc>
        <w:tc>
          <w:tcPr>
            <w:tcW w:w="840" w:type="dxa"/>
            <w:vAlign w:val="bottom"/>
          </w:tcPr>
          <w:p>
            <w:pPr>
              <w:ind w:left="240"/>
              <w:spacing w:after="0"/>
              <w:rPr>
                <w:sz w:val="20"/>
                <w:szCs w:val="20"/>
                <w:color w:val="auto"/>
              </w:rPr>
            </w:pPr>
            <w:r>
              <w:rPr>
                <w:rFonts w:ascii="Arial" w:cs="Arial" w:eastAsia="Arial" w:hAnsi="Arial"/>
                <w:sz w:val="16"/>
                <w:szCs w:val="16"/>
                <w:color w:val="auto"/>
              </w:rPr>
              <w:t>3.00 %</w:t>
            </w:r>
          </w:p>
        </w:tc>
        <w:tc>
          <w:tcPr>
            <w:tcW w:w="40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2.80 %</w:t>
            </w:r>
          </w:p>
        </w:tc>
        <w:tc>
          <w:tcPr>
            <w:tcW w:w="0" w:type="dxa"/>
            <w:vAlign w:val="bottom"/>
          </w:tcPr>
          <w:p>
            <w:pPr>
              <w:spacing w:after="0"/>
              <w:rPr>
                <w:sz w:val="1"/>
                <w:szCs w:val="1"/>
                <w:color w:val="auto"/>
              </w:rPr>
            </w:pPr>
          </w:p>
        </w:tc>
      </w:tr>
      <w:tr>
        <w:trPr>
          <w:trHeight w:val="372"/>
        </w:trPr>
        <w:tc>
          <w:tcPr>
            <w:tcW w:w="1380" w:type="dxa"/>
            <w:vAlign w:val="bottom"/>
          </w:tcPr>
          <w:p>
            <w:pPr>
              <w:spacing w:after="0"/>
              <w:rPr>
                <w:sz w:val="24"/>
                <w:szCs w:val="24"/>
                <w:color w:val="auto"/>
              </w:rPr>
            </w:pPr>
          </w:p>
        </w:tc>
        <w:tc>
          <w:tcPr>
            <w:tcW w:w="6080" w:type="dxa"/>
            <w:vAlign w:val="bottom"/>
          </w:tcPr>
          <w:p>
            <w:pPr>
              <w:jc w:val="right"/>
              <w:ind w:right="2002"/>
              <w:spacing w:after="0"/>
              <w:rPr>
                <w:sz w:val="20"/>
                <w:szCs w:val="20"/>
                <w:color w:val="auto"/>
              </w:rPr>
            </w:pPr>
            <w:r>
              <w:rPr>
                <w:rFonts w:ascii="Arial" w:cs="Arial" w:eastAsia="Arial" w:hAnsi="Arial"/>
                <w:sz w:val="16"/>
                <w:szCs w:val="16"/>
                <w:color w:val="auto"/>
              </w:rPr>
              <w:t>34</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380" w:type="dxa"/>
            <w:vAlign w:val="bottom"/>
            <w:tcBorders>
              <w:bottom w:val="single" w:sz="8" w:color="EEEEEE"/>
            </w:tcBorders>
          </w:tcPr>
          <w:p>
            <w:pPr>
              <w:spacing w:after="0"/>
              <w:rPr>
                <w:sz w:val="24"/>
                <w:szCs w:val="24"/>
                <w:color w:val="auto"/>
              </w:rPr>
            </w:pPr>
          </w:p>
        </w:tc>
        <w:tc>
          <w:tcPr>
            <w:tcW w:w="608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620"/>
          </w:cols>
          <w:pgMar w:left="660" w:top="782" w:right="620" w:bottom="1440" w:gutter="0" w:footer="0" w:header="0"/>
        </w:sectPr>
      </w:pPr>
    </w:p>
    <w:bookmarkStart w:id="33" w:name="page34"/>
    <w:bookmarkEnd w:id="33"/>
    <w:p>
      <w:pPr>
        <w:jc w:val="both"/>
        <w:ind w:right="160" w:firstLine="348"/>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Company’s lease arrangements that have not yet commenced as of March 31, 2023 and the Company’s short-term lease costs and variable lease costs, for the three months ended March 31, 2023 and 2022 are not material to the consolidated financial statements. The future lease payments required for leases that have initial or remaining non-cancelable lease terms in excess of one year as of March 31, 2023, excluding property taxes and insurance, are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March 31, 2023</w:t>
            </w:r>
          </w:p>
        </w:tc>
      </w:tr>
      <w:tr>
        <w:trPr>
          <w:trHeight w:val="191"/>
        </w:trPr>
        <w:tc>
          <w:tcPr>
            <w:tcW w:w="40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(Dollars in thousands)</w:t>
            </w:r>
          </w:p>
        </w:tc>
      </w:tr>
      <w:tr>
        <w:trPr>
          <w:trHeight w:val="171"/>
        </w:trPr>
        <w:tc>
          <w:tcPr>
            <w:tcW w:w="8820" w:type="dxa"/>
            <w:vAlign w:val="bottom"/>
            <w:tcBorders>
              <w:left w:val="single" w:sz="8" w:color="CFF0FC"/>
            </w:tcBorders>
            <w:gridSpan w:val="2"/>
            <w:shd w:val="clear" w:color="auto" w:fill="CFF0FC"/>
          </w:tcPr>
          <w:p>
            <w:pPr>
              <w:ind w:left="20"/>
              <w:spacing w:after="0" w:line="171" w:lineRule="exact"/>
              <w:rPr>
                <w:sz w:val="20"/>
                <w:szCs w:val="20"/>
                <w:color w:val="auto"/>
              </w:rPr>
            </w:pPr>
            <w:r>
              <w:rPr>
                <w:rFonts w:ascii="Arial" w:cs="Arial" w:eastAsia="Arial" w:hAnsi="Arial"/>
                <w:sz w:val="16"/>
                <w:szCs w:val="16"/>
                <w:b w:val="1"/>
                <w:bCs w:val="1"/>
                <w:color w:val="auto"/>
              </w:rPr>
              <w:t>Year:</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36"/>
        </w:trPr>
        <w:tc>
          <w:tcPr>
            <w:tcW w:w="400" w:type="dxa"/>
            <w:vAlign w:val="bottom"/>
            <w:tcBorders>
              <w:left w:val="single" w:sz="8" w:color="CFF0FC"/>
            </w:tcBorders>
            <w:shd w:val="clear" w:color="auto" w:fill="000000"/>
          </w:tcPr>
          <w:p>
            <w:pPr>
              <w:spacing w:after="0"/>
              <w:rPr>
                <w:sz w:val="3"/>
                <w:szCs w:val="3"/>
                <w:color w:val="auto"/>
              </w:rPr>
            </w:pPr>
          </w:p>
        </w:tc>
        <w:tc>
          <w:tcPr>
            <w:tcW w:w="84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5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r>
      <w:tr>
        <w:trPr>
          <w:trHeight w:val="20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2023 (excluding the three months ended March 31, 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5,299</w:t>
            </w:r>
          </w:p>
        </w:tc>
        <w:tc>
          <w:tcPr>
            <w:tcW w:w="80" w:type="dxa"/>
            <w:vAlign w:val="bottom"/>
          </w:tcPr>
          <w:p>
            <w:pPr>
              <w:spacing w:after="0"/>
              <w:rPr>
                <w:sz w:val="17"/>
                <w:szCs w:val="17"/>
                <w:color w:val="auto"/>
              </w:rPr>
            </w:pPr>
          </w:p>
        </w:tc>
      </w:tr>
      <w:tr>
        <w:trPr>
          <w:trHeight w:val="205"/>
        </w:trPr>
        <w:tc>
          <w:tcPr>
            <w:tcW w:w="400" w:type="dxa"/>
            <w:vAlign w:val="bottom"/>
            <w:tcBorders>
              <w:lef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8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6,458</w:t>
            </w:r>
          </w:p>
        </w:tc>
        <w:tc>
          <w:tcPr>
            <w:tcW w:w="80" w:type="dxa"/>
            <w:vAlign w:val="bottom"/>
            <w:shd w:val="clear" w:color="auto" w:fill="CFF0FC"/>
          </w:tcPr>
          <w:p>
            <w:pPr>
              <w:spacing w:after="0"/>
              <w:rPr>
                <w:sz w:val="17"/>
                <w:szCs w:val="17"/>
                <w:color w:val="auto"/>
              </w:rPr>
            </w:pPr>
          </w:p>
        </w:tc>
      </w:tr>
      <w:tr>
        <w:trPr>
          <w:trHeight w:val="203"/>
        </w:trPr>
        <w:tc>
          <w:tcPr>
            <w:tcW w:w="400" w:type="dxa"/>
            <w:vAlign w:val="bottom"/>
          </w:tcPr>
          <w:p>
            <w:pPr>
              <w:ind w:left="20"/>
              <w:spacing w:after="0"/>
              <w:rPr>
                <w:sz w:val="20"/>
                <w:szCs w:val="20"/>
                <w:color w:val="auto"/>
              </w:rPr>
            </w:pPr>
            <w:r>
              <w:rPr>
                <w:rFonts w:ascii="Arial" w:cs="Arial" w:eastAsia="Arial" w:hAnsi="Arial"/>
                <w:sz w:val="16"/>
                <w:szCs w:val="16"/>
                <w:color w:val="auto"/>
              </w:rPr>
              <w:t>2025</w:t>
            </w: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5,777</w:t>
            </w:r>
          </w:p>
        </w:tc>
        <w:tc>
          <w:tcPr>
            <w:tcW w:w="80" w:type="dxa"/>
            <w:vAlign w:val="bottom"/>
          </w:tcPr>
          <w:p>
            <w:pPr>
              <w:spacing w:after="0"/>
              <w:rPr>
                <w:sz w:val="17"/>
                <w:szCs w:val="17"/>
                <w:color w:val="auto"/>
              </w:rPr>
            </w:pPr>
          </w:p>
        </w:tc>
      </w:tr>
      <w:tr>
        <w:trPr>
          <w:trHeight w:val="205"/>
        </w:trPr>
        <w:tc>
          <w:tcPr>
            <w:tcW w:w="400" w:type="dxa"/>
            <w:vAlign w:val="bottom"/>
            <w:tcBorders>
              <w:lef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8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w:t>
            </w:r>
          </w:p>
        </w:tc>
        <w:tc>
          <w:tcPr>
            <w:tcW w:w="80" w:type="dxa"/>
            <w:vAlign w:val="bottom"/>
            <w:shd w:val="clear" w:color="auto" w:fill="CFF0FC"/>
          </w:tcPr>
          <w:p>
            <w:pPr>
              <w:spacing w:after="0"/>
              <w:rPr>
                <w:sz w:val="17"/>
                <w:szCs w:val="17"/>
                <w:color w:val="auto"/>
              </w:rPr>
            </w:pPr>
          </w:p>
        </w:tc>
      </w:tr>
      <w:tr>
        <w:trPr>
          <w:trHeight w:val="203"/>
        </w:trPr>
        <w:tc>
          <w:tcPr>
            <w:tcW w:w="400" w:type="dxa"/>
            <w:vAlign w:val="bottom"/>
          </w:tcPr>
          <w:p>
            <w:pPr>
              <w:ind w:left="20"/>
              <w:spacing w:after="0"/>
              <w:rPr>
                <w:sz w:val="20"/>
                <w:szCs w:val="20"/>
                <w:color w:val="auto"/>
              </w:rPr>
            </w:pPr>
            <w:r>
              <w:rPr>
                <w:rFonts w:ascii="Arial" w:cs="Arial" w:eastAsia="Arial" w:hAnsi="Arial"/>
                <w:sz w:val="16"/>
                <w:szCs w:val="16"/>
                <w:color w:val="auto"/>
              </w:rPr>
              <w:t>2027</w:t>
            </w: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3,012</w:t>
            </w:r>
          </w:p>
        </w:tc>
        <w:tc>
          <w:tcPr>
            <w:tcW w:w="80" w:type="dxa"/>
            <w:vAlign w:val="bottom"/>
          </w:tcPr>
          <w:p>
            <w:pPr>
              <w:spacing w:after="0"/>
              <w:rPr>
                <w:sz w:val="17"/>
                <w:szCs w:val="17"/>
                <w:color w:val="auto"/>
              </w:rPr>
            </w:pPr>
          </w:p>
        </w:tc>
      </w:tr>
      <w:tr>
        <w:trPr>
          <w:trHeight w:val="205"/>
        </w:trPr>
        <w:tc>
          <w:tcPr>
            <w:tcW w:w="882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1,243</w:t>
            </w:r>
          </w:p>
        </w:tc>
        <w:tc>
          <w:tcPr>
            <w:tcW w:w="80" w:type="dxa"/>
            <w:vAlign w:val="bottom"/>
            <w:shd w:val="clear" w:color="auto" w:fill="CFF0FC"/>
          </w:tcPr>
          <w:p>
            <w:pPr>
              <w:spacing w:after="0"/>
              <w:rPr>
                <w:sz w:val="17"/>
                <w:szCs w:val="17"/>
                <w:color w:val="auto"/>
              </w:rPr>
            </w:pPr>
          </w:p>
        </w:tc>
      </w:tr>
      <w:tr>
        <w:trPr>
          <w:trHeight w:val="203"/>
        </w:trPr>
        <w:tc>
          <w:tcPr>
            <w:tcW w:w="8820" w:type="dxa"/>
            <w:vAlign w:val="bottom"/>
            <w:gridSpan w:val="2"/>
          </w:tcPr>
          <w:p>
            <w:pPr>
              <w:ind w:left="100"/>
              <w:spacing w:after="0"/>
              <w:rPr>
                <w:sz w:val="20"/>
                <w:szCs w:val="20"/>
                <w:color w:val="auto"/>
              </w:rPr>
            </w:pPr>
            <w:r>
              <w:rPr>
                <w:rFonts w:ascii="Arial" w:cs="Arial" w:eastAsia="Arial" w:hAnsi="Arial"/>
                <w:sz w:val="16"/>
                <w:szCs w:val="16"/>
                <w:color w:val="auto"/>
              </w:rPr>
              <w:t>Total future lease payments</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26,292</w:t>
            </w:r>
          </w:p>
        </w:tc>
        <w:tc>
          <w:tcPr>
            <w:tcW w:w="80" w:type="dxa"/>
            <w:vAlign w:val="bottom"/>
          </w:tcPr>
          <w:p>
            <w:pPr>
              <w:spacing w:after="0"/>
              <w:rPr>
                <w:sz w:val="17"/>
                <w:szCs w:val="17"/>
                <w:color w:val="auto"/>
              </w:rPr>
            </w:pPr>
          </w:p>
        </w:tc>
      </w:tr>
      <w:tr>
        <w:trPr>
          <w:trHeight w:val="205"/>
        </w:trPr>
        <w:tc>
          <w:tcPr>
            <w:tcW w:w="882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6"/>
                <w:szCs w:val="16"/>
                <w:color w:val="auto"/>
              </w:rPr>
              <w:t>Less: Imputed interest</w:t>
            </w:r>
          </w:p>
        </w:tc>
        <w:tc>
          <w:tcPr>
            <w:tcW w:w="1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(1,663)</w:t>
            </w:r>
          </w:p>
        </w:tc>
      </w:tr>
      <w:tr>
        <w:trPr>
          <w:trHeight w:val="204"/>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24,629</w:t>
            </w: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REVENUE RECOGNITION</w:t>
      </w:r>
    </w:p>
    <w:p>
      <w:pPr>
        <w:spacing w:after="0" w:line="184" w:lineRule="exact"/>
        <w:rPr>
          <w:sz w:val="20"/>
          <w:szCs w:val="20"/>
          <w:color w:val="auto"/>
        </w:rPr>
      </w:pPr>
    </w:p>
    <w:p>
      <w:pPr>
        <w:ind w:right="560" w:firstLine="432"/>
        <w:spacing w:after="0" w:line="252" w:lineRule="auto"/>
        <w:rPr>
          <w:sz w:val="20"/>
          <w:szCs w:val="20"/>
          <w:color w:val="auto"/>
        </w:rPr>
      </w:pPr>
      <w:r>
        <w:rPr>
          <w:rFonts w:ascii="Arial" w:cs="Arial" w:eastAsia="Arial" w:hAnsi="Arial"/>
          <w:sz w:val="16"/>
          <w:szCs w:val="16"/>
          <w:color w:val="auto"/>
        </w:rPr>
        <w:t>The following presents noninterest income, segregated by revenue streams in-scope and out-of-scope of ASU No. 2014-09 “Revenue from Contracts with Customers (Topic 606)”, for the periods indicated.</w:t>
      </w:r>
    </w:p>
    <w:p>
      <w:pPr>
        <w:spacing w:after="0" w:line="182" w:lineRule="exact"/>
        <w:rPr>
          <w:sz w:val="20"/>
          <w:szCs w:val="20"/>
          <w:color w:val="auto"/>
        </w:rPr>
      </w:pPr>
    </w:p>
    <w:p>
      <w:pPr>
        <w:jc w:val="center"/>
        <w:ind w:left="6680"/>
        <w:spacing w:after="0"/>
        <w:rPr>
          <w:sz w:val="20"/>
          <w:szCs w:val="20"/>
          <w:color w:val="auto"/>
        </w:rPr>
      </w:pPr>
      <w:r>
        <w:rPr>
          <w:rFonts w:ascii="Arial" w:cs="Arial" w:eastAsia="Arial" w:hAnsi="Arial"/>
          <w:sz w:val="16"/>
          <w:szCs w:val="16"/>
          <w:b w:val="1"/>
          <w:bCs w:val="1"/>
          <w:color w:val="auto"/>
        </w:rPr>
        <w:t>Three Months Ended</w:t>
      </w:r>
    </w:p>
    <w:p>
      <w:pPr>
        <w:spacing w:after="0" w:line="14"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2023</w:t>
            </w: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ind w:right="58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6"/>
                <w:szCs w:val="16"/>
                <w:color w:val="auto"/>
              </w:rPr>
            </w:pPr>
          </w:p>
        </w:tc>
      </w:tr>
      <w:tr>
        <w:trPr>
          <w:trHeight w:val="201"/>
        </w:trPr>
        <w:tc>
          <w:tcPr>
            <w:tcW w:w="6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64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Noninterest income: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460" w:type="dxa"/>
            <w:vAlign w:val="bottom"/>
          </w:tcPr>
          <w:p>
            <w:pPr>
              <w:ind w:left="100"/>
              <w:spacing w:after="0"/>
              <w:rPr>
                <w:sz w:val="20"/>
                <w:szCs w:val="20"/>
                <w:color w:val="auto"/>
              </w:rPr>
            </w:pPr>
            <w:r>
              <w:rPr>
                <w:rFonts w:ascii="Arial" w:cs="Arial" w:eastAsia="Arial" w:hAnsi="Arial"/>
                <w:sz w:val="16"/>
                <w:szCs w:val="16"/>
                <w:i w:val="1"/>
                <w:iCs w:val="1"/>
                <w:color w:val="auto"/>
              </w:rPr>
              <w:t>In-scope of Topic 606:</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Service charges on deposit accounts</w:t>
            </w:r>
          </w:p>
        </w:tc>
        <w:tc>
          <w:tcPr>
            <w:tcW w:w="1400" w:type="dxa"/>
            <w:vAlign w:val="bottom"/>
            <w:gridSpan w:val="2"/>
            <w:shd w:val="clear" w:color="auto" w:fill="CFF0FC"/>
          </w:tcPr>
          <w:p>
            <w:pPr>
              <w:jc w:val="right"/>
              <w:ind w:right="902"/>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5,344</w:t>
            </w:r>
          </w:p>
        </w:tc>
        <w:tc>
          <w:tcPr>
            <w:tcW w:w="940" w:type="dxa"/>
            <w:vAlign w:val="bottom"/>
            <w:gridSpan w:val="2"/>
            <w:shd w:val="clear" w:color="auto" w:fill="CFF0FC"/>
          </w:tcPr>
          <w:p>
            <w:pPr>
              <w:jc w:val="right"/>
              <w:ind w:right="4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5,059</w:t>
            </w:r>
          </w:p>
        </w:tc>
        <w:tc>
          <w:tcPr>
            <w:tcW w:w="80" w:type="dxa"/>
            <w:vAlign w:val="bottom"/>
            <w:shd w:val="clear" w:color="auto" w:fill="CFF0FC"/>
          </w:tcPr>
          <w:p>
            <w:pPr>
              <w:spacing w:after="0"/>
              <w:rPr>
                <w:sz w:val="17"/>
                <w:szCs w:val="17"/>
                <w:color w:val="auto"/>
              </w:rPr>
            </w:pPr>
          </w:p>
        </w:tc>
      </w:tr>
      <w:tr>
        <w:trPr>
          <w:trHeight w:val="203"/>
        </w:trPr>
        <w:tc>
          <w:tcPr>
            <w:tcW w:w="6460" w:type="dxa"/>
            <w:vAlign w:val="bottom"/>
          </w:tcPr>
          <w:p>
            <w:pPr>
              <w:ind w:left="260"/>
              <w:spacing w:after="0"/>
              <w:rPr>
                <w:sz w:val="20"/>
                <w:szCs w:val="20"/>
                <w:color w:val="auto"/>
              </w:rPr>
            </w:pPr>
            <w:r>
              <w:rPr>
                <w:rFonts w:ascii="Arial" w:cs="Arial" w:eastAsia="Arial" w:hAnsi="Arial"/>
                <w:sz w:val="16"/>
                <w:szCs w:val="16"/>
                <w:color w:val="auto"/>
              </w:rPr>
              <w:t>Trust and investment services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2,914</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2,822</w:t>
            </w:r>
          </w:p>
        </w:tc>
        <w:tc>
          <w:tcPr>
            <w:tcW w:w="80" w:type="dxa"/>
            <w:vAlign w:val="bottom"/>
          </w:tcPr>
          <w:p>
            <w:pPr>
              <w:spacing w:after="0"/>
              <w:rPr>
                <w:sz w:val="17"/>
                <w:szCs w:val="17"/>
                <w:color w:val="auto"/>
              </w:rPr>
            </w:pPr>
          </w:p>
        </w:tc>
      </w:tr>
      <w:tr>
        <w:trPr>
          <w:trHeight w:val="205"/>
        </w:trPr>
        <w:tc>
          <w:tcPr>
            <w:tcW w:w="6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Bankcard services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3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80" w:type="dxa"/>
            <w:vAlign w:val="bottom"/>
            <w:shd w:val="clear" w:color="auto" w:fill="CFF0FC"/>
          </w:tcPr>
          <w:p>
            <w:pPr>
              <w:spacing w:after="0"/>
              <w:rPr>
                <w:sz w:val="17"/>
                <w:szCs w:val="17"/>
                <w:color w:val="auto"/>
              </w:rPr>
            </w:pPr>
          </w:p>
        </w:tc>
      </w:tr>
      <w:tr>
        <w:trPr>
          <w:trHeight w:val="203"/>
        </w:trPr>
        <w:tc>
          <w:tcPr>
            <w:tcW w:w="6460" w:type="dxa"/>
            <w:vAlign w:val="bottom"/>
          </w:tcPr>
          <w:p>
            <w:pPr>
              <w:ind w:left="26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3,378</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1,618</w:t>
            </w:r>
          </w:p>
        </w:tc>
        <w:tc>
          <w:tcPr>
            <w:tcW w:w="80" w:type="dxa"/>
            <w:vAlign w:val="bottom"/>
          </w:tcPr>
          <w:p>
            <w:pPr>
              <w:spacing w:after="0"/>
              <w:rPr>
                <w:sz w:val="17"/>
                <w:szCs w:val="17"/>
                <w:color w:val="auto"/>
              </w:rPr>
            </w:pPr>
          </w:p>
        </w:tc>
      </w:tr>
      <w:tr>
        <w:trPr>
          <w:trHeight w:val="205"/>
        </w:trPr>
        <w:tc>
          <w:tcPr>
            <w:tcW w:w="64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Noninterest Income (in-scope of Topic 606)</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12,013</w:t>
            </w:r>
          </w:p>
        </w:tc>
        <w:tc>
          <w:tcPr>
            <w:tcW w:w="3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9,915</w:t>
            </w:r>
          </w:p>
        </w:tc>
        <w:tc>
          <w:tcPr>
            <w:tcW w:w="80" w:type="dxa"/>
            <w:vAlign w:val="bottom"/>
            <w:shd w:val="clear" w:color="auto" w:fill="CFF0FC"/>
          </w:tcPr>
          <w:p>
            <w:pPr>
              <w:spacing w:after="0"/>
              <w:rPr>
                <w:sz w:val="17"/>
                <w:szCs w:val="17"/>
                <w:color w:val="auto"/>
              </w:rPr>
            </w:pPr>
          </w:p>
        </w:tc>
      </w:tr>
      <w:tr>
        <w:trPr>
          <w:trHeight w:val="203"/>
        </w:trPr>
        <w:tc>
          <w:tcPr>
            <w:tcW w:w="6460" w:type="dxa"/>
            <w:vAlign w:val="bottom"/>
          </w:tcPr>
          <w:p>
            <w:pPr>
              <w:ind w:left="100"/>
              <w:spacing w:after="0"/>
              <w:rPr>
                <w:sz w:val="20"/>
                <w:szCs w:val="20"/>
                <w:color w:val="auto"/>
              </w:rPr>
            </w:pPr>
            <w:r>
              <w:rPr>
                <w:rFonts w:ascii="Arial" w:cs="Arial" w:eastAsia="Arial" w:hAnsi="Arial"/>
                <w:sz w:val="16"/>
                <w:szCs w:val="16"/>
                <w:color w:val="auto"/>
              </w:rPr>
              <w:t>Noninterest Income (out-of-scope of Topic 606)</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1,189</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1,349</w:t>
            </w:r>
          </w:p>
        </w:tc>
        <w:tc>
          <w:tcPr>
            <w:tcW w:w="80" w:type="dxa"/>
            <w:vAlign w:val="bottom"/>
          </w:tcPr>
          <w:p>
            <w:pPr>
              <w:spacing w:after="0"/>
              <w:rPr>
                <w:sz w:val="17"/>
                <w:szCs w:val="17"/>
                <w:color w:val="auto"/>
              </w:rPr>
            </w:pPr>
          </w:p>
        </w:tc>
      </w:tr>
      <w:tr>
        <w:trPr>
          <w:trHeight w:val="245"/>
        </w:trPr>
        <w:tc>
          <w:tcPr>
            <w:tcW w:w="646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b w:val="1"/>
                <w:bCs w:val="1"/>
                <w:color w:val="auto"/>
              </w:rPr>
              <w:t>Total noninterest income</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0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13,202</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40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11,264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6"/>
          <w:szCs w:val="16"/>
          <w:color w:val="auto"/>
        </w:rPr>
        <w:t xml:space="preserve">Refer to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24 –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included in our Annual Report on Form 10-K for the year ended December 31, 2022 for a more detailed discussion about noninterest revenue streams that are in-scope of Topic 606.</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40" w:orient="portrait"/>
          <w:cols w:equalWidth="0" w:num="1">
            <w:col w:w="10560"/>
          </w:cols>
          <w:pgMar w:left="660" w:top="790" w:right="680"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4" w:lineRule="exact"/>
        <w:rPr>
          <w:sz w:val="20"/>
          <w:szCs w:val="20"/>
          <w:color w:val="auto"/>
        </w:rPr>
      </w:pPr>
    </w:p>
    <w:p>
      <w:pPr>
        <w:ind w:left="80" w:right="140" w:firstLine="432"/>
        <w:spacing w:after="0" w:line="238" w:lineRule="auto"/>
        <w:rPr>
          <w:sz w:val="20"/>
          <w:szCs w:val="20"/>
          <w:color w:val="auto"/>
        </w:rPr>
      </w:pPr>
      <w:r>
        <w:rPr>
          <w:rFonts w:ascii="Arial" w:cs="Arial" w:eastAsia="Arial" w:hAnsi="Arial"/>
          <w:sz w:val="16"/>
          <w:szCs w:val="16"/>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2022 and the unaudited condensed consolidated financial statements and accompanying notes presented elsewhere in this report.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CRITICAL ACCOUNTING POLICIES</w:t>
      </w:r>
    </w:p>
    <w:p>
      <w:pPr>
        <w:spacing w:after="0" w:line="184" w:lineRule="exact"/>
        <w:rPr>
          <w:sz w:val="20"/>
          <w:szCs w:val="20"/>
          <w:color w:val="auto"/>
        </w:rPr>
      </w:pPr>
    </w:p>
    <w:p>
      <w:pPr>
        <w:ind w:left="80" w:firstLine="432"/>
        <w:spacing w:after="0" w:line="239" w:lineRule="auto"/>
        <w:rPr>
          <w:sz w:val="20"/>
          <w:szCs w:val="20"/>
          <w:color w:val="auto"/>
        </w:rPr>
      </w:pPr>
      <w:r>
        <w:rPr>
          <w:rFonts w:ascii="Arial" w:cs="Arial" w:eastAsia="Arial" w:hAnsi="Arial"/>
          <w:sz w:val="16"/>
          <w:szCs w:val="16"/>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64" w:lineRule="exact"/>
        <w:rPr>
          <w:sz w:val="20"/>
          <w:szCs w:val="20"/>
          <w:color w:val="auto"/>
        </w:rPr>
      </w:pPr>
    </w:p>
    <w:p>
      <w:pPr>
        <w:ind w:left="80" w:firstLine="432"/>
        <w:spacing w:after="0" w:line="281" w:lineRule="auto"/>
        <w:rPr>
          <w:sz w:val="20"/>
          <w:szCs w:val="20"/>
          <w:color w:val="auto"/>
        </w:rPr>
      </w:pPr>
      <w:r>
        <w:rPr>
          <w:rFonts w:ascii="Arial" w:cs="Arial" w:eastAsia="Arial" w:hAnsi="Arial"/>
          <w:sz w:val="14"/>
          <w:szCs w:val="14"/>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•Allowance for Credit Losses (“ACL”)</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•Business Combinations</w:t>
      </w:r>
    </w:p>
    <w:p>
      <w:pPr>
        <w:ind w:left="620"/>
        <w:spacing w:after="0"/>
        <w:rPr>
          <w:sz w:val="20"/>
          <w:szCs w:val="20"/>
          <w:color w:val="auto"/>
        </w:rPr>
      </w:pPr>
      <w:r>
        <w:rPr>
          <w:rFonts w:ascii="Arial" w:cs="Arial" w:eastAsia="Arial" w:hAnsi="Arial"/>
          <w:sz w:val="16"/>
          <w:szCs w:val="16"/>
          <w:color w:val="auto"/>
        </w:rPr>
        <w:t>•Valuation and Recoverability of Goodwill</w:t>
      </w:r>
    </w:p>
    <w:p>
      <w:pPr>
        <w:spacing w:after="0" w:line="166" w:lineRule="exact"/>
        <w:rPr>
          <w:sz w:val="20"/>
          <w:szCs w:val="20"/>
          <w:color w:val="auto"/>
        </w:rPr>
      </w:pPr>
    </w:p>
    <w:p>
      <w:pPr>
        <w:ind w:left="80" w:right="140" w:firstLine="432"/>
        <w:spacing w:after="0" w:line="238" w:lineRule="auto"/>
        <w:rPr>
          <w:sz w:val="20"/>
          <w:szCs w:val="20"/>
          <w:color w:val="auto"/>
        </w:rPr>
      </w:pPr>
      <w:r>
        <w:rPr>
          <w:rFonts w:ascii="Arial" w:cs="Arial" w:eastAsia="Arial" w:hAnsi="Arial"/>
          <w:sz w:val="16"/>
          <w:szCs w:val="16"/>
          <w:color w:val="auto"/>
        </w:rPr>
        <w:t xml:space="preserve">Our significant accounting policies are described in greater detail in our 2022 Annual Report on Form 10-K in the “Critical Accounting Policies” section of Management’s Discussion and Analysis of Financial Condition and Results of Operations and in Note 3 –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w:t>
      </w:r>
      <w:r>
        <w:rPr>
          <w:rFonts w:ascii="Arial" w:cs="Arial" w:eastAsia="Arial" w:hAnsi="Arial"/>
          <w:sz w:val="16"/>
          <w:szCs w:val="16"/>
          <w:color w:val="auto"/>
        </w:rPr>
        <w:t>, included in our Annual Report on Form 10-K for the year ended December 31, 2022, which are essential to understanding Management’s</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and Analysis of Financial Condition and Results of Operations.</w:t>
      </w:r>
    </w:p>
    <w:p>
      <w:pPr>
        <w:jc w:val="center"/>
        <w:ind w:right="-1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158115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782" w:right="700"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i w:val="1"/>
          <w:iCs w:val="1"/>
          <w:color w:val="auto"/>
        </w:rPr>
        <w:t>Recently Issued Accounting Pronouncements but Not Adopted as of March 31, 2023</w:t>
      </w:r>
    </w:p>
    <w:p>
      <w:pPr>
        <w:sectPr>
          <w:pgSz w:w="11900" w:h="16840" w:orient="portrait"/>
          <w:cols w:equalWidth="0" w:num="1">
            <w:col w:w="10520"/>
          </w:cols>
          <w:pgMar w:left="660" w:top="962" w:right="720" w:bottom="1440" w:gutter="0" w:footer="0" w:header="0"/>
        </w:sectPr>
      </w:pPr>
    </w:p>
    <w:p>
      <w:pPr>
        <w:spacing w:after="0" w:line="391" w:lineRule="exact"/>
        <w:rPr>
          <w:sz w:val="20"/>
          <w:szCs w:val="20"/>
          <w:color w:val="auto"/>
        </w:rPr>
      </w:pPr>
    </w:p>
    <w:p>
      <w:pPr>
        <w:jc w:val="center"/>
        <w:ind w:left="60"/>
        <w:spacing w:after="0"/>
        <w:rPr>
          <w:sz w:val="20"/>
          <w:szCs w:val="20"/>
          <w:color w:val="auto"/>
        </w:rPr>
      </w:pPr>
      <w:r>
        <w:rPr>
          <w:rFonts w:ascii="Arial" w:cs="Arial" w:eastAsia="Arial" w:hAnsi="Arial"/>
          <w:sz w:val="13"/>
          <w:szCs w:val="13"/>
          <w:b w:val="1"/>
          <w:bCs w:val="1"/>
          <w:color w:val="auto"/>
        </w:rPr>
        <w:t>Standard</w:t>
      </w:r>
    </w:p>
    <w:p>
      <w:pPr>
        <w:spacing w:after="0" w:line="39" w:lineRule="exact"/>
        <w:rPr>
          <w:sz w:val="20"/>
          <w:szCs w:val="20"/>
          <w:color w:val="auto"/>
        </w:rPr>
      </w:pPr>
    </w:p>
    <w:p>
      <w:pPr>
        <w:ind w:left="20"/>
        <w:spacing w:after="0" w:line="256" w:lineRule="auto"/>
        <w:rPr>
          <w:sz w:val="20"/>
          <w:szCs w:val="20"/>
          <w:color w:val="auto"/>
        </w:rPr>
      </w:pPr>
      <w:r>
        <w:rPr>
          <w:rFonts w:ascii="Arial" w:cs="Arial" w:eastAsia="Arial" w:hAnsi="Arial"/>
          <w:sz w:val="13"/>
          <w:szCs w:val="13"/>
          <w:color w:val="auto"/>
        </w:rPr>
        <w:t>ASU No. 2020-04, Reference Rate Reform (Topic 848): Facilitation of the Effects of Reference Rate Reform on Financial Reporting</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Issued March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right="20"/>
        <w:spacing w:after="0" w:line="256" w:lineRule="auto"/>
        <w:rPr>
          <w:sz w:val="20"/>
          <w:szCs w:val="20"/>
          <w:color w:val="auto"/>
        </w:rPr>
      </w:pPr>
      <w:r>
        <w:rPr>
          <w:rFonts w:ascii="Arial" w:cs="Arial" w:eastAsia="Arial" w:hAnsi="Arial"/>
          <w:sz w:val="13"/>
          <w:szCs w:val="13"/>
          <w:color w:val="auto"/>
        </w:rPr>
        <w:t>ASU 2022-03, Fair Value Measurement (Topic 820): Fair Value Measurement of Equity Securities Subject to Contractual Sale Restrictions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Issued June 2022</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42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Adoption</w:t>
            </w:r>
          </w:p>
        </w:tc>
        <w:tc>
          <w:tcPr>
            <w:tcW w:w="3340" w:type="dxa"/>
            <w:vAlign w:val="bottom"/>
          </w:tcPr>
          <w:p>
            <w:pPr>
              <w:spacing w:after="0"/>
              <w:rPr>
                <w:sz w:val="13"/>
                <w:szCs w:val="13"/>
                <w:color w:val="auto"/>
              </w:rPr>
            </w:pPr>
          </w:p>
        </w:tc>
      </w:tr>
      <w:tr>
        <w:trPr>
          <w:trHeight w:val="183"/>
        </w:trPr>
        <w:tc>
          <w:tcPr>
            <w:tcW w:w="4280" w:type="dxa"/>
            <w:vAlign w:val="bottom"/>
          </w:tcPr>
          <w:p>
            <w:pPr>
              <w:ind w:left="1740"/>
              <w:spacing w:after="0"/>
              <w:rPr>
                <w:sz w:val="20"/>
                <w:szCs w:val="20"/>
                <w:color w:val="auto"/>
              </w:rPr>
            </w:pPr>
            <w:r>
              <w:rPr>
                <w:rFonts w:ascii="Arial" w:cs="Arial" w:eastAsia="Arial" w:hAnsi="Arial"/>
                <w:sz w:val="13"/>
                <w:szCs w:val="13"/>
                <w:b w:val="1"/>
                <w:bCs w:val="1"/>
                <w:color w:val="auto"/>
              </w:rPr>
              <w:t>Description</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Timing</w:t>
            </w:r>
          </w:p>
        </w:tc>
        <w:tc>
          <w:tcPr>
            <w:tcW w:w="3340" w:type="dxa"/>
            <w:vAlign w:val="bottom"/>
          </w:tcPr>
          <w:p>
            <w:pPr>
              <w:ind w:left="760"/>
              <w:spacing w:after="0"/>
              <w:rPr>
                <w:sz w:val="20"/>
                <w:szCs w:val="20"/>
                <w:color w:val="auto"/>
              </w:rPr>
            </w:pPr>
            <w:r>
              <w:rPr>
                <w:rFonts w:ascii="Arial" w:cs="Arial" w:eastAsia="Arial" w:hAnsi="Arial"/>
                <w:sz w:val="13"/>
                <w:szCs w:val="13"/>
                <w:b w:val="1"/>
                <w:bCs w:val="1"/>
                <w:color w:val="auto"/>
              </w:rPr>
              <w:t>Impact on Financial Statements</w:t>
            </w:r>
          </w:p>
        </w:tc>
      </w:tr>
      <w:tr>
        <w:trPr>
          <w:trHeight w:val="161"/>
        </w:trPr>
        <w:tc>
          <w:tcPr>
            <w:tcW w:w="4280" w:type="dxa"/>
            <w:vAlign w:val="bottom"/>
          </w:tcPr>
          <w:p>
            <w:pPr>
              <w:spacing w:after="0"/>
              <w:rPr>
                <w:sz w:val="20"/>
                <w:szCs w:val="20"/>
                <w:color w:val="auto"/>
              </w:rPr>
            </w:pPr>
            <w:r>
              <w:rPr>
                <w:rFonts w:ascii="Arial" w:cs="Arial" w:eastAsia="Arial" w:hAnsi="Arial"/>
                <w:sz w:val="13"/>
                <w:szCs w:val="13"/>
                <w:color w:val="auto"/>
              </w:rPr>
              <w:t>The FASB issued ASU 2020-04, Reference Rate Reform: Facilitation of</w:t>
            </w:r>
          </w:p>
        </w:tc>
        <w:tc>
          <w:tcPr>
            <w:tcW w:w="980" w:type="dxa"/>
            <w:vAlign w:val="bottom"/>
          </w:tcPr>
          <w:p>
            <w:pPr>
              <w:jc w:val="center"/>
              <w:spacing w:after="0"/>
              <w:rPr>
                <w:sz w:val="20"/>
                <w:szCs w:val="20"/>
                <w:color w:val="auto"/>
              </w:rPr>
            </w:pPr>
            <w:r>
              <w:rPr>
                <w:rFonts w:ascii="Arial" w:cs="Arial" w:eastAsia="Arial" w:hAnsi="Arial"/>
                <w:sz w:val="13"/>
                <w:szCs w:val="13"/>
                <w:color w:val="auto"/>
              </w:rPr>
              <w:t>1st Quarter</w:t>
            </w:r>
          </w:p>
        </w:tc>
        <w:tc>
          <w:tcPr>
            <w:tcW w:w="3340" w:type="dxa"/>
            <w:vAlign w:val="bottom"/>
          </w:tcPr>
          <w:p>
            <w:pPr>
              <w:ind w:left="120"/>
              <w:spacing w:after="0"/>
              <w:rPr>
                <w:sz w:val="20"/>
                <w:szCs w:val="20"/>
                <w:color w:val="auto"/>
              </w:rPr>
            </w:pPr>
            <w:r>
              <w:rPr>
                <w:rFonts w:ascii="Arial" w:cs="Arial" w:eastAsia="Arial" w:hAnsi="Arial"/>
                <w:sz w:val="13"/>
                <w:szCs w:val="13"/>
                <w:color w:val="auto"/>
              </w:rPr>
              <w:t>The Company established a LIBOR Transition Task</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the Effects of Reference Rate Reform on Financial Reporting. The</w:t>
            </w:r>
          </w:p>
        </w:tc>
        <w:tc>
          <w:tcPr>
            <w:tcW w:w="980" w:type="dxa"/>
            <w:vAlign w:val="bottom"/>
          </w:tcPr>
          <w:p>
            <w:pPr>
              <w:ind w:left="100"/>
              <w:spacing w:after="0"/>
              <w:rPr>
                <w:sz w:val="20"/>
                <w:szCs w:val="20"/>
                <w:color w:val="auto"/>
              </w:rPr>
            </w:pPr>
            <w:r>
              <w:rPr>
                <w:rFonts w:ascii="Arial" w:cs="Arial" w:eastAsia="Arial" w:hAnsi="Arial"/>
                <w:sz w:val="13"/>
                <w:szCs w:val="13"/>
                <w:color w:val="auto"/>
              </w:rPr>
              <w:t>2020 through</w:t>
            </w:r>
          </w:p>
        </w:tc>
        <w:tc>
          <w:tcPr>
            <w:tcW w:w="3340" w:type="dxa"/>
            <w:vAlign w:val="bottom"/>
          </w:tcPr>
          <w:p>
            <w:pPr>
              <w:ind w:left="120"/>
              <w:spacing w:after="0"/>
              <w:rPr>
                <w:sz w:val="20"/>
                <w:szCs w:val="20"/>
                <w:color w:val="auto"/>
              </w:rPr>
            </w:pPr>
            <w:r>
              <w:rPr>
                <w:rFonts w:ascii="Arial" w:cs="Arial" w:eastAsia="Arial" w:hAnsi="Arial"/>
                <w:sz w:val="13"/>
                <w:szCs w:val="13"/>
                <w:color w:val="auto"/>
              </w:rPr>
              <w:t>Force in 2020, which inventoried our instruments that</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amendments in this update provide temporary, optional guidance to</w:t>
            </w:r>
          </w:p>
        </w:tc>
        <w:tc>
          <w:tcPr>
            <w:tcW w:w="980" w:type="dxa"/>
            <w:vAlign w:val="bottom"/>
          </w:tcPr>
          <w:p>
            <w:pPr>
              <w:jc w:val="center"/>
              <w:spacing w:after="0"/>
              <w:rPr>
                <w:sz w:val="20"/>
                <w:szCs w:val="20"/>
                <w:color w:val="auto"/>
              </w:rPr>
            </w:pPr>
            <w:r>
              <w:rPr>
                <w:rFonts w:ascii="Arial" w:cs="Arial" w:eastAsia="Arial" w:hAnsi="Arial"/>
                <w:sz w:val="13"/>
                <w:szCs w:val="13"/>
                <w:color w:val="auto"/>
              </w:rPr>
              <w:t>June 2023</w:t>
            </w:r>
          </w:p>
        </w:tc>
        <w:tc>
          <w:tcPr>
            <w:tcW w:w="3340" w:type="dxa"/>
            <w:vAlign w:val="bottom"/>
          </w:tcPr>
          <w:p>
            <w:pPr>
              <w:ind w:left="120"/>
              <w:spacing w:after="0"/>
              <w:rPr>
                <w:sz w:val="20"/>
                <w:szCs w:val="20"/>
                <w:color w:val="auto"/>
              </w:rPr>
            </w:pPr>
            <w:r>
              <w:rPr>
                <w:rFonts w:ascii="Arial" w:cs="Arial" w:eastAsia="Arial" w:hAnsi="Arial"/>
                <w:sz w:val="13"/>
                <w:szCs w:val="13"/>
                <w:color w:val="auto"/>
              </w:rPr>
              <w:t>reflect exposure to LIBOR, created a framework to</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ease the potential burden in accounting for transitioning away from</w:t>
            </w: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manage the transition and established a timeline for</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reference rates such as LIBOR. The amendments provide optional</w:t>
            </w: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key decisions and actions, and started the transition</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expedients and exceptions for applying GAAP to transactions affected</w:t>
            </w: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from LIBOR in 2021. LIBOR is expected to be</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by reference rate reform if certain criteria are met. The amendments</w:t>
            </w: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completely phased out by June of 2023, as such the</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primarily include relief related to contract modifications and hedging</w:t>
            </w: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Company continues to assess and convert instruments</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relationships, as well as providing a one-time election for the sale or</w:t>
            </w: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to various alternatives in place of LIBOR. Interest rate</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transfer of debt securities classified as held-to-maturity. This guidance</w:t>
            </w: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swap derivatives and the associated loans that were</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is effective immediately and the amendments may be applied</w:t>
            </w: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indexed to LIBOR, have been replaced with one month</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prospectively through December 31, 2022.</w:t>
            </w: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CME Term SOFR. The Bank will continue to use</w:t>
            </w:r>
          </w:p>
        </w:tc>
      </w:tr>
      <w:tr>
        <w:trPr>
          <w:trHeight w:val="156"/>
        </w:trPr>
        <w:tc>
          <w:tcPr>
            <w:tcW w:w="4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multiple alternative indices as replacements for LIBOR</w:t>
            </w:r>
          </w:p>
        </w:tc>
      </w:tr>
      <w:tr>
        <w:trPr>
          <w:trHeight w:val="156"/>
        </w:trPr>
        <w:tc>
          <w:tcPr>
            <w:tcW w:w="4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for newly originated instruments. All remaining financial</w:t>
            </w:r>
          </w:p>
        </w:tc>
      </w:tr>
      <w:tr>
        <w:trPr>
          <w:trHeight w:val="156"/>
        </w:trPr>
        <w:tc>
          <w:tcPr>
            <w:tcW w:w="4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instruments indexed to LIBOR will be transitioned to a</w:t>
            </w:r>
          </w:p>
        </w:tc>
      </w:tr>
      <w:tr>
        <w:trPr>
          <w:trHeight w:val="156"/>
        </w:trPr>
        <w:tc>
          <w:tcPr>
            <w:tcW w:w="4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replacement index, primarily CME Term SOFR, prior to</w:t>
            </w:r>
          </w:p>
        </w:tc>
      </w:tr>
      <w:tr>
        <w:trPr>
          <w:trHeight w:val="156"/>
        </w:trPr>
        <w:tc>
          <w:tcPr>
            <w:tcW w:w="4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June 2023. We do not expect this ASU to have a</w:t>
            </w:r>
          </w:p>
        </w:tc>
      </w:tr>
      <w:tr>
        <w:trPr>
          <w:trHeight w:val="156"/>
        </w:trPr>
        <w:tc>
          <w:tcPr>
            <w:tcW w:w="4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material impact on the Company's consolidated</w:t>
            </w:r>
          </w:p>
        </w:tc>
      </w:tr>
      <w:tr>
        <w:trPr>
          <w:trHeight w:val="165"/>
        </w:trPr>
        <w:tc>
          <w:tcPr>
            <w:tcW w:w="4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financial statements.</w:t>
            </w:r>
          </w:p>
        </w:tc>
      </w:tr>
      <w:tr>
        <w:trPr>
          <w:trHeight w:val="171"/>
        </w:trPr>
        <w:tc>
          <w:tcPr>
            <w:tcW w:w="4280" w:type="dxa"/>
            <w:vAlign w:val="bottom"/>
          </w:tcPr>
          <w:p>
            <w:pPr>
              <w:spacing w:after="0"/>
              <w:rPr>
                <w:sz w:val="20"/>
                <w:szCs w:val="20"/>
                <w:color w:val="auto"/>
              </w:rPr>
            </w:pPr>
            <w:r>
              <w:rPr>
                <w:rFonts w:ascii="Arial" w:cs="Arial" w:eastAsia="Arial" w:hAnsi="Arial"/>
                <w:sz w:val="13"/>
                <w:szCs w:val="13"/>
                <w:color w:val="auto"/>
              </w:rPr>
              <w:t>On June 30, 2022, the FASB issued ASU 2022-03, Fair Value</w:t>
            </w:r>
          </w:p>
        </w:tc>
        <w:tc>
          <w:tcPr>
            <w:tcW w:w="980" w:type="dxa"/>
            <w:vAlign w:val="bottom"/>
          </w:tcPr>
          <w:p>
            <w:pPr>
              <w:jc w:val="center"/>
              <w:spacing w:after="0"/>
              <w:rPr>
                <w:sz w:val="20"/>
                <w:szCs w:val="20"/>
                <w:color w:val="auto"/>
              </w:rPr>
            </w:pPr>
            <w:r>
              <w:rPr>
                <w:rFonts w:ascii="Arial" w:cs="Arial" w:eastAsia="Arial" w:hAnsi="Arial"/>
                <w:sz w:val="13"/>
                <w:szCs w:val="13"/>
                <w:color w:val="auto"/>
              </w:rPr>
              <w:t>1st Quarter</w:t>
            </w:r>
          </w:p>
        </w:tc>
        <w:tc>
          <w:tcPr>
            <w:tcW w:w="3340" w:type="dxa"/>
            <w:vAlign w:val="bottom"/>
          </w:tcPr>
          <w:p>
            <w:pPr>
              <w:ind w:left="120"/>
              <w:spacing w:after="0"/>
              <w:rPr>
                <w:sz w:val="20"/>
                <w:szCs w:val="20"/>
                <w:color w:val="auto"/>
              </w:rPr>
            </w:pPr>
            <w:r>
              <w:rPr>
                <w:rFonts w:ascii="Arial" w:cs="Arial" w:eastAsia="Arial" w:hAnsi="Arial"/>
                <w:sz w:val="13"/>
                <w:szCs w:val="13"/>
                <w:color w:val="auto"/>
              </w:rPr>
              <w:t>The adoption of this ASU is not expected to have a</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Measurement (Topic 820) - Fair Value Measurement of Equity</w:t>
            </w:r>
          </w:p>
        </w:tc>
        <w:tc>
          <w:tcPr>
            <w:tcW w:w="980" w:type="dxa"/>
            <w:vAlign w:val="bottom"/>
          </w:tcPr>
          <w:p>
            <w:pPr>
              <w:jc w:val="center"/>
              <w:spacing w:after="0"/>
              <w:rPr>
                <w:sz w:val="20"/>
                <w:szCs w:val="20"/>
                <w:color w:val="auto"/>
              </w:rPr>
            </w:pPr>
            <w:r>
              <w:rPr>
                <w:rFonts w:ascii="Arial" w:cs="Arial" w:eastAsia="Arial" w:hAnsi="Arial"/>
                <w:sz w:val="13"/>
                <w:szCs w:val="13"/>
                <w:color w:val="auto"/>
              </w:rPr>
              <w:t>2024</w:t>
            </w:r>
          </w:p>
        </w:tc>
        <w:tc>
          <w:tcPr>
            <w:tcW w:w="3340" w:type="dxa"/>
            <w:vAlign w:val="bottom"/>
          </w:tcPr>
          <w:p>
            <w:pPr>
              <w:ind w:left="120"/>
              <w:spacing w:after="0"/>
              <w:rPr>
                <w:sz w:val="20"/>
                <w:szCs w:val="20"/>
                <w:color w:val="auto"/>
              </w:rPr>
            </w:pPr>
            <w:r>
              <w:rPr>
                <w:rFonts w:ascii="Arial" w:cs="Arial" w:eastAsia="Arial" w:hAnsi="Arial"/>
                <w:sz w:val="13"/>
                <w:szCs w:val="13"/>
                <w:color w:val="auto"/>
              </w:rPr>
              <w:t>material impact on our consolidated financial</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Securities Subject to Contractual Sale Restrictions. This ASU clarifies</w:t>
            </w:r>
          </w:p>
        </w:tc>
        <w:tc>
          <w:tcPr>
            <w:tcW w:w="980" w:type="dxa"/>
            <w:vAlign w:val="bottom"/>
          </w:tcPr>
          <w:p>
            <w:pPr>
              <w:spacing w:after="0"/>
              <w:rPr>
                <w:sz w:val="13"/>
                <w:szCs w:val="13"/>
                <w:color w:val="auto"/>
              </w:rPr>
            </w:pPr>
          </w:p>
        </w:tc>
        <w:tc>
          <w:tcPr>
            <w:tcW w:w="3340" w:type="dxa"/>
            <w:vAlign w:val="bottom"/>
          </w:tcPr>
          <w:p>
            <w:pPr>
              <w:ind w:left="120"/>
              <w:spacing w:after="0"/>
              <w:rPr>
                <w:sz w:val="20"/>
                <w:szCs w:val="20"/>
                <w:color w:val="auto"/>
              </w:rPr>
            </w:pPr>
            <w:r>
              <w:rPr>
                <w:rFonts w:ascii="Arial" w:cs="Arial" w:eastAsia="Arial" w:hAnsi="Arial"/>
                <w:sz w:val="13"/>
                <w:szCs w:val="13"/>
                <w:color w:val="auto"/>
              </w:rPr>
              <w:t>statements.</w:t>
            </w: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that a contractual restriction on the sale of an equity security is not</w:t>
            </w:r>
          </w:p>
        </w:tc>
        <w:tc>
          <w:tcPr>
            <w:tcW w:w="9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considered part of the unit of account of the equity security and is not</w:t>
            </w:r>
          </w:p>
        </w:tc>
        <w:tc>
          <w:tcPr>
            <w:tcW w:w="9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considered in measuring fair value. Further, this ASU clarifies that an</w:t>
            </w:r>
          </w:p>
        </w:tc>
        <w:tc>
          <w:tcPr>
            <w:tcW w:w="9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entity cannot, recognize and measure a contractual sale restriction as a</w:t>
            </w:r>
          </w:p>
        </w:tc>
        <w:tc>
          <w:tcPr>
            <w:tcW w:w="9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separate unit of account. Additionally, the amendments require the</w:t>
            </w:r>
          </w:p>
        </w:tc>
        <w:tc>
          <w:tcPr>
            <w:tcW w:w="9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disclosures for equity securities subject to contractual sale restrictions</w:t>
            </w:r>
          </w:p>
        </w:tc>
        <w:tc>
          <w:tcPr>
            <w:tcW w:w="9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to include the fair value of equity securities subject to contractual sale</w:t>
            </w:r>
          </w:p>
        </w:tc>
        <w:tc>
          <w:tcPr>
            <w:tcW w:w="9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restrictions reflected on the balance sheet, the nature and remaining</w:t>
            </w:r>
          </w:p>
        </w:tc>
        <w:tc>
          <w:tcPr>
            <w:tcW w:w="9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duration of the restrictions and the circumstances that could cause a</w:t>
            </w:r>
          </w:p>
        </w:tc>
        <w:tc>
          <w:tcPr>
            <w:tcW w:w="9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lapse in the restrictions. This ASU is effective for interim and annual</w:t>
            </w:r>
          </w:p>
        </w:tc>
        <w:tc>
          <w:tcPr>
            <w:tcW w:w="9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56"/>
        </w:trPr>
        <w:tc>
          <w:tcPr>
            <w:tcW w:w="4280" w:type="dxa"/>
            <w:vAlign w:val="bottom"/>
          </w:tcPr>
          <w:p>
            <w:pPr>
              <w:spacing w:after="0"/>
              <w:rPr>
                <w:sz w:val="20"/>
                <w:szCs w:val="20"/>
                <w:color w:val="auto"/>
              </w:rPr>
            </w:pPr>
            <w:r>
              <w:rPr>
                <w:rFonts w:ascii="Arial" w:cs="Arial" w:eastAsia="Arial" w:hAnsi="Arial"/>
                <w:sz w:val="13"/>
                <w:szCs w:val="13"/>
                <w:color w:val="auto"/>
              </w:rPr>
              <w:t>reporting periods beginning after December 15, 2023; early adoption is</w:t>
            </w:r>
          </w:p>
        </w:tc>
        <w:tc>
          <w:tcPr>
            <w:tcW w:w="9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65"/>
        </w:trPr>
        <w:tc>
          <w:tcPr>
            <w:tcW w:w="4280" w:type="dxa"/>
            <w:vAlign w:val="bottom"/>
          </w:tcPr>
          <w:p>
            <w:pPr>
              <w:spacing w:after="0"/>
              <w:rPr>
                <w:sz w:val="20"/>
                <w:szCs w:val="20"/>
                <w:color w:val="auto"/>
              </w:rPr>
            </w:pPr>
            <w:r>
              <w:rPr>
                <w:rFonts w:ascii="Arial" w:cs="Arial" w:eastAsia="Arial" w:hAnsi="Arial"/>
                <w:sz w:val="13"/>
                <w:szCs w:val="13"/>
                <w:color w:val="auto"/>
              </w:rPr>
              <w:t>permitted.</w:t>
            </w:r>
          </w:p>
        </w:tc>
        <w:tc>
          <w:tcPr>
            <w:tcW w:w="980" w:type="dxa"/>
            <w:vAlign w:val="bottom"/>
          </w:tcPr>
          <w:p>
            <w:pPr>
              <w:spacing w:after="0"/>
              <w:rPr>
                <w:sz w:val="14"/>
                <w:szCs w:val="14"/>
                <w:color w:val="auto"/>
              </w:rPr>
            </w:pPr>
          </w:p>
        </w:tc>
        <w:tc>
          <w:tcPr>
            <w:tcW w:w="3340" w:type="dxa"/>
            <w:vAlign w:val="bottom"/>
          </w:tcPr>
          <w:p>
            <w:pPr>
              <w:spacing w:after="0"/>
              <w:rPr>
                <w:sz w:val="14"/>
                <w:szCs w:val="14"/>
                <w:color w:val="auto"/>
              </w:rPr>
            </w:pPr>
          </w:p>
        </w:tc>
      </w:tr>
    </w:tbl>
    <w:p>
      <w:pPr>
        <w:spacing w:after="0" w:line="183" w:lineRule="exact"/>
        <w:rPr>
          <w:sz w:val="20"/>
          <w:szCs w:val="20"/>
          <w:color w:val="auto"/>
        </w:rPr>
      </w:pPr>
    </w:p>
    <w:p>
      <w:pPr>
        <w:sectPr>
          <w:pgSz w:w="11900" w:h="16840" w:orient="portrait"/>
          <w:cols w:equalWidth="0" w:num="2">
            <w:col w:w="1740" w:space="180"/>
            <w:col w:w="8600"/>
          </w:cols>
          <w:pgMar w:left="660" w:top="962" w:right="720"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962" w:right="720"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OVERVIEW</w:t>
      </w:r>
    </w:p>
    <w:p>
      <w:pPr>
        <w:spacing w:after="0" w:line="64" w:lineRule="exact"/>
        <w:rPr>
          <w:sz w:val="20"/>
          <w:szCs w:val="20"/>
          <w:color w:val="auto"/>
        </w:rPr>
      </w:pPr>
    </w:p>
    <w:p>
      <w:pPr>
        <w:ind w:right="80" w:firstLine="432"/>
        <w:spacing w:after="0" w:line="239" w:lineRule="auto"/>
        <w:rPr>
          <w:sz w:val="20"/>
          <w:szCs w:val="20"/>
          <w:color w:val="auto"/>
        </w:rPr>
      </w:pPr>
      <w:r>
        <w:rPr>
          <w:rFonts w:ascii="Arial" w:cs="Arial" w:eastAsia="Arial" w:hAnsi="Arial"/>
          <w:sz w:val="16"/>
          <w:szCs w:val="16"/>
          <w:color w:val="auto"/>
        </w:rPr>
        <w:t>For the first quarter of 2023, we reported net earnings of $59.3 million, compared with $66.2 million for the fourth quarter of 2022 and $45.6 million for the first quarter of 2022. Diluted earnings per share were $0.42 for the first quarter, compared to $0.47 for the prior quarter and $0.31 for the same period last year. Net income of $59.3 million for the first quarter of 2023 produced an annualized return on average equity (“ROAE”) of 12.15%, an annualized return on average tangible common equity (“ROATCE”) of 20.59%, and an annualized return on average assets (“ROAA”) of 1.47%. Our net interest margin, tax equivalent (“NIM”), was 3.45% for the first quarter of 2023, while our efficiency ratio was 39.50%.</w:t>
      </w:r>
    </w:p>
    <w:p>
      <w:pPr>
        <w:spacing w:after="0" w:line="164" w:lineRule="exact"/>
        <w:rPr>
          <w:sz w:val="20"/>
          <w:szCs w:val="20"/>
          <w:color w:val="auto"/>
        </w:rPr>
      </w:pPr>
    </w:p>
    <w:p>
      <w:pPr>
        <w:ind w:right="320" w:firstLine="432"/>
        <w:spacing w:after="0" w:line="238" w:lineRule="auto"/>
        <w:rPr>
          <w:sz w:val="20"/>
          <w:szCs w:val="20"/>
          <w:color w:val="auto"/>
        </w:rPr>
      </w:pPr>
      <w:r>
        <w:rPr>
          <w:rFonts w:ascii="Arial" w:cs="Arial" w:eastAsia="Arial" w:hAnsi="Arial"/>
          <w:sz w:val="16"/>
          <w:szCs w:val="16"/>
          <w:color w:val="auto"/>
        </w:rPr>
        <w:t>The first quarter of 2023 included $1.5 million in provision for credit losses, compared to a $2.5 million in provision for credit losses in the fourth quarter of 2022 and $2.5 million in the first quarter of 2022. The $1.5 million provision for credit losses in the most recent quarter was the result of an overall increase in projected loss rates from 0.94% at the end of 2022 to 0.97% at March 31, 2023. Projected loss rates continue to be impacted by a deteriorating economic forecast that assumes a modest recession starting in late 2023 and modest GDP growth through 2024, as well as lower commercial real estate values and an increase in unemployment. Our forecast reflects GDP growth of 1.4% for all of 2023 and 0.9% in 2024. Unemployment is forecasted to be 4.2% in 2023 and 5.1% in 2024.</w:t>
      </w:r>
    </w:p>
    <w:p>
      <w:pPr>
        <w:spacing w:after="0" w:line="166" w:lineRule="exact"/>
        <w:rPr>
          <w:sz w:val="20"/>
          <w:szCs w:val="20"/>
          <w:color w:val="auto"/>
        </w:rPr>
      </w:pPr>
    </w:p>
    <w:p>
      <w:pPr>
        <w:ind w:right="60" w:firstLine="432"/>
        <w:spacing w:after="0"/>
        <w:rPr>
          <w:sz w:val="20"/>
          <w:szCs w:val="20"/>
          <w:color w:val="auto"/>
        </w:rPr>
      </w:pPr>
      <w:r>
        <w:rPr>
          <w:rFonts w:ascii="Arial" w:cs="Arial" w:eastAsia="Arial" w:hAnsi="Arial"/>
          <w:sz w:val="16"/>
          <w:szCs w:val="16"/>
          <w:color w:val="auto"/>
        </w:rPr>
        <w:t>On January 7, 2022, we completed the acquisition of Suncrest Bank (“Suncrest”). At close, Citizens Business Bank acquired loans with a fair value of $774.5 million, assumed $512.8 million of noninterest-bearing deposits, and $669.8 million of interest-bearing deposits. The integration of Suncrest was completed in the second quarter with the consolidation of two banking centers. As a result of the Suncrest merger, we incurred $5.6 million in acquisition expense during the first quarter of 2022.</w:t>
      </w:r>
    </w:p>
    <w:p>
      <w:pPr>
        <w:spacing w:after="0" w:line="164" w:lineRule="exact"/>
        <w:rPr>
          <w:sz w:val="20"/>
          <w:szCs w:val="20"/>
          <w:color w:val="auto"/>
        </w:rPr>
      </w:pPr>
    </w:p>
    <w:p>
      <w:pPr>
        <w:ind w:firstLine="432"/>
        <w:spacing w:after="0" w:line="238" w:lineRule="auto"/>
        <w:rPr>
          <w:sz w:val="20"/>
          <w:szCs w:val="20"/>
          <w:color w:val="auto"/>
        </w:rPr>
      </w:pPr>
      <w:r>
        <w:rPr>
          <w:rFonts w:ascii="Arial" w:cs="Arial" w:eastAsia="Arial" w:hAnsi="Arial"/>
          <w:sz w:val="16"/>
          <w:szCs w:val="16"/>
          <w:color w:val="auto"/>
        </w:rPr>
        <w:t>As a result of the acquisition of Suncrest, we recorded a provision for credit loss of $ 4.9 million on January 7, 2022 for the acquired loans that were not considered purchased credit deteriorated (“PCD”). The $2.5 million provision for credit losses for the first quarter of 2022 was the net result of the January 7, 2022 provision for credit losses recorded for the acquisition of the Suncrest non- PCD loans and a $2.4 million recapture of provision due to the net impact of improvements in the underlying loan characteristics of certain classified loans and the impact of changes in the economic forecast of certain macroeconomic variables compared to the end of 2021. During the first quarter of 2022, we experienced credit charge-offs of $16,000 and total recoveries of $11,000, resulting in net charge-offs of $5,000.</w:t>
      </w:r>
    </w:p>
    <w:p>
      <w:pPr>
        <w:spacing w:after="0" w:line="166" w:lineRule="exact"/>
        <w:rPr>
          <w:sz w:val="20"/>
          <w:szCs w:val="20"/>
          <w:color w:val="auto"/>
        </w:rPr>
      </w:pPr>
    </w:p>
    <w:p>
      <w:pPr>
        <w:jc w:val="both"/>
        <w:ind w:right="140" w:firstLine="432"/>
        <w:spacing w:after="0"/>
        <w:rPr>
          <w:sz w:val="20"/>
          <w:szCs w:val="20"/>
          <w:color w:val="auto"/>
        </w:rPr>
      </w:pPr>
      <w:r>
        <w:rPr>
          <w:rFonts w:ascii="Arial" w:cs="Arial" w:eastAsia="Arial" w:hAnsi="Arial"/>
          <w:sz w:val="16"/>
          <w:szCs w:val="16"/>
          <w:color w:val="auto"/>
        </w:rPr>
        <w:t>At March 31, 2023, total assets of $16.27 billion decreased by $202.5 million, or 1.23%, from total assets of $16.48 billion at December 31, 2022. Interest-earning assets of $14.80 billion at March 31, 2023, decreased by $172.8 million, or 1.15%, when compared with $14.97 billion at December 31, 2022. The decrease in interest-earning assets was primarily due to a $136.9 million decrease in total loans and a $69.0 million decrease in investment securities.</w:t>
      </w:r>
    </w:p>
    <w:p>
      <w:pPr>
        <w:spacing w:after="0" w:line="164" w:lineRule="exact"/>
        <w:rPr>
          <w:sz w:val="20"/>
          <w:szCs w:val="20"/>
          <w:color w:val="auto"/>
        </w:rPr>
      </w:pPr>
    </w:p>
    <w:p>
      <w:pPr>
        <w:ind w:right="140" w:firstLine="432"/>
        <w:spacing w:after="0" w:line="238" w:lineRule="auto"/>
        <w:rPr>
          <w:sz w:val="20"/>
          <w:szCs w:val="20"/>
          <w:color w:val="auto"/>
        </w:rPr>
      </w:pPr>
      <w:r>
        <w:rPr>
          <w:rFonts w:ascii="Arial" w:cs="Arial" w:eastAsia="Arial" w:hAnsi="Arial"/>
          <w:sz w:val="16"/>
          <w:szCs w:val="16"/>
          <w:color w:val="auto"/>
        </w:rPr>
        <w:t>Total investment securities were $5.74 billion at March 31, 2023, a decrease of $ 69.0 million, or 1.19%, from $5.81 billion at December 31, 2022. At March 31, 2023, investment securities held-to-maturity (“HTM”) totaled $2.54 billion, a decrease of $18.3 million, or 0.72%, from December 31, 2022. At March 31, 2023, investment securities available-for -sale (“AFS”) totaled $3.20 billion, inclusive of a pre-tax net unrealized loss of $459.7 million. AFS securities decreased by $50.7 million, or 1.56%, from $3.26 billion at December 31, 2022. The decrease was net of a $40 million reduction in the unrealized loss on AFS securities due to a decline in market interest rates. Our tax equivalent yield on investments was 2.37% for the quarter ended March 31, 2023, compared to 2.36% for the fourth quarter of 2022 and 1.70% for the first quarter of 2022.</w:t>
      </w:r>
    </w:p>
    <w:p>
      <w:pPr>
        <w:spacing w:after="0" w:line="166" w:lineRule="exact"/>
        <w:rPr>
          <w:sz w:val="20"/>
          <w:szCs w:val="20"/>
          <w:color w:val="auto"/>
        </w:rPr>
      </w:pPr>
    </w:p>
    <w:p>
      <w:pPr>
        <w:ind w:right="40" w:firstLine="432"/>
        <w:spacing w:after="0" w:line="273" w:lineRule="auto"/>
        <w:rPr>
          <w:sz w:val="20"/>
          <w:szCs w:val="20"/>
          <w:color w:val="auto"/>
        </w:rPr>
      </w:pPr>
      <w:r>
        <w:rPr>
          <w:rFonts w:ascii="Arial" w:cs="Arial" w:eastAsia="Arial" w:hAnsi="Arial"/>
          <w:sz w:val="14"/>
          <w:szCs w:val="14"/>
          <w:color w:val="auto"/>
        </w:rPr>
        <w:t>Total loans and leases, at amortized cost, of $8.94 billion at March 31, 2023, decreased by $136.9 million, or 1.51%, from December 31, 2022. After adjusting for seasonality of dairy and livestock and PPP loans, our core loans declined by $6.5 million, or 0.07%, from the end of the fourth quarter. The $136.9 million decrease in total loans quarter-over-quarter included decreases of $127.2 million in dairy &amp; livestock loans, $50.5 million in commercial and industrial loans, $7.4 million in SBA loans, $4.3 million in construction loans, $3.7 million in SFR mortgage loans, $3.3 million in PPP loans, and $5.7 million in consumer and other loans, partially offset by an increase of $65.4 million in commercial real estate loans. The decline in dairy and livestock loans primarily relates to the seasonal peak in line utilization at the end of every calendar year, demonstrated by a decline in utilization from 78% at the end of 2022 to 68%. Likewise, the decline in commercial and industrial loans was impacted by a decrease in line utilization from 33% at the end of 2022 to 28% at March 31, 2023. Our yield on loans was 4.90% for the quarter ended March 31, 2023, compared to 4.78% for the fourth quarter of 2022 and 4.27% for the first quarter of 2022. Loan yields, excluding the impact of PPP loans and discount accretion from acquired loans, increased from 4.11% in the first quarter of 2022 to 4.85% in the first quarter of 2023. The recent increases in interest rates, including a 475 basis point increase in the Fed Funds rate since the fourth quarter of 2021 contributed to the 74 basis point increase in our core loan yields year-over-year.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158115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37" w:name="page38"/>
    <w:bookmarkEnd w:id="37"/>
    <w:p>
      <w:pPr>
        <w:jc w:val="both"/>
        <w:ind w:right="380" w:firstLine="432"/>
        <w:spacing w:after="0" w:line="243" w:lineRule="auto"/>
        <w:rPr>
          <w:sz w:val="20"/>
          <w:szCs w:val="20"/>
          <w:color w:val="auto"/>
        </w:rPr>
      </w:pPr>
      <w:r>
        <w:rPr>
          <w:rFonts w:ascii="Arial" w:cs="Arial" w:eastAsia="Arial" w:hAnsi="Arial"/>
          <w:sz w:val="16"/>
          <w:szCs w:val="16"/>
          <w:color w:val="auto"/>
        </w:rPr>
        <w:t>Noninterest-bearing deposits were $7.84 billion at March 31, 2023, a decrease of $ 320.0 million, or 3.92%, when compared to $8.16 billion at December 31, 2022 and a decrease of $1.26 billion, or 13.87%, when compared to $9.11 billion at March 31, 2022. At March 31, 2023, noninterest-bearing deposits were 63.92% of total deposits, compared to 63.60% at December 31, 2022 and 62.86% at March 31, 2022.</w:t>
      </w:r>
    </w:p>
    <w:p>
      <w:pPr>
        <w:spacing w:after="0" w:line="161" w:lineRule="exact"/>
        <w:rPr>
          <w:sz w:val="20"/>
          <w:szCs w:val="20"/>
          <w:color w:val="auto"/>
        </w:rPr>
      </w:pPr>
    </w:p>
    <w:p>
      <w:pPr>
        <w:ind w:right="120" w:firstLine="432"/>
        <w:spacing w:after="0" w:line="239" w:lineRule="auto"/>
        <w:rPr>
          <w:sz w:val="20"/>
          <w:szCs w:val="20"/>
          <w:color w:val="auto"/>
        </w:rPr>
      </w:pPr>
      <w:r>
        <w:rPr>
          <w:rFonts w:ascii="Arial" w:cs="Arial" w:eastAsia="Arial" w:hAnsi="Arial"/>
          <w:sz w:val="16"/>
          <w:szCs w:val="16"/>
          <w:color w:val="auto"/>
        </w:rPr>
        <w:t>Interest- bearing deposits were $4.43 billion at March 31, 2023, a decrease of $ 244.3 million, or 5.23%, when compared to $4.67 billion at December 31, 2022 and a decrease of $952.9 million, or 17.71%, when compared to $ 5.38 billion at March 31, 2022. Customer repurchase agreements totaled $490.2 million at March 31, 2023, compared to $565.4 million at December 31, 2022 and $ 598.9 million at March 31, 2022. Our average cost of total deposits including customer repurchase agreements was 0.17% for the quarter ended March 31, 2023, compared to 0.08% for the fourth quarter of 2022 and 0.03% for the first quarter of 2022.</w:t>
      </w:r>
    </w:p>
    <w:p>
      <w:pPr>
        <w:spacing w:after="0" w:line="164" w:lineRule="exact"/>
        <w:rPr>
          <w:sz w:val="20"/>
          <w:szCs w:val="20"/>
          <w:color w:val="auto"/>
        </w:rPr>
      </w:pPr>
    </w:p>
    <w:p>
      <w:pPr>
        <w:ind w:right="80" w:firstLine="432"/>
        <w:spacing w:after="0" w:line="273" w:lineRule="auto"/>
        <w:rPr>
          <w:sz w:val="20"/>
          <w:szCs w:val="20"/>
          <w:color w:val="auto"/>
        </w:rPr>
      </w:pPr>
      <w:r>
        <w:rPr>
          <w:rFonts w:ascii="Arial" w:cs="Arial" w:eastAsia="Arial" w:hAnsi="Arial"/>
          <w:sz w:val="14"/>
          <w:szCs w:val="14"/>
          <w:color w:val="auto"/>
        </w:rPr>
        <w:t>At March 31, 2023, we had $1.4 billion in FHLB short-term borrowings, compared to $995.0 million at December 31, 2022. The combination of seasonal deposit declines, the impact of cash burn on deposits from inflationary pressures, and market conditions that include the availability of higher interest rates on short -term alternatives to deposits, such as money market mutual funds and treasury notes, resulted in the decline in core customer deposits. The decline in deposits resulted in higher short-term borrowings from the Federal Home Loan Bank during the first quarter of 2023. With slowing loan demand, cash flow generated from our investment securities, and the normal historical inflows of deposits we experience during the second and third quarter of most years, borrowings may moderate during the second half of 2023. However, continued increases in short- term rates and overall inflationary pressures may continue to create challenges that impact deposit levels and our liquidity in the near term. Over the last twelve months, the Federal Reserve has increased the Federal Funds rate by 475 basis points to the target range of 4.75% to 5.00%. In comparison to the rising Federal Funds rate, our average cost of funds of 0.49% for the first quarter of 2023, increased from 0.03% for the first quarter of 2022. We had $971.7 million in average overnight borrowings at a cost of 4.81% for the first quarter of 2023, compared to $161.2 million in the fourth quarter of 2022 at a cost of 4.49%. These overnight borrowings and an increase in the cost of deposits and customer repurchase agreements from 8 basis points in the fourth quarter of 2022 to 17 basis points in the first quarter of 2023, increased our cost of funds by 36 basis points to 0.49% for the first quarter of 2023.</w:t>
      </w:r>
    </w:p>
    <w:p>
      <w:pPr>
        <w:spacing w:after="0" w:line="326" w:lineRule="exact"/>
        <w:rPr>
          <w:sz w:val="20"/>
          <w:szCs w:val="20"/>
          <w:color w:val="auto"/>
        </w:rPr>
      </w:pPr>
    </w:p>
    <w:p>
      <w:pPr>
        <w:ind w:right="100" w:firstLine="432"/>
        <w:spacing w:after="0"/>
        <w:rPr>
          <w:sz w:val="20"/>
          <w:szCs w:val="20"/>
          <w:color w:val="auto"/>
        </w:rPr>
      </w:pPr>
      <w:r>
        <w:rPr>
          <w:rFonts w:ascii="Arial" w:cs="Arial" w:eastAsia="Arial" w:hAnsi="Arial"/>
          <w:sz w:val="16"/>
          <w:szCs w:val="16"/>
          <w:color w:val="auto"/>
        </w:rPr>
        <w:t>The allowance for credit losses totaled $86.5 million at March 31, 2023, compared to $85.1 million at December 31, 2022. The $1.5 million provision for credit losses in the most recent quarter was the result of an overall increase in projected loss rates from 0.94% at the end of 2022 to 0.97% at March 31, 2023. Projected loss rates continue to be impacted by a deteriorating economic forecast that assumes a modest recession starting in late 2023 and modest GDP growth through 2024, as well as lower commercial real estate values and an increase in unemployment.</w:t>
      </w:r>
    </w:p>
    <w:p>
      <w:pPr>
        <w:spacing w:after="0" w:line="164" w:lineRule="exact"/>
        <w:rPr>
          <w:sz w:val="20"/>
          <w:szCs w:val="20"/>
          <w:color w:val="auto"/>
        </w:rPr>
      </w:pPr>
    </w:p>
    <w:p>
      <w:pPr>
        <w:ind w:right="120" w:firstLine="432"/>
        <w:spacing w:after="0" w:line="281" w:lineRule="auto"/>
        <w:rPr>
          <w:sz w:val="20"/>
          <w:szCs w:val="20"/>
          <w:color w:val="auto"/>
        </w:rPr>
      </w:pPr>
      <w:r>
        <w:rPr>
          <w:rFonts w:ascii="Arial" w:cs="Arial" w:eastAsia="Arial" w:hAnsi="Arial"/>
          <w:sz w:val="14"/>
          <w:szCs w:val="14"/>
          <w:color w:val="auto"/>
        </w:rPr>
        <w:t>The Company’s total equity was $1.99 billion at March 31, 2023. This represented an overall increase of $41.3 million from total equity of $1.95 billion at December 31, 2022. Increases to equity included $59.3 million in net earnings and a $28.7 million increase in other comprehensive income from the tax effected impact of the increase in market value of available-for-sale securities. Decreases included $28.0 million in cash dividends. During the first quarter of 2023, we repurchased, under our 10b5- 1 stock repurchase plan, 791,800 shares of common stock, at an average repurchase price of $23.43, totaling $18.5 million. The 10b5-1 plan expired on March 2, 2023. Our tangible book value per share at March 31, 2023 was $8.64.</w:t>
      </w:r>
    </w:p>
    <w:p>
      <w:pPr>
        <w:spacing w:after="0" w:line="138" w:lineRule="exact"/>
        <w:rPr>
          <w:sz w:val="20"/>
          <w:szCs w:val="20"/>
          <w:color w:val="auto"/>
        </w:rPr>
      </w:pPr>
    </w:p>
    <w:p>
      <w:pPr>
        <w:ind w:firstLine="432"/>
        <w:spacing w:after="0" w:line="243" w:lineRule="auto"/>
        <w:rPr>
          <w:sz w:val="20"/>
          <w:szCs w:val="20"/>
          <w:color w:val="auto"/>
        </w:rPr>
      </w:pPr>
      <w:r>
        <w:rPr>
          <w:rFonts w:ascii="Arial" w:cs="Arial" w:eastAsia="Arial" w:hAnsi="Arial"/>
          <w:sz w:val="16"/>
          <w:szCs w:val="16"/>
          <w:color w:val="auto"/>
        </w:rPr>
        <w:t xml:space="preserve">Our capital ratios under the revised capital framework referred to as Basel III remain well-above regulatory requirements. As of March 31, 2023, the Company’s Tier 1 leverage capital ratio was 9.69%, common equity Tier 1 ratio was 13.80%, Tier 1 risk-based capital ratio was 13.80%, and total risk-based capital ratio was 14.65%. Refer to our </w:t>
      </w:r>
      <w:r>
        <w:rPr>
          <w:rFonts w:ascii="Arial" w:cs="Arial" w:eastAsia="Arial" w:hAnsi="Arial"/>
          <w:sz w:val="16"/>
          <w:szCs w:val="16"/>
          <w:i w:val="1"/>
          <w:iCs w:val="1"/>
          <w:color w:val="auto"/>
        </w:rPr>
        <w:t>Analysis of Financial Condition – Capital Resources</w:t>
      </w:r>
      <w:r>
        <w:rPr>
          <w:rFonts w:ascii="Arial" w:cs="Arial" w:eastAsia="Arial" w:hAnsi="Arial"/>
          <w:sz w:val="16"/>
          <w:szCs w:val="16"/>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70" w:right="660"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ANALYSIS OF THE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Performance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6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r>
      <w:tr>
        <w:trPr>
          <w:trHeight w:val="186"/>
        </w:trPr>
        <w:tc>
          <w:tcPr>
            <w:tcW w:w="4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80" w:type="dxa"/>
            <w:vAlign w:val="bottom"/>
            <w:gridSpan w:val="9"/>
          </w:tcPr>
          <w:p>
            <w:pPr>
              <w:jc w:val="right"/>
              <w:ind w:right="50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Net interest income</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125,728</w:t>
            </w:r>
          </w:p>
        </w:tc>
        <w:tc>
          <w:tcPr>
            <w:tcW w:w="3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112,840</w:t>
            </w:r>
          </w:p>
        </w:tc>
        <w:tc>
          <w:tcPr>
            <w:tcW w:w="3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12,888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11.42 %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(Provision for) recapture of credit losses</w:t>
            </w:r>
          </w:p>
        </w:tc>
        <w:tc>
          <w:tcPr>
            <w:tcW w:w="84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(1,500 )</w:t>
            </w:r>
          </w:p>
        </w:tc>
        <w:tc>
          <w:tcPr>
            <w:tcW w:w="3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(2,500 )</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40.00 %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13,202</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11,264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17.21 %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Noninterest expense</w:t>
            </w:r>
          </w:p>
        </w:tc>
        <w:tc>
          <w:tcPr>
            <w:tcW w:w="84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(54,881 )</w:t>
            </w:r>
          </w:p>
        </w:tc>
        <w:tc>
          <w:tcPr>
            <w:tcW w:w="3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(58,238 )</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3,357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5.76 %</w:t>
            </w:r>
          </w:p>
        </w:tc>
      </w:tr>
      <w:tr>
        <w:trPr>
          <w:trHeight w:val="195"/>
        </w:trPr>
        <w:tc>
          <w:tcPr>
            <w:tcW w:w="48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84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(23,279 )</w:t>
            </w:r>
          </w:p>
        </w:tc>
        <w:tc>
          <w:tcPr>
            <w:tcW w:w="3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(17,806 )</w:t>
            </w:r>
          </w:p>
        </w:tc>
        <w:tc>
          <w:tcPr>
            <w:tcW w:w="3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(5,473 )</w:t>
            </w:r>
          </w:p>
        </w:tc>
        <w:tc>
          <w:tcPr>
            <w:tcW w:w="4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-30.74 %</w:t>
            </w:r>
          </w:p>
        </w:tc>
      </w:tr>
      <w:tr>
        <w:trPr>
          <w:trHeight w:val="235"/>
        </w:trPr>
        <w:tc>
          <w:tcPr>
            <w:tcW w:w="4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Net earnings</w:t>
            </w:r>
          </w:p>
        </w:tc>
        <w:tc>
          <w:tcPr>
            <w:tcW w:w="840" w:type="dxa"/>
            <w:vAlign w:val="bottom"/>
            <w:tcBorders>
              <w:bottom w:val="single" w:sz="8" w:color="auto"/>
            </w:tcBorders>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59,270</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45,560</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13,710</w:t>
            </w: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30.09 %</w:t>
            </w:r>
          </w:p>
        </w:tc>
      </w:tr>
      <w:tr>
        <w:trPr>
          <w:trHeight w:val="165"/>
        </w:trPr>
        <w:tc>
          <w:tcPr>
            <w:tcW w:w="4800" w:type="dxa"/>
            <w:vAlign w:val="bottom"/>
          </w:tcPr>
          <w:p>
            <w:pPr>
              <w:ind w:left="20"/>
              <w:spacing w:after="0"/>
              <w:rPr>
                <w:sz w:val="20"/>
                <w:szCs w:val="20"/>
                <w:color w:val="auto"/>
              </w:rPr>
            </w:pPr>
            <w:r>
              <w:rPr>
                <w:rFonts w:ascii="Arial" w:cs="Arial" w:eastAsia="Arial" w:hAnsi="Arial"/>
                <w:sz w:val="14"/>
                <w:szCs w:val="14"/>
                <w:color w:val="auto"/>
              </w:rPr>
              <w:t>Earnings per common share:</w:t>
            </w: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5"/>
        </w:trPr>
        <w:tc>
          <w:tcPr>
            <w:tcW w:w="4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Basic</w:t>
            </w:r>
          </w:p>
        </w:tc>
        <w:tc>
          <w:tcPr>
            <w:tcW w:w="84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0.42</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0.31</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00" w:type="dxa"/>
            <w:vAlign w:val="bottom"/>
          </w:tcPr>
          <w:p>
            <w:pPr>
              <w:ind w:left="180"/>
              <w:spacing w:after="0"/>
              <w:rPr>
                <w:sz w:val="20"/>
                <w:szCs w:val="20"/>
                <w:color w:val="auto"/>
              </w:rPr>
            </w:pPr>
            <w:r>
              <w:rPr>
                <w:rFonts w:ascii="Arial" w:cs="Arial" w:eastAsia="Arial" w:hAnsi="Arial"/>
                <w:sz w:val="14"/>
                <w:szCs w:val="14"/>
                <w:color w:val="auto"/>
              </w:rPr>
              <w:t>Diluted</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0.42</w:t>
            </w:r>
          </w:p>
        </w:tc>
        <w:tc>
          <w:tcPr>
            <w:tcW w:w="3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0.31</w:t>
            </w:r>
          </w:p>
        </w:tc>
        <w:tc>
          <w:tcPr>
            <w:tcW w:w="3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on average assets</w:t>
            </w:r>
          </w:p>
        </w:tc>
        <w:tc>
          <w:tcPr>
            <w:tcW w:w="8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1.47 %</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1.06 %</w:t>
            </w:r>
          </w:p>
        </w:tc>
        <w:tc>
          <w:tcPr>
            <w:tcW w:w="300" w:type="dxa"/>
            <w:vAlign w:val="bottom"/>
            <w:shd w:val="clear" w:color="auto" w:fill="CFF0FC"/>
          </w:tcPr>
          <w:p>
            <w:pPr>
              <w:spacing w:after="0"/>
              <w:rPr>
                <w:sz w:val="16"/>
                <w:szCs w:val="16"/>
                <w:color w:val="auto"/>
              </w:rPr>
            </w:pPr>
          </w:p>
        </w:tc>
        <w:tc>
          <w:tcPr>
            <w:tcW w:w="1360" w:type="dxa"/>
            <w:vAlign w:val="bottom"/>
            <w:gridSpan w:val="3"/>
            <w:shd w:val="clear" w:color="auto" w:fill="CFF0FC"/>
          </w:tcPr>
          <w:p>
            <w:pPr>
              <w:jc w:val="right"/>
              <w:ind w:right="440"/>
              <w:spacing w:after="0"/>
              <w:rPr>
                <w:sz w:val="20"/>
                <w:szCs w:val="20"/>
                <w:color w:val="auto"/>
              </w:rPr>
            </w:pPr>
            <w:r>
              <w:rPr>
                <w:rFonts w:ascii="Arial" w:cs="Arial" w:eastAsia="Arial" w:hAnsi="Arial"/>
                <w:sz w:val="14"/>
                <w:szCs w:val="14"/>
                <w:color w:val="auto"/>
              </w:rPr>
              <w:t>0.41 %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Return on average shareholders' equity</w:t>
            </w:r>
          </w:p>
        </w:tc>
        <w:tc>
          <w:tcPr>
            <w:tcW w:w="8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12.15 %</w:t>
            </w:r>
          </w:p>
        </w:tc>
        <w:tc>
          <w:tcPr>
            <w:tcW w:w="3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8.24 %</w:t>
            </w:r>
          </w:p>
        </w:tc>
        <w:tc>
          <w:tcPr>
            <w:tcW w:w="300" w:type="dxa"/>
            <w:vAlign w:val="bottom"/>
          </w:tcPr>
          <w:p>
            <w:pPr>
              <w:spacing w:after="0"/>
              <w:rPr>
                <w:sz w:val="16"/>
                <w:szCs w:val="16"/>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4"/>
                <w:szCs w:val="14"/>
                <w:color w:val="auto"/>
              </w:rPr>
              <w:t>3.91 %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Efficiency ratio</w:t>
            </w:r>
          </w:p>
        </w:tc>
        <w:tc>
          <w:tcPr>
            <w:tcW w:w="8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39.50 %</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46.93 %</w:t>
            </w:r>
          </w:p>
        </w:tc>
        <w:tc>
          <w:tcPr>
            <w:tcW w:w="300" w:type="dxa"/>
            <w:vAlign w:val="bottom"/>
            <w:shd w:val="clear" w:color="auto" w:fill="CFF0FC"/>
          </w:tcPr>
          <w:p>
            <w:pPr>
              <w:spacing w:after="0"/>
              <w:rPr>
                <w:sz w:val="16"/>
                <w:szCs w:val="16"/>
                <w:color w:val="auto"/>
              </w:rPr>
            </w:pPr>
          </w:p>
        </w:tc>
        <w:tc>
          <w:tcPr>
            <w:tcW w:w="1360" w:type="dxa"/>
            <w:vAlign w:val="bottom"/>
            <w:gridSpan w:val="3"/>
            <w:shd w:val="clear" w:color="auto" w:fill="CFF0FC"/>
          </w:tcPr>
          <w:p>
            <w:pPr>
              <w:jc w:val="right"/>
              <w:ind w:right="440"/>
              <w:spacing w:after="0"/>
              <w:rPr>
                <w:sz w:val="20"/>
                <w:szCs w:val="20"/>
                <w:color w:val="auto"/>
              </w:rPr>
            </w:pPr>
            <w:r>
              <w:rPr>
                <w:rFonts w:ascii="Arial" w:cs="Arial" w:eastAsia="Arial" w:hAnsi="Arial"/>
                <w:sz w:val="14"/>
                <w:szCs w:val="14"/>
                <w:color w:val="auto"/>
              </w:rPr>
              <w:t>-7.43 %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Noninterest expense to average assets</w:t>
            </w:r>
          </w:p>
        </w:tc>
        <w:tc>
          <w:tcPr>
            <w:tcW w:w="8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1.36 %</w:t>
            </w:r>
          </w:p>
        </w:tc>
        <w:tc>
          <w:tcPr>
            <w:tcW w:w="3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1.36 %</w:t>
            </w:r>
          </w:p>
        </w:tc>
        <w:tc>
          <w:tcPr>
            <w:tcW w:w="300" w:type="dxa"/>
            <w:vAlign w:val="bottom"/>
          </w:tcPr>
          <w:p>
            <w:pPr>
              <w:spacing w:after="0"/>
              <w:rPr>
                <w:sz w:val="16"/>
                <w:szCs w:val="16"/>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4"/>
                <w:szCs w:val="14"/>
                <w:color w:val="auto"/>
              </w:rPr>
              <w:t>0.00 %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r>
      <w:tr>
        <w:trPr>
          <w:trHeight w:val="186"/>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40" w:type="dxa"/>
            <w:vAlign w:val="bottom"/>
            <w:gridSpan w:val="9"/>
          </w:tcPr>
          <w:p>
            <w:pPr>
              <w:jc w:val="right"/>
              <w:ind w:right="48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4860" w:type="dxa"/>
            <w:vAlign w:val="bottom"/>
          </w:tcPr>
          <w:p>
            <w:pPr>
              <w:ind w:left="20"/>
              <w:spacing w:after="0"/>
              <w:rPr>
                <w:sz w:val="20"/>
                <w:szCs w:val="20"/>
                <w:color w:val="auto"/>
              </w:rPr>
            </w:pPr>
            <w:r>
              <w:rPr>
                <w:rFonts w:ascii="Arial" w:cs="Arial" w:eastAsia="Arial" w:hAnsi="Arial"/>
                <w:sz w:val="14"/>
                <w:szCs w:val="14"/>
                <w:color w:val="auto"/>
              </w:rPr>
              <w:t>Net interest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125,728</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137,395</w:t>
            </w:r>
          </w:p>
        </w:tc>
        <w:tc>
          <w:tcPr>
            <w:tcW w:w="3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(11,667 )</w:t>
            </w:r>
          </w:p>
        </w:tc>
        <w:tc>
          <w:tcPr>
            <w:tcW w:w="5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-8.49 %</w:t>
            </w: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(Provision for) recapture of credit losses</w:t>
            </w:r>
          </w:p>
        </w:tc>
        <w:tc>
          <w:tcPr>
            <w:tcW w:w="22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(1,500 )</w:t>
            </w:r>
          </w:p>
        </w:tc>
        <w:tc>
          <w:tcPr>
            <w:tcW w:w="14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(2,500 )</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40.00 %</w:t>
            </w: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13,202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12,465</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5.91 %</w:t>
            </w: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Noninterest expense</w:t>
            </w:r>
          </w:p>
        </w:tc>
        <w:tc>
          <w:tcPr>
            <w:tcW w:w="22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(54,881 )</w:t>
            </w:r>
          </w:p>
        </w:tc>
        <w:tc>
          <w:tcPr>
            <w:tcW w:w="14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(54,419 )</w:t>
            </w:r>
          </w:p>
        </w:tc>
        <w:tc>
          <w:tcPr>
            <w:tcW w:w="2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(462 )</w:t>
            </w:r>
          </w:p>
        </w:tc>
        <w:tc>
          <w:tcPr>
            <w:tcW w:w="5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-0.85 %</w:t>
            </w:r>
          </w:p>
        </w:tc>
      </w:tr>
      <w:tr>
        <w:trPr>
          <w:trHeight w:val="195"/>
        </w:trPr>
        <w:tc>
          <w:tcPr>
            <w:tcW w:w="486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22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(23,279 )</w:t>
            </w:r>
          </w:p>
        </w:tc>
        <w:tc>
          <w:tcPr>
            <w:tcW w:w="14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(26,773 )</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3,494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13.05 %</w:t>
            </w:r>
          </w:p>
        </w:tc>
      </w:tr>
      <w:tr>
        <w:trPr>
          <w:trHeight w:val="235"/>
        </w:trPr>
        <w:tc>
          <w:tcPr>
            <w:tcW w:w="48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earnings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59,270</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66,168</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(6,898 )</w:t>
            </w:r>
          </w:p>
        </w:tc>
        <w:tc>
          <w:tcPr>
            <w:tcW w:w="5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-10.42 %</w:t>
            </w:r>
          </w:p>
        </w:tc>
      </w:tr>
      <w:tr>
        <w:trPr>
          <w:trHeight w:val="165"/>
        </w:trPr>
        <w:tc>
          <w:tcPr>
            <w:tcW w:w="486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Earnings per common share:</w:t>
            </w: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5"/>
        </w:trPr>
        <w:tc>
          <w:tcPr>
            <w:tcW w:w="48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0.42</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0.47</w:t>
            </w: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(0.05 )</w:t>
            </w:r>
          </w:p>
        </w:tc>
        <w:tc>
          <w:tcPr>
            <w:tcW w:w="5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60" w:type="dxa"/>
            <w:vAlign w:val="bottom"/>
          </w:tcPr>
          <w:p>
            <w:pPr>
              <w:ind w:left="180"/>
              <w:spacing w:after="0"/>
              <w:rPr>
                <w:sz w:val="20"/>
                <w:szCs w:val="20"/>
                <w:color w:val="auto"/>
              </w:rPr>
            </w:pPr>
            <w:r>
              <w:rPr>
                <w:rFonts w:ascii="Arial" w:cs="Arial" w:eastAsia="Arial" w:hAnsi="Arial"/>
                <w:sz w:val="14"/>
                <w:szCs w:val="14"/>
                <w:color w:val="auto"/>
              </w:rPr>
              <w:t>Diluted</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0.42</w:t>
            </w:r>
          </w:p>
        </w:tc>
        <w:tc>
          <w:tcPr>
            <w:tcW w:w="3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0.47</w:t>
            </w:r>
          </w:p>
        </w:tc>
        <w:tc>
          <w:tcPr>
            <w:tcW w:w="3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(0.05 )</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on average assets</w:t>
            </w: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1.47 %</w:t>
            </w:r>
          </w:p>
        </w:tc>
        <w:tc>
          <w:tcPr>
            <w:tcW w:w="1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1.60 %</w:t>
            </w:r>
          </w:p>
        </w:tc>
        <w:tc>
          <w:tcPr>
            <w:tcW w:w="260" w:type="dxa"/>
            <w:vAlign w:val="bottom"/>
            <w:shd w:val="clear" w:color="auto" w:fill="CFF0FC"/>
          </w:tcPr>
          <w:p>
            <w:pPr>
              <w:spacing w:after="0"/>
              <w:rPr>
                <w:sz w:val="16"/>
                <w:szCs w:val="16"/>
                <w:color w:val="auto"/>
              </w:rPr>
            </w:pP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-0.13 %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60" w:type="dxa"/>
            <w:vAlign w:val="bottom"/>
          </w:tcPr>
          <w:p>
            <w:pPr>
              <w:ind w:left="20"/>
              <w:spacing w:after="0"/>
              <w:rPr>
                <w:sz w:val="20"/>
                <w:szCs w:val="20"/>
                <w:color w:val="auto"/>
              </w:rPr>
            </w:pPr>
            <w:r>
              <w:rPr>
                <w:rFonts w:ascii="Arial" w:cs="Arial" w:eastAsia="Arial" w:hAnsi="Arial"/>
                <w:sz w:val="14"/>
                <w:szCs w:val="14"/>
                <w:color w:val="auto"/>
              </w:rPr>
              <w:t>Return on average shareholders' equity</w:t>
            </w:r>
          </w:p>
        </w:tc>
        <w:tc>
          <w:tcPr>
            <w:tcW w:w="2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12.15 %</w:t>
            </w:r>
          </w:p>
        </w:tc>
        <w:tc>
          <w:tcPr>
            <w:tcW w:w="14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13.68 %</w:t>
            </w:r>
          </w:p>
        </w:tc>
        <w:tc>
          <w:tcPr>
            <w:tcW w:w="260" w:type="dxa"/>
            <w:vAlign w:val="bottom"/>
          </w:tcPr>
          <w:p>
            <w:pPr>
              <w:spacing w:after="0"/>
              <w:rPr>
                <w:sz w:val="16"/>
                <w:szCs w:val="16"/>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-1.53 %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Efficiency ratio</w:t>
            </w: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39.50 %</w:t>
            </w:r>
          </w:p>
        </w:tc>
        <w:tc>
          <w:tcPr>
            <w:tcW w:w="1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36.31 %</w:t>
            </w:r>
          </w:p>
        </w:tc>
        <w:tc>
          <w:tcPr>
            <w:tcW w:w="260" w:type="dxa"/>
            <w:vAlign w:val="bottom"/>
            <w:shd w:val="clear" w:color="auto" w:fill="CFF0FC"/>
          </w:tcPr>
          <w:p>
            <w:pPr>
              <w:spacing w:after="0"/>
              <w:rPr>
                <w:sz w:val="16"/>
                <w:szCs w:val="16"/>
                <w:color w:val="auto"/>
              </w:rPr>
            </w:pPr>
          </w:p>
        </w:tc>
        <w:tc>
          <w:tcPr>
            <w:tcW w:w="13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3.19 %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Noninterest expense to average assets</w:t>
            </w:r>
          </w:p>
        </w:tc>
        <w:tc>
          <w:tcPr>
            <w:tcW w:w="2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1.36 %</w:t>
            </w:r>
          </w:p>
        </w:tc>
        <w:tc>
          <w:tcPr>
            <w:tcW w:w="14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1.32 %</w:t>
            </w:r>
          </w:p>
        </w:tc>
        <w:tc>
          <w:tcPr>
            <w:tcW w:w="260" w:type="dxa"/>
            <w:vAlign w:val="bottom"/>
          </w:tcPr>
          <w:p>
            <w:pPr>
              <w:spacing w:after="0"/>
              <w:rPr>
                <w:sz w:val="16"/>
                <w:szCs w:val="16"/>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0.04 %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40</w:t>
      </w:r>
    </w:p>
    <w:p>
      <w:pPr>
        <w:sectPr>
          <w:pgSz w:w="11900" w:h="16840" w:orient="portrait"/>
          <w:cols w:equalWidth="0" w:num="1">
            <w:col w:w="10620"/>
          </w:cols>
          <w:pgMar w:left="660" w:top="782" w:right="620"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Return on Average Tangible Common Equity Reconciliation (Non-GAAP)</w:t>
      </w:r>
    </w:p>
    <w:p>
      <w:pPr>
        <w:spacing w:after="0" w:line="184" w:lineRule="exact"/>
        <w:rPr>
          <w:sz w:val="20"/>
          <w:szCs w:val="20"/>
          <w:color w:val="auto"/>
        </w:rPr>
      </w:pPr>
    </w:p>
    <w:p>
      <w:pPr>
        <w:ind w:right="120" w:firstLine="432"/>
        <w:spacing w:after="0"/>
        <w:rPr>
          <w:sz w:val="20"/>
          <w:szCs w:val="20"/>
          <w:color w:val="auto"/>
        </w:rPr>
      </w:pPr>
      <w:r>
        <w:rPr>
          <w:rFonts w:ascii="Arial" w:cs="Arial" w:eastAsia="Arial" w:hAnsi="Arial"/>
          <w:sz w:val="16"/>
          <w:szCs w:val="16"/>
          <w:color w:val="auto"/>
        </w:rPr>
        <w:t>The return on average tangible common equity is a non-GAAP disclosure. The Company uses certain non -GAAP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5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5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59,270</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66,168</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45,560</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80" w:type="dxa"/>
            <w:vAlign w:val="bottom"/>
          </w:tcPr>
          <w:p>
            <w:pPr>
              <w:ind w:left="180"/>
              <w:spacing w:after="0"/>
              <w:rPr>
                <w:sz w:val="20"/>
                <w:szCs w:val="20"/>
                <w:color w:val="auto"/>
              </w:rPr>
            </w:pPr>
            <w:r>
              <w:rPr>
                <w:rFonts w:ascii="Arial" w:cs="Arial" w:eastAsia="Arial" w:hAnsi="Arial"/>
                <w:sz w:val="14"/>
                <w:szCs w:val="14"/>
                <w:color w:val="auto"/>
              </w:rPr>
              <w:t>Add: Amortization of intangible assets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1,724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1,998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56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Less: Tax effect of amortization of intangible assets (1)</w:t>
            </w:r>
          </w:p>
        </w:tc>
        <w:tc>
          <w:tcPr>
            <w:tcW w:w="2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(508 )</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(510 )</w:t>
            </w:r>
          </w:p>
        </w:tc>
        <w:tc>
          <w:tcPr>
            <w:tcW w:w="2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(591 )</w:t>
            </w:r>
          </w:p>
        </w:tc>
        <w:tc>
          <w:tcPr>
            <w:tcW w:w="60" w:type="dxa"/>
            <w:vAlign w:val="bottom"/>
          </w:tcPr>
          <w:p>
            <w:pPr>
              <w:spacing w:after="0"/>
              <w:rPr>
                <w:sz w:val="16"/>
                <w:szCs w:val="16"/>
                <w:color w:val="auto"/>
              </w:rPr>
            </w:pPr>
          </w:p>
        </w:tc>
      </w:tr>
      <w:tr>
        <w:trPr>
          <w:trHeight w:val="192"/>
        </w:trPr>
        <w:tc>
          <w:tcPr>
            <w:tcW w:w="5680" w:type="dxa"/>
            <w:vAlign w:val="bottom"/>
          </w:tcPr>
          <w:p>
            <w:pPr>
              <w:ind w:left="340"/>
              <w:spacing w:after="0"/>
              <w:rPr>
                <w:sz w:val="20"/>
                <w:szCs w:val="20"/>
                <w:color w:val="auto"/>
              </w:rPr>
            </w:pPr>
            <w:r>
              <w:rPr>
                <w:rFonts w:ascii="Arial" w:cs="Arial" w:eastAsia="Arial" w:hAnsi="Arial"/>
                <w:sz w:val="14"/>
                <w:szCs w:val="14"/>
                <w:color w:val="auto"/>
              </w:rPr>
              <w:t>Tangible 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60,482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67,382</w:t>
            </w:r>
          </w:p>
        </w:tc>
        <w:tc>
          <w:tcPr>
            <w:tcW w:w="3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46,967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5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2"/>
        </w:trPr>
        <w:tc>
          <w:tcPr>
            <w:tcW w:w="5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stockholders' equity</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1,978,244</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1,918,983</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2,243,335</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80" w:type="dxa"/>
            <w:vAlign w:val="bottom"/>
          </w:tcPr>
          <w:p>
            <w:pPr>
              <w:ind w:left="180"/>
              <w:spacing w:after="0"/>
              <w:rPr>
                <w:sz w:val="20"/>
                <w:szCs w:val="20"/>
                <w:color w:val="auto"/>
              </w:rPr>
            </w:pPr>
            <w:r>
              <w:rPr>
                <w:rFonts w:ascii="Arial" w:cs="Arial" w:eastAsia="Arial" w:hAnsi="Arial"/>
                <w:sz w:val="14"/>
                <w:szCs w:val="14"/>
                <w:color w:val="auto"/>
              </w:rPr>
              <w:t>Less: Average goodwill</w:t>
            </w:r>
          </w:p>
        </w:tc>
        <w:tc>
          <w:tcPr>
            <w:tcW w:w="26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(765,822 )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(765,822 )</w:t>
            </w:r>
          </w:p>
        </w:tc>
        <w:tc>
          <w:tcPr>
            <w:tcW w:w="24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(759,014 )</w:t>
            </w:r>
          </w:p>
        </w:tc>
        <w:tc>
          <w:tcPr>
            <w:tcW w:w="60" w:type="dxa"/>
            <w:vAlign w:val="bottom"/>
          </w:tcPr>
          <w:p>
            <w:pPr>
              <w:spacing w:after="0"/>
              <w:rPr>
                <w:sz w:val="16"/>
                <w:szCs w:val="16"/>
                <w:color w:val="auto"/>
              </w:rPr>
            </w:pPr>
          </w:p>
        </w:tc>
      </w:tr>
      <w:tr>
        <w:trPr>
          <w:trHeight w:val="195"/>
        </w:trPr>
        <w:tc>
          <w:tcPr>
            <w:tcW w:w="56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Less: Average intangible assets</w:t>
            </w:r>
          </w:p>
        </w:tc>
        <w:tc>
          <w:tcPr>
            <w:tcW w:w="2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(20,983 )</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(22,610 )</w:t>
            </w:r>
          </w:p>
        </w:tc>
        <w:tc>
          <w:tcPr>
            <w:tcW w:w="2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(28,190 )</w:t>
            </w:r>
          </w:p>
        </w:tc>
        <w:tc>
          <w:tcPr>
            <w:tcW w:w="60" w:type="dxa"/>
            <w:vAlign w:val="bottom"/>
          </w:tcPr>
          <w:p>
            <w:pPr>
              <w:spacing w:after="0"/>
              <w:rPr>
                <w:sz w:val="16"/>
                <w:szCs w:val="16"/>
                <w:color w:val="auto"/>
              </w:rPr>
            </w:pPr>
          </w:p>
        </w:tc>
      </w:tr>
      <w:tr>
        <w:trPr>
          <w:trHeight w:val="192"/>
        </w:trPr>
        <w:tc>
          <w:tcPr>
            <w:tcW w:w="5680" w:type="dxa"/>
            <w:vAlign w:val="bottom"/>
          </w:tcPr>
          <w:p>
            <w:pPr>
              <w:ind w:left="340"/>
              <w:spacing w:after="0"/>
              <w:rPr>
                <w:sz w:val="20"/>
                <w:szCs w:val="20"/>
                <w:color w:val="auto"/>
              </w:rPr>
            </w:pPr>
            <w:r>
              <w:rPr>
                <w:rFonts w:ascii="Arial" w:cs="Arial" w:eastAsia="Arial" w:hAnsi="Arial"/>
                <w:sz w:val="14"/>
                <w:szCs w:val="14"/>
                <w:color w:val="auto"/>
              </w:rPr>
              <w:t>Average tangible common equity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1,191,439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1,130,551</w:t>
            </w:r>
          </w:p>
        </w:tc>
        <w:tc>
          <w:tcPr>
            <w:tcW w:w="3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1,456,131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5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5680" w:type="dxa"/>
            <w:vAlign w:val="bottom"/>
          </w:tcPr>
          <w:p>
            <w:pPr>
              <w:ind w:left="20"/>
              <w:spacing w:after="0"/>
              <w:rPr>
                <w:sz w:val="20"/>
                <w:szCs w:val="20"/>
                <w:color w:val="auto"/>
              </w:rPr>
            </w:pPr>
            <w:r>
              <w:rPr>
                <w:rFonts w:ascii="Arial" w:cs="Arial" w:eastAsia="Arial" w:hAnsi="Arial"/>
                <w:sz w:val="14"/>
                <w:szCs w:val="14"/>
                <w:color w:val="auto"/>
              </w:rPr>
              <w:t>Return on average equity, annualized</w:t>
            </w:r>
          </w:p>
        </w:tc>
        <w:tc>
          <w:tcPr>
            <w:tcW w:w="260" w:type="dxa"/>
            <w:vAlign w:val="bottom"/>
          </w:tcPr>
          <w:p>
            <w:pPr>
              <w:spacing w:after="0"/>
              <w:rPr>
                <w:sz w:val="16"/>
                <w:szCs w:val="16"/>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4"/>
                <w:szCs w:val="14"/>
                <w:color w:val="auto"/>
              </w:rPr>
              <w:t>12.15 %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13.68 %</w:t>
            </w:r>
          </w:p>
        </w:tc>
        <w:tc>
          <w:tcPr>
            <w:tcW w:w="2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8.24 %</w:t>
            </w:r>
          </w:p>
        </w:tc>
      </w:tr>
      <w:tr>
        <w:trPr>
          <w:trHeight w:val="192"/>
        </w:trPr>
        <w:tc>
          <w:tcPr>
            <w:tcW w:w="5680" w:type="dxa"/>
            <w:vAlign w:val="bottom"/>
          </w:tcPr>
          <w:p>
            <w:pPr>
              <w:ind w:left="20"/>
              <w:spacing w:after="0"/>
              <w:rPr>
                <w:sz w:val="20"/>
                <w:szCs w:val="20"/>
                <w:color w:val="auto"/>
              </w:rPr>
            </w:pPr>
            <w:r>
              <w:rPr>
                <w:rFonts w:ascii="Arial" w:cs="Arial" w:eastAsia="Arial" w:hAnsi="Arial"/>
                <w:sz w:val="14"/>
                <w:szCs w:val="14"/>
                <w:color w:val="auto"/>
              </w:rPr>
              <w:t>Return on average tangible common equity, annualized</w:t>
            </w:r>
          </w:p>
        </w:tc>
        <w:tc>
          <w:tcPr>
            <w:tcW w:w="260" w:type="dxa"/>
            <w:vAlign w:val="bottom"/>
          </w:tcPr>
          <w:p>
            <w:pPr>
              <w:spacing w:after="0"/>
              <w:rPr>
                <w:sz w:val="16"/>
                <w:szCs w:val="16"/>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4"/>
                <w:szCs w:val="14"/>
                <w:color w:val="auto"/>
              </w:rPr>
              <w:t>20.59 %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23.65 %</w:t>
            </w:r>
          </w:p>
        </w:tc>
        <w:tc>
          <w:tcPr>
            <w:tcW w:w="2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13.08 %</w:t>
            </w:r>
          </w:p>
        </w:tc>
      </w:tr>
    </w:tbl>
    <w:p>
      <w:pPr>
        <w:spacing w:after="0" w:line="16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(1)Tax effected at respective statutory rates.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Interest Income</w:t>
      </w:r>
    </w:p>
    <w:p>
      <w:pPr>
        <w:spacing w:after="0" w:line="16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4"/>
          <w:szCs w:val="14"/>
          <w:color w:val="auto"/>
        </w:rPr>
        <w:t xml:space="preserve">The principal component of our earnings is net interest income, which is the difference between the interest and fees earned on loans and investments (interest-earning assets) and the interest paid on deposits and borrowed funds (interest -bearing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months ended March 31, 2023 and 2022. Our net interest income, interest spread, and net interest margin are sensitive to general business and economic conditions. These conditions include short-term and long- 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 bearing liabilities, changes in the level of interest-bearing liabilities in proportion to interest-earning assets, and in the growth and maturity of earning assets. See Item 2 – </w:t>
      </w:r>
      <w:r>
        <w:rPr>
          <w:rFonts w:ascii="Arial" w:cs="Arial" w:eastAsia="Arial" w:hAnsi="Arial"/>
          <w:sz w:val="14"/>
          <w:szCs w:val="14"/>
          <w:i w:val="1"/>
          <w:iCs w:val="1"/>
          <w:color w:val="auto"/>
        </w:rPr>
        <w:t>Management’s Discussion and Analysis of Financial Condition and Results of Operations – Asset/Liability and Market Risk</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Management – Interest Rate Sensitivity Management </w:t>
      </w:r>
      <w:r>
        <w:rPr>
          <w:rFonts w:ascii="Arial" w:cs="Arial" w:eastAsia="Arial" w:hAnsi="Arial"/>
          <w:sz w:val="14"/>
          <w:szCs w:val="14"/>
          <w:color w:val="auto"/>
        </w:rPr>
        <w:t>included herein.</w:t>
      </w: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41</w:t>
      </w:r>
    </w:p>
    <w:p>
      <w:pPr>
        <w:sectPr>
          <w:pgSz w:w="11900" w:h="16840" w:orient="portrait"/>
          <w:cols w:equalWidth="0" w:num="1">
            <w:col w:w="10620"/>
          </w:cols>
          <w:pgMar w:left="660" w:top="962" w:right="620" w:bottom="1440" w:gutter="0" w:footer="0" w:header="0"/>
        </w:sectPr>
      </w:pPr>
    </w:p>
    <w:bookmarkStart w:id="40" w:name="page41"/>
    <w:bookmarkEnd w:id="40"/>
    <w:p>
      <w:pPr>
        <w:ind w:right="40" w:firstLine="432"/>
        <w:spacing w:after="0" w:line="24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tables below present the interest rate spread, net interest margin and the composition of average interest -earning assets and average interest-bearing liabilities by category for the periods indicated, including the changes in average balance, composition, and average yield/rate between these respective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314"/>
              <w:spacing w:after="0"/>
              <w:rPr>
                <w:sz w:val="20"/>
                <w:szCs w:val="20"/>
                <w:color w:val="auto"/>
              </w:rPr>
            </w:pPr>
            <w:r>
              <w:rPr>
                <w:rFonts w:ascii="Arial" w:cs="Arial" w:eastAsia="Arial" w:hAnsi="Arial"/>
                <w:sz w:val="13"/>
                <w:szCs w:val="13"/>
                <w:b w:val="1"/>
                <w:bCs w:val="1"/>
                <w:color w:val="auto"/>
                <w:w w:val="96"/>
              </w:rPr>
              <w:t>2023</w:t>
            </w:r>
          </w:p>
        </w:tc>
        <w:tc>
          <w:tcPr>
            <w:tcW w:w="120" w:type="dxa"/>
            <w:vAlign w:val="bottom"/>
          </w:tcPr>
          <w:p>
            <w:pPr>
              <w:spacing w:after="0"/>
              <w:rPr>
                <w:sz w:val="15"/>
                <w:szCs w:val="15"/>
                <w:color w:val="auto"/>
              </w:rPr>
            </w:pPr>
          </w:p>
        </w:tc>
        <w:tc>
          <w:tcPr>
            <w:tcW w:w="230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rPr>
              <w:t>Three Months Ended March 31,</w:t>
            </w:r>
          </w:p>
        </w:tc>
        <w:tc>
          <w:tcPr>
            <w:tcW w:w="900" w:type="dxa"/>
            <w:vAlign w:val="bottom"/>
            <w:gridSpan w:val="3"/>
            <w:vMerge w:val="restart"/>
          </w:tcPr>
          <w:p>
            <w:pPr>
              <w:jc w:val="right"/>
              <w:ind w:right="35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374"/>
              <w:spacing w:after="0"/>
              <w:rPr>
                <w:sz w:val="20"/>
                <w:szCs w:val="20"/>
                <w:color w:val="auto"/>
              </w:rPr>
            </w:pPr>
            <w:r>
              <w:rPr>
                <w:rFonts w:ascii="Arial" w:cs="Arial" w:eastAsia="Arial" w:hAnsi="Arial"/>
                <w:sz w:val="13"/>
                <w:szCs w:val="13"/>
                <w:b w:val="1"/>
                <w:bCs w:val="1"/>
                <w:color w:val="auto"/>
              </w:rPr>
              <w:t>Yield/</w:t>
            </w:r>
          </w:p>
        </w:tc>
        <w:tc>
          <w:tcPr>
            <w:tcW w:w="200" w:type="dxa"/>
            <w:vAlign w:val="bottom"/>
          </w:tcPr>
          <w:p>
            <w:pPr>
              <w:spacing w:after="0"/>
              <w:rPr>
                <w:sz w:val="15"/>
                <w:szCs w:val="15"/>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Average</w:t>
            </w:r>
          </w:p>
        </w:tc>
        <w:tc>
          <w:tcPr>
            <w:tcW w:w="9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77"/>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Interest</w:t>
            </w:r>
          </w:p>
        </w:tc>
        <w:tc>
          <w:tcPr>
            <w:tcW w:w="1080" w:type="dxa"/>
            <w:vAlign w:val="bottom"/>
          </w:tcPr>
          <w:p>
            <w:pPr>
              <w:jc w:val="right"/>
              <w:ind w:right="394"/>
              <w:spacing w:after="0"/>
              <w:rPr>
                <w:sz w:val="20"/>
                <w:szCs w:val="20"/>
                <w:color w:val="auto"/>
              </w:rPr>
            </w:pPr>
            <w:r>
              <w:rPr>
                <w:rFonts w:ascii="Arial" w:cs="Arial" w:eastAsia="Arial" w:hAnsi="Arial"/>
                <w:sz w:val="13"/>
                <w:szCs w:val="13"/>
                <w:b w:val="1"/>
                <w:bCs w:val="1"/>
                <w:color w:val="auto"/>
              </w:rPr>
              <w:t>Rate</w:t>
            </w:r>
          </w:p>
        </w:tc>
        <w:tc>
          <w:tcPr>
            <w:tcW w:w="20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Balance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Interest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177"/>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4"/>
          </w:tcPr>
          <w:p>
            <w:pPr>
              <w:jc w:val="center"/>
              <w:ind w:right="260"/>
              <w:spacing w:after="0"/>
              <w:rPr>
                <w:sz w:val="20"/>
                <w:szCs w:val="20"/>
                <w:color w:val="auto"/>
              </w:rPr>
            </w:pPr>
            <w:r>
              <w:rPr>
                <w:rFonts w:ascii="Arial" w:cs="Arial" w:eastAsia="Arial" w:hAnsi="Arial"/>
                <w:sz w:val="13"/>
                <w:szCs w:val="13"/>
                <w:i w:val="1"/>
                <w:iCs w:val="1"/>
                <w:color w:val="auto"/>
              </w:rPr>
              <w:t>(Dollars in thousands)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INTEREST-EARNING ASSETS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Arial" w:cs="Arial" w:eastAsia="Arial" w:hAnsi="Arial"/>
                <w:sz w:val="13"/>
                <w:szCs w:val="13"/>
                <w:color w:val="auto"/>
              </w:rPr>
              <w:t>Investment securities (1)</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Available-for-sale securities: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160" w:type="dxa"/>
            <w:vAlign w:val="bottom"/>
          </w:tcPr>
          <w:p>
            <w:pPr>
              <w:ind w:left="500"/>
              <w:spacing w:after="0"/>
              <w:rPr>
                <w:sz w:val="20"/>
                <w:szCs w:val="20"/>
                <w:color w:val="auto"/>
              </w:rPr>
            </w:pPr>
            <w:r>
              <w:rPr>
                <w:rFonts w:ascii="Arial" w:cs="Arial" w:eastAsia="Arial" w:hAnsi="Arial"/>
                <w:sz w:val="13"/>
                <w:szCs w:val="13"/>
                <w:color w:val="auto"/>
              </w:rPr>
              <w:t>Taxable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3,190,462</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19,428</w:t>
            </w:r>
          </w:p>
        </w:tc>
        <w:tc>
          <w:tcPr>
            <w:tcW w:w="120" w:type="dxa"/>
            <w:vAlign w:val="bottom"/>
          </w:tcPr>
          <w:p>
            <w:pPr>
              <w:spacing w:after="0"/>
              <w:rPr>
                <w:sz w:val="14"/>
                <w:szCs w:val="14"/>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2.44 %</w:t>
            </w: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3,516,886</w:t>
            </w:r>
          </w:p>
        </w:tc>
        <w:tc>
          <w:tcPr>
            <w:tcW w:w="10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12,649</w:t>
            </w: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1.50 %</w:t>
            </w:r>
          </w:p>
        </w:tc>
        <w:tc>
          <w:tcPr>
            <w:tcW w:w="0" w:type="dxa"/>
            <w:vAlign w:val="bottom"/>
          </w:tcPr>
          <w:p>
            <w:pPr>
              <w:spacing w:after="0"/>
              <w:rPr>
                <w:sz w:val="1"/>
                <w:szCs w:val="1"/>
                <w:color w:val="auto"/>
              </w:rPr>
            </w:pPr>
          </w:p>
        </w:tc>
      </w:tr>
      <w:tr>
        <w:trPr>
          <w:trHeight w:val="180"/>
        </w:trPr>
        <w:tc>
          <w:tcPr>
            <w:tcW w:w="4160" w:type="dxa"/>
            <w:vAlign w:val="bottom"/>
          </w:tcPr>
          <w:p>
            <w:pPr>
              <w:ind w:left="500"/>
              <w:spacing w:after="0"/>
              <w:rPr>
                <w:sz w:val="20"/>
                <w:szCs w:val="20"/>
                <w:color w:val="auto"/>
              </w:rPr>
            </w:pPr>
            <w:r>
              <w:rPr>
                <w:rFonts w:ascii="Arial" w:cs="Arial" w:eastAsia="Arial" w:hAnsi="Arial"/>
                <w:sz w:val="13"/>
                <w:szCs w:val="13"/>
                <w:color w:val="auto"/>
              </w:rPr>
              <w:t>Tax-advantaged</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25,681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w:t>
            </w:r>
          </w:p>
        </w:tc>
        <w:tc>
          <w:tcPr>
            <w:tcW w:w="12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3.13 %</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30,071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2.91 %</w:t>
            </w:r>
          </w:p>
        </w:tc>
        <w:tc>
          <w:tcPr>
            <w:tcW w:w="0" w:type="dxa"/>
            <w:vAlign w:val="bottom"/>
          </w:tcPr>
          <w:p>
            <w:pPr>
              <w:spacing w:after="0"/>
              <w:rPr>
                <w:sz w:val="1"/>
                <w:szCs w:val="1"/>
                <w:color w:val="auto"/>
              </w:rPr>
            </w:pPr>
          </w:p>
        </w:tc>
      </w:tr>
      <w:tr>
        <w:trPr>
          <w:trHeight w:val="180"/>
        </w:trPr>
        <w:tc>
          <w:tcPr>
            <w:tcW w:w="4160" w:type="dxa"/>
            <w:vAlign w:val="bottom"/>
          </w:tcPr>
          <w:p>
            <w:pPr>
              <w:ind w:left="340"/>
              <w:spacing w:after="0"/>
              <w:rPr>
                <w:sz w:val="20"/>
                <w:szCs w:val="20"/>
                <w:color w:val="auto"/>
              </w:rPr>
            </w:pPr>
            <w:r>
              <w:rPr>
                <w:rFonts w:ascii="Arial" w:cs="Arial" w:eastAsia="Arial" w:hAnsi="Arial"/>
                <w:sz w:val="13"/>
                <w:szCs w:val="13"/>
                <w:color w:val="auto"/>
              </w:rPr>
              <w:t>Held-to-maturity securities: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500"/>
              <w:spacing w:after="0"/>
              <w:rPr>
                <w:sz w:val="20"/>
                <w:szCs w:val="20"/>
                <w:color w:val="auto"/>
              </w:rPr>
            </w:pPr>
            <w:r>
              <w:rPr>
                <w:rFonts w:ascii="Arial" w:cs="Arial" w:eastAsia="Arial" w:hAnsi="Arial"/>
                <w:sz w:val="13"/>
                <w:szCs w:val="13"/>
                <w:color w:val="auto"/>
              </w:rPr>
              <w:t>Taxable</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2,163,847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11,507</w:t>
            </w:r>
          </w:p>
        </w:tc>
        <w:tc>
          <w:tcPr>
            <w:tcW w:w="12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2.13 %</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1,963,835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9,105</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1.88 %</w:t>
            </w:r>
          </w:p>
        </w:tc>
        <w:tc>
          <w:tcPr>
            <w:tcW w:w="0" w:type="dxa"/>
            <w:vAlign w:val="bottom"/>
          </w:tcPr>
          <w:p>
            <w:pPr>
              <w:spacing w:after="0"/>
              <w:rPr>
                <w:sz w:val="1"/>
                <w:szCs w:val="1"/>
                <w:color w:val="auto"/>
              </w:rPr>
            </w:pPr>
          </w:p>
        </w:tc>
      </w:tr>
      <w:tr>
        <w:trPr>
          <w:trHeight w:val="180"/>
        </w:trPr>
        <w:tc>
          <w:tcPr>
            <w:tcW w:w="4160" w:type="dxa"/>
            <w:vAlign w:val="bottom"/>
          </w:tcPr>
          <w:p>
            <w:pPr>
              <w:ind w:left="500"/>
              <w:spacing w:after="0"/>
              <w:rPr>
                <w:sz w:val="20"/>
                <w:szCs w:val="20"/>
                <w:color w:val="auto"/>
              </w:rPr>
            </w:pPr>
            <w:r>
              <w:rPr>
                <w:rFonts w:ascii="Arial" w:cs="Arial" w:eastAsia="Arial" w:hAnsi="Arial"/>
                <w:sz w:val="13"/>
                <w:szCs w:val="13"/>
                <w:color w:val="auto"/>
              </w:rPr>
              <w:t>Tax-advantaged</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382,738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2,449</w:t>
            </w:r>
          </w:p>
        </w:tc>
        <w:tc>
          <w:tcPr>
            <w:tcW w:w="12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3.10 %</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265,648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1,558</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2.85 %</w:t>
            </w: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Arial" w:cs="Arial" w:eastAsia="Arial" w:hAnsi="Arial"/>
                <w:sz w:val="13"/>
                <w:szCs w:val="13"/>
                <w:color w:val="auto"/>
              </w:rPr>
              <w:t>Investment in FHLB stock</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28,868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4.90 %</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18,933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371</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7.95 %</w:t>
            </w: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Arial" w:cs="Arial" w:eastAsia="Arial" w:hAnsi="Arial"/>
                <w:sz w:val="13"/>
                <w:szCs w:val="13"/>
                <w:color w:val="auto"/>
              </w:rPr>
              <w:t>Interest-earning deposits with other institutions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47,934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491</w:t>
            </w:r>
          </w:p>
        </w:tc>
        <w:tc>
          <w:tcPr>
            <w:tcW w:w="12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4.15 %</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1,666,473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773</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0.19 %</w:t>
            </w: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Arial" w:cs="Arial" w:eastAsia="Arial" w:hAnsi="Arial"/>
                <w:sz w:val="13"/>
                <w:szCs w:val="13"/>
                <w:color w:val="auto"/>
              </w:rPr>
              <w:t>Loans (2)</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8,963,323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108,394</w:t>
            </w:r>
          </w:p>
        </w:tc>
        <w:tc>
          <w:tcPr>
            <w:tcW w:w="12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4.90 %</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8,500,436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89,461</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4.27 %</w:t>
            </w:r>
          </w:p>
        </w:tc>
        <w:tc>
          <w:tcPr>
            <w:tcW w:w="0" w:type="dxa"/>
            <w:vAlign w:val="bottom"/>
          </w:tcPr>
          <w:p>
            <w:pPr>
              <w:spacing w:after="0"/>
              <w:rPr>
                <w:sz w:val="1"/>
                <w:szCs w:val="1"/>
                <w:color w:val="auto"/>
              </w:rPr>
            </w:pPr>
          </w:p>
        </w:tc>
      </w:tr>
      <w:tr>
        <w:trPr>
          <w:trHeight w:val="185"/>
        </w:trPr>
        <w:tc>
          <w:tcPr>
            <w:tcW w:w="4160" w:type="dxa"/>
            <w:vAlign w:val="bottom"/>
          </w:tcPr>
          <w:p>
            <w:pPr>
              <w:ind w:left="180"/>
              <w:spacing w:after="0"/>
              <w:rPr>
                <w:sz w:val="20"/>
                <w:szCs w:val="20"/>
                <w:color w:val="auto"/>
              </w:rPr>
            </w:pPr>
            <w:r>
              <w:rPr>
                <w:rFonts w:ascii="Arial" w:cs="Arial" w:eastAsia="Arial" w:hAnsi="Arial"/>
                <w:sz w:val="13"/>
                <w:szCs w:val="13"/>
                <w:color w:val="auto"/>
              </w:rPr>
              <w:t>Total interest-earning assets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14,802,853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142,786</w:t>
            </w:r>
          </w:p>
        </w:tc>
        <w:tc>
          <w:tcPr>
            <w:tcW w:w="120" w:type="dxa"/>
            <w:vAlign w:val="bottom"/>
          </w:tcPr>
          <w:p>
            <w:pPr>
              <w:spacing w:after="0"/>
              <w:rPr>
                <w:sz w:val="16"/>
                <w:szCs w:val="16"/>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3.91 %</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15,962,282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114,100</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2.93 %</w:t>
            </w:r>
          </w:p>
        </w:tc>
        <w:tc>
          <w:tcPr>
            <w:tcW w:w="0" w:type="dxa"/>
            <w:vAlign w:val="bottom"/>
          </w:tcPr>
          <w:p>
            <w:pPr>
              <w:spacing w:after="0"/>
              <w:rPr>
                <w:sz w:val="1"/>
                <w:szCs w:val="1"/>
                <w:color w:val="auto"/>
              </w:rPr>
            </w:pPr>
          </w:p>
        </w:tc>
      </w:tr>
      <w:tr>
        <w:trPr>
          <w:trHeight w:val="185"/>
        </w:trPr>
        <w:tc>
          <w:tcPr>
            <w:tcW w:w="41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Total noninterest-earning assets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1,510,283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1,421,668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16,313,136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17,383,950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INTEREST-BEARING LIABILITIES</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60" w:type="dxa"/>
            <w:vAlign w:val="bottom"/>
          </w:tcPr>
          <w:p>
            <w:pPr>
              <w:ind w:left="180"/>
              <w:spacing w:after="0"/>
              <w:rPr>
                <w:sz w:val="20"/>
                <w:szCs w:val="20"/>
                <w:color w:val="auto"/>
              </w:rPr>
            </w:pPr>
            <w:r>
              <w:rPr>
                <w:rFonts w:ascii="Arial" w:cs="Arial" w:eastAsia="Arial" w:hAnsi="Arial"/>
                <w:sz w:val="13"/>
                <w:szCs w:val="13"/>
                <w:color w:val="auto"/>
              </w:rPr>
              <w:t>Savings deposits (3)</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4,335,951</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5,247</w:t>
            </w:r>
          </w:p>
        </w:tc>
        <w:tc>
          <w:tcPr>
            <w:tcW w:w="120" w:type="dxa"/>
            <w:vAlign w:val="bottom"/>
          </w:tcPr>
          <w:p>
            <w:pPr>
              <w:spacing w:after="0"/>
              <w:rPr>
                <w:sz w:val="14"/>
                <w:szCs w:val="14"/>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0.49 %</w:t>
            </w: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5,082,605</w:t>
            </w:r>
          </w:p>
        </w:tc>
        <w:tc>
          <w:tcPr>
            <w:tcW w:w="10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1,052</w:t>
            </w: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0.08 %</w:t>
            </w: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Arial" w:cs="Arial" w:eastAsia="Arial" w:hAnsi="Arial"/>
                <w:sz w:val="13"/>
                <w:szCs w:val="13"/>
                <w:color w:val="auto"/>
              </w:rPr>
              <w:t>Time deposits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285,296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0.17 %</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381,947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0.08 %</w:t>
            </w:r>
          </w:p>
        </w:tc>
        <w:tc>
          <w:tcPr>
            <w:tcW w:w="0" w:type="dxa"/>
            <w:vAlign w:val="bottom"/>
          </w:tcPr>
          <w:p>
            <w:pPr>
              <w:spacing w:after="0"/>
              <w:rPr>
                <w:sz w:val="1"/>
                <w:szCs w:val="1"/>
                <w:color w:val="auto"/>
              </w:rPr>
            </w:pPr>
          </w:p>
        </w:tc>
      </w:tr>
      <w:tr>
        <w:trPr>
          <w:trHeight w:val="180"/>
        </w:trPr>
        <w:tc>
          <w:tcPr>
            <w:tcW w:w="4160" w:type="dxa"/>
            <w:vAlign w:val="bottom"/>
          </w:tcPr>
          <w:p>
            <w:pPr>
              <w:ind w:left="340"/>
              <w:spacing w:after="0"/>
              <w:rPr>
                <w:sz w:val="20"/>
                <w:szCs w:val="20"/>
                <w:color w:val="auto"/>
              </w:rPr>
            </w:pPr>
            <w:r>
              <w:rPr>
                <w:rFonts w:ascii="Arial" w:cs="Arial" w:eastAsia="Arial" w:hAnsi="Arial"/>
                <w:sz w:val="13"/>
                <w:szCs w:val="13"/>
                <w:color w:val="auto"/>
              </w:rPr>
              <w:t>Total interest-bearing deposits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4,621,247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5,365</w:t>
            </w:r>
          </w:p>
        </w:tc>
        <w:tc>
          <w:tcPr>
            <w:tcW w:w="12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0.47 %</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5,464,552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1,127</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0.08 %</w:t>
            </w:r>
          </w:p>
        </w:tc>
        <w:tc>
          <w:tcPr>
            <w:tcW w:w="0" w:type="dxa"/>
            <w:vAlign w:val="bottom"/>
          </w:tcPr>
          <w:p>
            <w:pPr>
              <w:spacing w:after="0"/>
              <w:rPr>
                <w:sz w:val="1"/>
                <w:szCs w:val="1"/>
                <w:color w:val="auto"/>
              </w:rPr>
            </w:pPr>
          </w:p>
        </w:tc>
      </w:tr>
      <w:tr>
        <w:trPr>
          <w:trHeight w:val="171"/>
        </w:trPr>
        <w:tc>
          <w:tcPr>
            <w:tcW w:w="4160" w:type="dxa"/>
            <w:vAlign w:val="bottom"/>
          </w:tcPr>
          <w:p>
            <w:pPr>
              <w:ind w:left="180"/>
              <w:spacing w:after="0"/>
              <w:rPr>
                <w:sz w:val="20"/>
                <w:szCs w:val="20"/>
                <w:color w:val="auto"/>
              </w:rPr>
            </w:pPr>
            <w:r>
              <w:rPr>
                <w:rFonts w:ascii="Arial" w:cs="Arial" w:eastAsia="Arial" w:hAnsi="Arial"/>
                <w:sz w:val="13"/>
                <w:szCs w:val="13"/>
                <w:color w:val="auto"/>
              </w:rPr>
              <w:t>FHLB advances, other borrowings, and customer</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160" w:type="dxa"/>
            <w:vAlign w:val="bottom"/>
          </w:tcPr>
          <w:p>
            <w:pPr>
              <w:ind w:left="280"/>
              <w:spacing w:after="0"/>
              <w:rPr>
                <w:sz w:val="20"/>
                <w:szCs w:val="20"/>
                <w:color w:val="auto"/>
              </w:rPr>
            </w:pPr>
            <w:r>
              <w:rPr>
                <w:rFonts w:ascii="Arial" w:cs="Arial" w:eastAsia="Arial" w:hAnsi="Arial"/>
                <w:sz w:val="13"/>
                <w:szCs w:val="13"/>
                <w:color w:val="auto"/>
              </w:rPr>
              <w:t>repurchase agreements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1,522,455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11,693</w:t>
            </w:r>
          </w:p>
        </w:tc>
        <w:tc>
          <w:tcPr>
            <w:tcW w:w="120" w:type="dxa"/>
            <w:vAlign w:val="bottom"/>
          </w:tcPr>
          <w:p>
            <w:pPr>
              <w:spacing w:after="0"/>
              <w:rPr>
                <w:sz w:val="14"/>
                <w:szCs w:val="14"/>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3.11 %</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679,982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0.08 %</w:t>
            </w:r>
          </w:p>
        </w:tc>
        <w:tc>
          <w:tcPr>
            <w:tcW w:w="0" w:type="dxa"/>
            <w:vAlign w:val="bottom"/>
          </w:tcPr>
          <w:p>
            <w:pPr>
              <w:spacing w:after="0"/>
              <w:rPr>
                <w:sz w:val="1"/>
                <w:szCs w:val="1"/>
                <w:color w:val="auto"/>
              </w:rPr>
            </w:pPr>
          </w:p>
        </w:tc>
      </w:tr>
      <w:tr>
        <w:trPr>
          <w:trHeight w:val="185"/>
        </w:trPr>
        <w:tc>
          <w:tcPr>
            <w:tcW w:w="4160" w:type="dxa"/>
            <w:vAlign w:val="bottom"/>
          </w:tcPr>
          <w:p>
            <w:pPr>
              <w:ind w:left="180"/>
              <w:spacing w:after="0"/>
              <w:rPr>
                <w:sz w:val="20"/>
                <w:szCs w:val="20"/>
                <w:color w:val="auto"/>
              </w:rPr>
            </w:pPr>
            <w:r>
              <w:rPr>
                <w:rFonts w:ascii="Arial" w:cs="Arial" w:eastAsia="Arial" w:hAnsi="Arial"/>
                <w:sz w:val="13"/>
                <w:szCs w:val="13"/>
                <w:color w:val="auto"/>
              </w:rPr>
              <w:t>Interest-bearing liabilities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6,143,702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17,058</w:t>
            </w:r>
          </w:p>
        </w:tc>
        <w:tc>
          <w:tcPr>
            <w:tcW w:w="120" w:type="dxa"/>
            <w:vAlign w:val="bottom"/>
          </w:tcPr>
          <w:p>
            <w:pPr>
              <w:spacing w:after="0"/>
              <w:rPr>
                <w:sz w:val="16"/>
                <w:szCs w:val="16"/>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1.13 %</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6,144,534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1,260</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0.08 %</w:t>
            </w:r>
          </w:p>
        </w:tc>
        <w:tc>
          <w:tcPr>
            <w:tcW w:w="0" w:type="dxa"/>
            <w:vAlign w:val="bottom"/>
          </w:tcPr>
          <w:p>
            <w:pPr>
              <w:spacing w:after="0"/>
              <w:rPr>
                <w:sz w:val="1"/>
                <w:szCs w:val="1"/>
                <w:color w:val="auto"/>
              </w:rPr>
            </w:pPr>
          </w:p>
        </w:tc>
      </w:tr>
      <w:tr>
        <w:trPr>
          <w:trHeight w:val="185"/>
        </w:trPr>
        <w:tc>
          <w:tcPr>
            <w:tcW w:w="41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Noninterest-bearing deposits</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8,092,704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8,720,728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Arial" w:cs="Arial" w:eastAsia="Arial" w:hAnsi="Arial"/>
                <w:sz w:val="13"/>
                <w:szCs w:val="13"/>
                <w:color w:val="auto"/>
              </w:rPr>
              <w:t>Other liabilities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98,486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275,353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Stockholders' equity</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1,978,244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2,243,335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160" w:type="dxa"/>
            <w:vAlign w:val="bottom"/>
          </w:tcPr>
          <w:p>
            <w:pPr>
              <w:ind w:left="180"/>
              <w:spacing w:after="0"/>
              <w:rPr>
                <w:sz w:val="20"/>
                <w:szCs w:val="20"/>
                <w:color w:val="auto"/>
              </w:rPr>
            </w:pPr>
            <w:r>
              <w:rPr>
                <w:rFonts w:ascii="Arial" w:cs="Arial" w:eastAsia="Arial" w:hAnsi="Arial"/>
                <w:sz w:val="13"/>
                <w:szCs w:val="13"/>
                <w:color w:val="auto"/>
              </w:rPr>
              <w:t>Total liabilities and stockholders' equity</w:t>
            </w: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16,313,136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17,383,950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16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interest income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125,728</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112,840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160" w:type="dxa"/>
            <w:vAlign w:val="bottom"/>
            <w:tcBorders>
              <w:top w:val="single" w:sz="8" w:color="CFF0FC"/>
            </w:tcBorders>
            <w:vMerge w:val="restart"/>
          </w:tcPr>
          <w:p>
            <w:pPr>
              <w:ind w:left="320"/>
              <w:spacing w:after="0"/>
              <w:rPr>
                <w:sz w:val="20"/>
                <w:szCs w:val="20"/>
                <w:color w:val="auto"/>
              </w:rPr>
            </w:pPr>
            <w:r>
              <w:rPr>
                <w:rFonts w:ascii="Arial" w:cs="Arial" w:eastAsia="Arial" w:hAnsi="Arial"/>
                <w:sz w:val="13"/>
                <w:szCs w:val="13"/>
                <w:color w:val="auto"/>
              </w:rPr>
              <w:t>Net interest spread - tax equivalent</w:t>
            </w:r>
          </w:p>
        </w:tc>
        <w:tc>
          <w:tcPr>
            <w:tcW w:w="160" w:type="dxa"/>
            <w:vAlign w:val="bottom"/>
            <w:tcBorders>
              <w:top w:val="single" w:sz="8" w:color="CFF0FC"/>
            </w:tcBorders>
          </w:tcPr>
          <w:p>
            <w:pPr>
              <w:spacing w:after="0"/>
              <w:rPr>
                <w:sz w:val="13"/>
                <w:szCs w:val="13"/>
                <w:color w:val="auto"/>
              </w:rPr>
            </w:pPr>
          </w:p>
        </w:tc>
        <w:tc>
          <w:tcPr>
            <w:tcW w:w="8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8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96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2.78 %</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2.85 %</w:t>
            </w:r>
          </w:p>
        </w:tc>
        <w:tc>
          <w:tcPr>
            <w:tcW w:w="0" w:type="dxa"/>
            <w:vAlign w:val="bottom"/>
          </w:tcPr>
          <w:p>
            <w:pPr>
              <w:spacing w:after="0"/>
              <w:rPr>
                <w:sz w:val="1"/>
                <w:szCs w:val="1"/>
                <w:color w:val="auto"/>
              </w:rPr>
            </w:pPr>
          </w:p>
        </w:tc>
      </w:tr>
      <w:tr>
        <w:trPr>
          <w:trHeight w:val="170"/>
        </w:trPr>
        <w:tc>
          <w:tcPr>
            <w:tcW w:w="4160" w:type="dxa"/>
            <w:vAlign w:val="bottom"/>
          </w:tcPr>
          <w:p>
            <w:pPr>
              <w:ind w:left="320"/>
              <w:spacing w:after="0"/>
              <w:rPr>
                <w:sz w:val="20"/>
                <w:szCs w:val="20"/>
                <w:color w:val="auto"/>
              </w:rPr>
            </w:pPr>
            <w:r>
              <w:rPr>
                <w:rFonts w:ascii="Arial" w:cs="Arial" w:eastAsia="Arial" w:hAnsi="Arial"/>
                <w:sz w:val="13"/>
                <w:szCs w:val="13"/>
                <w:color w:val="auto"/>
              </w:rPr>
              <w:t>Net interest margin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3.43 %</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2.89 %</w:t>
            </w:r>
          </w:p>
        </w:tc>
        <w:tc>
          <w:tcPr>
            <w:tcW w:w="0" w:type="dxa"/>
            <w:vAlign w:val="bottom"/>
          </w:tcPr>
          <w:p>
            <w:pPr>
              <w:spacing w:after="0"/>
              <w:rPr>
                <w:sz w:val="1"/>
                <w:szCs w:val="1"/>
                <w:color w:val="auto"/>
              </w:rPr>
            </w:pPr>
          </w:p>
        </w:tc>
      </w:tr>
      <w:tr>
        <w:trPr>
          <w:trHeight w:val="180"/>
        </w:trPr>
        <w:tc>
          <w:tcPr>
            <w:tcW w:w="4160" w:type="dxa"/>
            <w:vAlign w:val="bottom"/>
          </w:tcPr>
          <w:p>
            <w:pPr>
              <w:ind w:left="320"/>
              <w:spacing w:after="0"/>
              <w:rPr>
                <w:sz w:val="20"/>
                <w:szCs w:val="20"/>
                <w:color w:val="auto"/>
              </w:rPr>
            </w:pPr>
            <w:r>
              <w:rPr>
                <w:rFonts w:ascii="Arial" w:cs="Arial" w:eastAsia="Arial" w:hAnsi="Arial"/>
                <w:sz w:val="13"/>
                <w:szCs w:val="13"/>
                <w:color w:val="auto"/>
              </w:rPr>
              <w:t>Net interest margin - tax equivalent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3.45 %</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2.90 %</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40" w:right="260"/>
        <w:spacing w:after="0" w:line="254" w:lineRule="auto"/>
        <w:rPr>
          <w:sz w:val="20"/>
          <w:szCs w:val="20"/>
          <w:color w:val="auto"/>
        </w:rPr>
      </w:pPr>
      <w:r>
        <w:rPr>
          <w:rFonts w:ascii="Arial" w:cs="Arial" w:eastAsia="Arial" w:hAnsi="Arial"/>
          <w:sz w:val="13"/>
          <w:szCs w:val="13"/>
          <w:color w:val="auto"/>
        </w:rPr>
        <w:t>(1)Includes tax equivalent (TE) adjustments utilizing federal statutory rates of 21% in effect for the three months ended March 31, 2023 and March 31, 2022. The non TE rates for total investment securities were 2.33% and 1.67% for the three months ended March 31, 2023 and March 31, 2022, respectively. The non TE rates for tax-advantaged AFS investment securities were 3.13% and 2.43% for the three months ended March 31, 2023 and March 31, 2022 respectively.</w:t>
      </w:r>
    </w:p>
    <w:p>
      <w:pPr>
        <w:spacing w:after="0" w:line="1" w:lineRule="exact"/>
        <w:rPr>
          <w:sz w:val="20"/>
          <w:szCs w:val="20"/>
          <w:color w:val="auto"/>
        </w:rPr>
      </w:pPr>
    </w:p>
    <w:p>
      <w:pPr>
        <w:ind w:left="540" w:right="80"/>
        <w:spacing w:after="0" w:line="250" w:lineRule="auto"/>
        <w:rPr>
          <w:sz w:val="20"/>
          <w:szCs w:val="20"/>
          <w:color w:val="auto"/>
        </w:rPr>
      </w:pPr>
      <w:r>
        <w:rPr>
          <w:rFonts w:ascii="Arial" w:cs="Arial" w:eastAsia="Arial" w:hAnsi="Arial"/>
          <w:sz w:val="13"/>
          <w:szCs w:val="13"/>
          <w:color w:val="auto"/>
        </w:rPr>
        <w:t>(2)Includes loan fees of $781,000 and $3.3 million for the three months ended March 31, 2023 and March 31, 2022, respectively. Prepayment penalty fees of $583,000 and $2.1 million are included in interest income for the three months ended March 31, 2023 and March 31, 2022, respectively.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(3)Includes interest-bearing demand and money market accounts.</w:t>
      </w:r>
    </w:p>
    <w:p>
      <w:pPr>
        <w:spacing w:after="0" w:line="263" w:lineRule="exact"/>
        <w:rPr>
          <w:sz w:val="20"/>
          <w:szCs w:val="20"/>
          <w:color w:val="auto"/>
        </w:rPr>
      </w:pPr>
    </w:p>
    <w:p>
      <w:pPr>
        <w:ind w:right="60" w:firstLine="528"/>
        <w:spacing w:after="0" w:line="281" w:lineRule="auto"/>
        <w:rPr>
          <w:sz w:val="20"/>
          <w:szCs w:val="20"/>
          <w:color w:val="auto"/>
        </w:rPr>
      </w:pPr>
      <w:r>
        <w:rPr>
          <w:rFonts w:ascii="Arial" w:cs="Arial" w:eastAsia="Arial" w:hAnsi="Arial"/>
          <w:sz w:val="14"/>
          <w:szCs w:val="14"/>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42</w:t>
      </w:r>
    </w:p>
    <w:p>
      <w:pPr>
        <w:sectPr>
          <w:pgSz w:w="11900" w:h="16840" w:orient="portrait"/>
          <w:cols w:equalWidth="0" w:num="1">
            <w:col w:w="10600"/>
          </w:cols>
          <w:pgMar w:left="660" w:top="790" w:right="640"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Rate and Volume Analysis for Changes in Interest Income, Interest Expense and Net Interest Income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gridSpan w:val="8"/>
          </w:tcPr>
          <w:p>
            <w:pPr>
              <w:jc w:val="center"/>
              <w:spacing w:after="0"/>
              <w:rPr>
                <w:sz w:val="20"/>
                <w:szCs w:val="20"/>
                <w:color w:val="auto"/>
              </w:rPr>
            </w:pPr>
            <w:r>
              <w:rPr>
                <w:rFonts w:ascii="Arial" w:cs="Arial" w:eastAsia="Arial" w:hAnsi="Arial"/>
                <w:sz w:val="14"/>
                <w:szCs w:val="14"/>
                <w:b w:val="1"/>
                <w:bCs w:val="1"/>
                <w:color w:val="auto"/>
              </w:rPr>
              <w:t>Comparison of Three Months Ended March 31,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rPr>
              <w:t>2023 Compared to 2022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rPr>
              <w:t>Increase (Decrease) Due to</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Rate/</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Volume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Volume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center"/>
              <w:ind w:right="48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4"/>
                <w:szCs w:val="14"/>
                <w:color w:val="auto"/>
              </w:rPr>
              <w:t>Available-for-sale securities: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Taxable investment securities</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(678 )</w:t>
            </w:r>
          </w:p>
        </w:tc>
        <w:tc>
          <w:tcPr>
            <w:tcW w:w="4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7,788</w:t>
            </w:r>
          </w:p>
        </w:tc>
        <w:tc>
          <w:tcPr>
            <w:tcW w:w="1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(331 )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6,779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340"/>
              <w:spacing w:after="0"/>
              <w:rPr>
                <w:sz w:val="20"/>
                <w:szCs w:val="20"/>
                <w:color w:val="auto"/>
              </w:rPr>
            </w:pPr>
            <w:r>
              <w:rPr>
                <w:rFonts w:ascii="Arial" w:cs="Arial" w:eastAsia="Arial" w:hAnsi="Arial"/>
                <w:sz w:val="14"/>
                <w:szCs w:val="14"/>
                <w:color w:val="auto"/>
              </w:rPr>
              <w:t>Tax-advantaged investment securities</w:t>
            </w:r>
          </w:p>
        </w:tc>
        <w:tc>
          <w:tcPr>
            <w:tcW w:w="2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(26 )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(3 )</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Held-to-maturity securities:</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340"/>
              <w:spacing w:after="0"/>
              <w:rPr>
                <w:sz w:val="20"/>
                <w:szCs w:val="20"/>
                <w:color w:val="auto"/>
              </w:rPr>
            </w:pPr>
            <w:r>
              <w:rPr>
                <w:rFonts w:ascii="Arial" w:cs="Arial" w:eastAsia="Arial" w:hAnsi="Arial"/>
                <w:sz w:val="14"/>
                <w:szCs w:val="14"/>
                <w:color w:val="auto"/>
              </w:rPr>
              <w:t>Taxable investment securities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Tax-advantaged investment securities</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4"/>
                <w:szCs w:val="14"/>
                <w:color w:val="auto"/>
              </w:rPr>
              <w:t>Investment in FHLB stock</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(142 )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(75 )</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9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Interest-earning deposits with other institutions</w:t>
            </w:r>
          </w:p>
        </w:tc>
        <w:tc>
          <w:tcPr>
            <w:tcW w:w="2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(751 )</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16,297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(15,828 )</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(282 )</w:t>
            </w:r>
          </w:p>
        </w:tc>
        <w:tc>
          <w:tcPr>
            <w:tcW w:w="0" w:type="dxa"/>
            <w:vAlign w:val="bottom"/>
          </w:tcPr>
          <w:p>
            <w:pPr>
              <w:spacing w:after="0"/>
              <w:rPr>
                <w:sz w:val="1"/>
                <w:szCs w:val="1"/>
                <w:color w:val="auto"/>
              </w:rPr>
            </w:pPr>
          </w:p>
        </w:tc>
      </w:tr>
      <w:tr>
        <w:trPr>
          <w:trHeight w:val="258"/>
        </w:trPr>
        <w:tc>
          <w:tcPr>
            <w:tcW w:w="4220" w:type="dxa"/>
            <w:vAlign w:val="bottom"/>
          </w:tcPr>
          <w:p>
            <w:pPr>
              <w:ind w:left="180"/>
              <w:spacing w:after="0"/>
              <w:rPr>
                <w:sz w:val="20"/>
                <w:szCs w:val="20"/>
                <w:color w:val="auto"/>
              </w:rPr>
            </w:pPr>
            <w:r>
              <w:rPr>
                <w:rFonts w:ascii="Arial" w:cs="Arial" w:eastAsia="Arial" w:hAnsi="Arial"/>
                <w:sz w:val="14"/>
                <w:szCs w:val="14"/>
                <w:color w:val="auto"/>
              </w:rPr>
              <w:t>Loans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18,933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
        </w:trPr>
        <w:tc>
          <w:tcPr>
            <w:tcW w:w="4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interest income</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5,319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38,632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(15,265 )</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28,686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42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Savings deposits</w:t>
            </w:r>
          </w:p>
        </w:tc>
        <w:tc>
          <w:tcPr>
            <w:tcW w:w="2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(155 )</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(749 )</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4"/>
                <w:szCs w:val="14"/>
                <w:color w:val="auto"/>
              </w:rPr>
              <w:t>Time deposits</w:t>
            </w:r>
          </w:p>
        </w:tc>
        <w:tc>
          <w:tcPr>
            <w:tcW w:w="2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(19 )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(21 )</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FHLB advances, other borrowings, and</w:t>
            </w:r>
          </w:p>
        </w:tc>
        <w:tc>
          <w:tcPr>
            <w:tcW w:w="26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5,090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6,305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11,560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4220" w:type="dxa"/>
            <w:vAlign w:val="bottom"/>
            <w:vMerge w:val="restart"/>
            <w:shd w:val="clear" w:color="auto" w:fill="CFF0FC"/>
          </w:tcPr>
          <w:p>
            <w:pPr>
              <w:ind w:left="300"/>
              <w:spacing w:after="0"/>
              <w:rPr>
                <w:sz w:val="20"/>
                <w:szCs w:val="20"/>
                <w:color w:val="auto"/>
              </w:rPr>
            </w:pPr>
            <w:r>
              <w:rPr>
                <w:rFonts w:ascii="Arial" w:cs="Arial" w:eastAsia="Arial" w:hAnsi="Arial"/>
                <w:sz w:val="14"/>
                <w:szCs w:val="14"/>
                <w:color w:val="auto"/>
              </w:rPr>
              <w:t>customer repurchase agreements</w:t>
            </w:r>
          </w:p>
        </w:tc>
        <w:tc>
          <w:tcPr>
            <w:tcW w:w="260" w:type="dxa"/>
            <w:vAlign w:val="bottom"/>
            <w:shd w:val="clear" w:color="auto" w:fill="CFF0FC"/>
          </w:tcPr>
          <w:p>
            <w:pPr>
              <w:spacing w:after="0"/>
              <w:rPr>
                <w:sz w:val="8"/>
                <w:szCs w:val="8"/>
                <w:color w:val="auto"/>
              </w:rPr>
            </w:pPr>
          </w:p>
        </w:tc>
        <w:tc>
          <w:tcPr>
            <w:tcW w:w="11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1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220" w:type="dxa"/>
            <w:vAlign w:val="bottom"/>
            <w:vMerge w:val="continue"/>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340"/>
              <w:spacing w:after="0"/>
              <w:rPr>
                <w:sz w:val="20"/>
                <w:szCs w:val="20"/>
                <w:color w:val="auto"/>
              </w:rPr>
            </w:pPr>
            <w:r>
              <w:rPr>
                <w:rFonts w:ascii="Arial" w:cs="Arial" w:eastAsia="Arial" w:hAnsi="Arial"/>
                <w:sz w:val="14"/>
                <w:szCs w:val="14"/>
                <w:color w:val="auto"/>
              </w:rPr>
              <w:t>Total interest expense</w:t>
            </w:r>
          </w:p>
        </w:tc>
        <w:tc>
          <w:tcPr>
            <w:tcW w:w="2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(9 )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interest income</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28,360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(20,800 )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First Quarter of 2023 Compared to the First Quarter of 2022</w:t>
      </w:r>
    </w:p>
    <w:p>
      <w:pPr>
        <w:spacing w:after="0" w:line="158" w:lineRule="exact"/>
        <w:rPr>
          <w:sz w:val="20"/>
          <w:szCs w:val="20"/>
          <w:color w:val="auto"/>
        </w:rPr>
      </w:pPr>
    </w:p>
    <w:p>
      <w:pPr>
        <w:ind w:right="40" w:firstLine="432"/>
        <w:spacing w:after="0" w:line="239" w:lineRule="auto"/>
        <w:rPr>
          <w:sz w:val="20"/>
          <w:szCs w:val="20"/>
          <w:color w:val="auto"/>
        </w:rPr>
      </w:pPr>
      <w:r>
        <w:rPr>
          <w:rFonts w:ascii="Arial" w:cs="Arial" w:eastAsia="Arial" w:hAnsi="Arial"/>
          <w:sz w:val="16"/>
          <w:szCs w:val="16"/>
          <w:color w:val="auto"/>
        </w:rPr>
        <w:t>Net interest income, before provision for credit losses, of $125.7 million for the first quarter of 2023 increased by $12.9 million, or 11.42%, from the first quarter of 2022. Interest-earning assets declined on average by $1.16 billion, or 7.26%, from $15.96 billion for the first quarter of 2022 to $ 14.80 billion for the first quarter of 2023. Our net interest margin (TE) expanded to 3.45% for the first quarter of 2023, compared to 2.90% for the first quarter of 2022. The 55 basis point expansion in our net interest margin was the result of a 98 basis point increase in earning asset yield, offset by a 46 basis point increase in cost of funds.</w:t>
      </w:r>
    </w:p>
    <w:p>
      <w:pPr>
        <w:spacing w:after="0" w:line="164" w:lineRule="exact"/>
        <w:rPr>
          <w:sz w:val="20"/>
          <w:szCs w:val="20"/>
          <w:color w:val="auto"/>
        </w:rPr>
      </w:pPr>
    </w:p>
    <w:p>
      <w:pPr>
        <w:ind w:firstLine="432"/>
        <w:spacing w:after="0" w:line="275" w:lineRule="auto"/>
        <w:rPr>
          <w:sz w:val="20"/>
          <w:szCs w:val="20"/>
          <w:color w:val="auto"/>
        </w:rPr>
      </w:pPr>
      <w:r>
        <w:rPr>
          <w:rFonts w:ascii="Arial" w:cs="Arial" w:eastAsia="Arial" w:hAnsi="Arial"/>
          <w:sz w:val="14"/>
          <w:szCs w:val="14"/>
          <w:color w:val="auto"/>
        </w:rPr>
        <w:t>Total interest income was $142.8 million for the first quarter of 2023, which was $28.7 million, or 25.14%, higher than the same period of 2022. The increase was primarily due to a 98 basis point expansion of the yield on earning assets. Loan yields grew from 4.27% for the first quarter of 2022 to</w:t>
      </w:r>
    </w:p>
    <w:p>
      <w:pPr>
        <w:spacing w:after="0" w:line="1" w:lineRule="exact"/>
        <w:rPr>
          <w:sz w:val="20"/>
          <w:szCs w:val="20"/>
          <w:color w:val="auto"/>
        </w:rPr>
      </w:pPr>
    </w:p>
    <w:p>
      <w:pPr>
        <w:jc w:val="both"/>
        <w:ind w:right="200"/>
        <w:spacing w:after="0" w:line="268" w:lineRule="auto"/>
        <w:rPr>
          <w:sz w:val="20"/>
          <w:szCs w:val="20"/>
          <w:color w:val="auto"/>
        </w:rPr>
      </w:pPr>
      <w:r>
        <w:rPr>
          <w:rFonts w:ascii="Arial" w:cs="Arial" w:eastAsia="Arial" w:hAnsi="Arial"/>
          <w:sz w:val="14"/>
          <w:szCs w:val="14"/>
          <w:color w:val="auto"/>
        </w:rPr>
        <w:t>4.90% for the first quarter of 2023. Likewise, the yield on investment securities increased by 67 basis points from the prior year quarter. Loan balances grew to 60.55% of earning assets on average for the first quarter of 2023, compared to 53.25% for the first quarter of 2022. In addition to loan growth, funds previously held at the Federal Reserve were invested into higher yielding investments during 2022, which increased investment securities to</w:t>
      </w:r>
    </w:p>
    <w:p>
      <w:pPr>
        <w:spacing w:after="0" w:line="1" w:lineRule="exact"/>
        <w:rPr>
          <w:sz w:val="20"/>
          <w:szCs w:val="20"/>
          <w:color w:val="auto"/>
        </w:rPr>
      </w:pPr>
    </w:p>
    <w:p>
      <w:pPr>
        <w:ind w:right="100"/>
        <w:spacing w:after="0" w:line="307" w:lineRule="auto"/>
        <w:rPr>
          <w:sz w:val="20"/>
          <w:szCs w:val="20"/>
          <w:color w:val="auto"/>
        </w:rPr>
      </w:pPr>
      <w:r>
        <w:rPr>
          <w:rFonts w:ascii="Arial" w:cs="Arial" w:eastAsia="Arial" w:hAnsi="Arial"/>
          <w:sz w:val="14"/>
          <w:szCs w:val="14"/>
          <w:color w:val="auto"/>
        </w:rPr>
        <w:t>38.93% of earning assets on average for the first quarter of 2023 from 36.19% for the first quarter of 2022. As a result of growth in loans and investment securities, our average balance at the Fed declined from 10.4% of earning assets in the first quarter of 2022 to 0.3% in the first quarter of 2023.</w:t>
      </w:r>
    </w:p>
    <w:p>
      <w:pPr>
        <w:spacing w:after="0" w:line="118" w:lineRule="exact"/>
        <w:rPr>
          <w:sz w:val="20"/>
          <w:szCs w:val="20"/>
          <w:color w:val="auto"/>
        </w:rPr>
      </w:pPr>
    </w:p>
    <w:p>
      <w:pPr>
        <w:ind w:right="20" w:firstLine="432"/>
        <w:spacing w:after="0" w:line="238" w:lineRule="auto"/>
        <w:rPr>
          <w:sz w:val="20"/>
          <w:szCs w:val="20"/>
          <w:color w:val="auto"/>
        </w:rPr>
      </w:pPr>
      <w:r>
        <w:rPr>
          <w:rFonts w:ascii="Arial" w:cs="Arial" w:eastAsia="Arial" w:hAnsi="Arial"/>
          <w:sz w:val="16"/>
          <w:szCs w:val="16"/>
          <w:color w:val="auto"/>
        </w:rPr>
        <w:t>Total interest income and fees on loans for the first quarter of 2023 was $108.4 million, an increase of $18.9 million, or 21.16%, from the first quarter of 2022. This increase in income was partly due to growth in average loans of $462.9 million. Discount accretion on acquired loans decreased by $741,000 and interest and fee income from PPP loans declined by $2.8 million compared to the first quarter of 2022. After excluding discount accretion and the impact from PPP loans, our core loan yields grew by 74 basis points compared to the first quarter of 2022. Core loan yields grew throughout 2022 and the first quarter of 2023, as rising interest rates contributed to an increase in yields from 4.11% in the first quarter of 2022 to 4.85% in the first quarter of 2023.</w:t>
      </w:r>
    </w:p>
    <w:p>
      <w:pPr>
        <w:spacing w:after="0" w:line="166" w:lineRule="exact"/>
        <w:rPr>
          <w:sz w:val="20"/>
          <w:szCs w:val="20"/>
          <w:color w:val="auto"/>
        </w:rPr>
      </w:pPr>
    </w:p>
    <w:p>
      <w:pPr>
        <w:ind w:right="80" w:firstLine="432"/>
        <w:spacing w:after="0" w:line="238" w:lineRule="auto"/>
        <w:rPr>
          <w:sz w:val="20"/>
          <w:szCs w:val="20"/>
          <w:color w:val="auto"/>
        </w:rPr>
      </w:pPr>
      <w:r>
        <w:rPr>
          <w:rFonts w:ascii="Arial" w:cs="Arial" w:eastAsia="Arial" w:hAnsi="Arial"/>
          <w:sz w:val="16"/>
          <w:szCs w:val="16"/>
          <w:color w:val="auto"/>
        </w:rPr>
        <w:t>Interest income from investment securities was $33.6 million, an increase of $10.1 million, or 42.80%, from the first quarter of 2022. The increase was a result of a 67 basis point increase in security yields. Investment securities were $5.76 billion on average for the first quarter of 2023, compared to $5.78 billion for the same period of 2022. Overall, the tax-equivalent yield on securities grew from 1.70% in the first quarter of 2022 to 2.37% in the first quarter of 2023.</w:t>
      </w:r>
    </w:p>
    <w:p>
      <w:pPr>
        <w:jc w:val="center"/>
        <w:ind w:right="-19"/>
        <w:spacing w:after="0"/>
        <w:rPr>
          <w:sz w:val="20"/>
          <w:szCs w:val="20"/>
          <w:color w:val="auto"/>
        </w:rPr>
      </w:pPr>
      <w:r>
        <w:rPr>
          <w:rFonts w:ascii="Arial" w:cs="Arial" w:eastAsia="Arial" w:hAnsi="Arial"/>
          <w:sz w:val="16"/>
          <w:szCs w:val="16"/>
          <w:color w:val="auto"/>
        </w:rPr>
        <w:t>43</w:t>
      </w:r>
    </w:p>
    <w:p>
      <w:pPr>
        <w:sectPr>
          <w:pgSz w:w="11900" w:h="16840" w:orient="portrait"/>
          <w:cols w:equalWidth="0" w:num="1">
            <w:col w:w="10560"/>
          </w:cols>
          <w:pgMar w:left="660" w:top="782" w:right="680" w:bottom="1440" w:gutter="0" w:footer="0" w:header="0"/>
        </w:sectPr>
      </w:pPr>
    </w:p>
    <w:bookmarkStart w:id="42" w:name="page43"/>
    <w:bookmarkEnd w:id="42"/>
    <w:p>
      <w:pPr>
        <w:ind w:right="40" w:firstLine="432"/>
        <w:spacing w:after="0" w:line="239" w:lineRule="auto"/>
        <w:rPr>
          <w:sz w:val="20"/>
          <w:szCs w:val="20"/>
          <w:color w:val="auto"/>
        </w:rPr>
      </w:pPr>
      <w:r>
        <w:rPr>
          <w:rFonts w:ascii="Arial" w:cs="Arial" w:eastAsia="Arial" w:hAnsi="Arial"/>
          <w:sz w:val="16"/>
          <w:szCs w:val="16"/>
          <w:color w:val="auto"/>
        </w:rPr>
        <w:t>Interest expense of $17.1 million for the first quarter of 2023, increased $15.8 million, compared to the first quarter of 2022. Total cost of funds of 0.49% for the first quarter of 2023 increased from 0.03% for the year ago quarter. This 46 basis point increase in cost of funds was the result of a 39 basis point increase in the cost of interest- bearing deposits and an average cost of 4.81% on $971.7 million of short-term borrowings for the first quarter of 2023. On average, noninterest-bearing deposits were 63.65% of total deposits for the first quarter of 2023, compared to 61.48% for the first quarter of 2022.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(Recapture of) Credit Losses</w:t>
      </w:r>
    </w:p>
    <w:p>
      <w:pPr>
        <w:spacing w:after="0" w:line="184" w:lineRule="exact"/>
        <w:rPr>
          <w:sz w:val="20"/>
          <w:szCs w:val="20"/>
          <w:color w:val="auto"/>
        </w:rPr>
      </w:pPr>
    </w:p>
    <w:p>
      <w:pPr>
        <w:ind w:right="760" w:firstLine="432"/>
        <w:spacing w:after="0" w:line="252" w:lineRule="auto"/>
        <w:rPr>
          <w:sz w:val="20"/>
          <w:szCs w:val="20"/>
          <w:color w:val="auto"/>
        </w:rPr>
      </w:pPr>
      <w:r>
        <w:rPr>
          <w:rFonts w:ascii="Arial" w:cs="Arial" w:eastAsia="Arial" w:hAnsi="Arial"/>
          <w:sz w:val="16"/>
          <w:szCs w:val="16"/>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54"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 xml:space="preserve">The first quarter of 2023 included $1.5 million in provision for credit losses due to projected loss rates that continued to be impacted by a deteriorating economic forecast that assumes a modest recession starting in late 2023 and modest GDP growth through 2024, as well as lower commercial real estate values and an increase in unemployment. The first quarter of 2022 included $2.5 million in provision for credit losses. The $2.5 million provision for credit losses was the net result of the $4.9 million provision for credit losses recorded for the acquisition of the Suncrest non-PCD loans on January 7, 2022 and a subsequent $2.4 million recapture of provision due to the net impact of improvements in the underlying loan characteristics of certain classified loans and the impact of changes in the economic forecast of certain macroeconomic variables compared to the end of 2021. Refer to the discussion of “Allowance for Credit Losses” in Item 2 –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contained herein for discussion concerning observed changes in the credit quality of various components of our loan portfolio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and refinements to our methodology.</w:t>
      </w:r>
    </w:p>
    <w:p>
      <w:pPr>
        <w:spacing w:after="0" w:line="165" w:lineRule="exact"/>
        <w:rPr>
          <w:sz w:val="20"/>
          <w:szCs w:val="20"/>
          <w:color w:val="auto"/>
        </w:rPr>
      </w:pPr>
    </w:p>
    <w:p>
      <w:pPr>
        <w:ind w:right="100" w:firstLine="432"/>
        <w:spacing w:after="0" w:line="239" w:lineRule="auto"/>
        <w:rPr>
          <w:sz w:val="20"/>
          <w:szCs w:val="20"/>
          <w:color w:val="auto"/>
        </w:rPr>
      </w:pPr>
      <w:r>
        <w:rPr>
          <w:rFonts w:ascii="Arial" w:cs="Arial" w:eastAsia="Arial" w:hAnsi="Arial"/>
          <w:sz w:val="16"/>
          <w:szCs w:val="16"/>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that the pandemic, geopolitical events in Europe, and overall supply chain issues may have on our business and customers. See “Allowance for Credit Losses” under </w:t>
      </w:r>
      <w:r>
        <w:rPr>
          <w:rFonts w:ascii="Arial" w:cs="Arial" w:eastAsia="Arial" w:hAnsi="Arial"/>
          <w:sz w:val="16"/>
          <w:szCs w:val="16"/>
          <w:i w:val="1"/>
          <w:iCs w:val="1"/>
          <w:color w:val="auto"/>
        </w:rPr>
        <w:t>Analysis of Financial Condition</w:t>
      </w:r>
      <w:r>
        <w:rPr>
          <w:rFonts w:ascii="Arial" w:cs="Arial" w:eastAsia="Arial" w:hAnsi="Arial"/>
          <w:sz w:val="16"/>
          <w:szCs w:val="16"/>
          <w:color w:val="auto"/>
        </w:rPr>
        <w:t xml:space="preserve"> herein.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970" w:right="700"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Noninterest Income</w:t>
      </w:r>
    </w:p>
    <w:p>
      <w:pPr>
        <w:spacing w:after="0" w:line="184" w:lineRule="exact"/>
        <w:rPr>
          <w:sz w:val="20"/>
          <w:szCs w:val="20"/>
          <w:color w:val="auto"/>
        </w:rPr>
      </w:pPr>
    </w:p>
    <w:p>
      <w:pPr>
        <w:ind w:right="220" w:firstLine="432"/>
        <w:spacing w:after="0"/>
        <w:rPr>
          <w:sz w:val="20"/>
          <w:szCs w:val="20"/>
          <w:color w:val="auto"/>
        </w:rPr>
      </w:pPr>
      <w:r>
        <w:rPr>
          <w:rFonts w:ascii="Arial" w:cs="Arial" w:eastAsia="Arial" w:hAnsi="Arial"/>
          <w:sz w:val="16"/>
          <w:szCs w:val="16"/>
          <w:color w:val="auto"/>
        </w:rPr>
        <w:t>Noninterest income includes income derived from financial services offered to our customers, such as CitizensTrust, BankCard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various components of noninterest income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40" w:type="dxa"/>
            <w:vAlign w:val="bottom"/>
          </w:tcPr>
          <w:p>
            <w:pPr>
              <w:spacing w:after="0"/>
              <w:rPr>
                <w:sz w:val="15"/>
                <w:szCs w:val="15"/>
                <w:color w:val="auto"/>
              </w:rPr>
            </w:pPr>
          </w:p>
        </w:tc>
        <w:tc>
          <w:tcPr>
            <w:tcW w:w="2220" w:type="dxa"/>
            <w:vAlign w:val="bottom"/>
            <w:gridSpan w:val="4"/>
          </w:tcPr>
          <w:p>
            <w:pPr>
              <w:jc w:val="right"/>
              <w:ind w:right="174"/>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4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gridSpan w:val="3"/>
          </w:tcPr>
          <w:p>
            <w:pPr>
              <w:jc w:val="right"/>
              <w:ind w:right="534"/>
              <w:spacing w:after="0"/>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gridSpan w:val="3"/>
          </w:tcPr>
          <w:p>
            <w:pPr>
              <w:ind w:left="280"/>
              <w:spacing w:after="0"/>
              <w:rPr>
                <w:sz w:val="20"/>
                <w:szCs w:val="20"/>
                <w:color w:val="auto"/>
              </w:rPr>
            </w:pPr>
            <w:r>
              <w:rPr>
                <w:rFonts w:ascii="Arial" w:cs="Arial" w:eastAsia="Arial" w:hAnsi="Arial"/>
                <w:sz w:val="13"/>
                <w:szCs w:val="13"/>
                <w:b w:val="1"/>
                <w:bCs w:val="1"/>
                <w:color w:val="auto"/>
              </w:rPr>
              <w:t>Variance</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48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534"/>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5"/>
                <w:szCs w:val="15"/>
                <w:color w:val="auto"/>
              </w:rPr>
            </w:pPr>
          </w:p>
        </w:tc>
      </w:tr>
      <w:tr>
        <w:trPr>
          <w:trHeight w:val="177"/>
        </w:trPr>
        <w:tc>
          <w:tcPr>
            <w:tcW w:w="4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4"/>
          </w:tcPr>
          <w:p>
            <w:pPr>
              <w:jc w:val="right"/>
              <w:ind w:right="234"/>
              <w:spacing w:after="0"/>
              <w:rPr>
                <w:sz w:val="20"/>
                <w:szCs w:val="20"/>
                <w:color w:val="auto"/>
              </w:rPr>
            </w:pPr>
            <w:r>
              <w:rPr>
                <w:rFonts w:ascii="Arial" w:cs="Arial" w:eastAsia="Arial" w:hAnsi="Arial"/>
                <w:sz w:val="13"/>
                <w:szCs w:val="13"/>
                <w:i w:val="1"/>
                <w:iCs w:val="1"/>
                <w:color w:val="auto"/>
              </w:rPr>
              <w:t>(Dollars in thousands)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4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Noninterest income:</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4840" w:type="dxa"/>
            <w:vAlign w:val="bottom"/>
          </w:tcPr>
          <w:p>
            <w:pPr>
              <w:ind w:left="180"/>
              <w:spacing w:after="0"/>
              <w:rPr>
                <w:sz w:val="20"/>
                <w:szCs w:val="20"/>
                <w:color w:val="auto"/>
              </w:rPr>
            </w:pPr>
            <w:r>
              <w:rPr>
                <w:rFonts w:ascii="Arial" w:cs="Arial" w:eastAsia="Arial" w:hAnsi="Arial"/>
                <w:sz w:val="13"/>
                <w:szCs w:val="13"/>
                <w:color w:val="auto"/>
              </w:rPr>
              <w:t>Service charges on deposit accounts</w:t>
            </w:r>
          </w:p>
        </w:tc>
        <w:tc>
          <w:tcPr>
            <w:tcW w:w="720" w:type="dxa"/>
            <w:vAlign w:val="bottom"/>
          </w:tcPr>
          <w:p>
            <w:pPr>
              <w:jc w:val="right"/>
              <w:ind w:right="57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5,344</w:t>
            </w:r>
          </w:p>
        </w:tc>
        <w:tc>
          <w:tcPr>
            <w:tcW w:w="240" w:type="dxa"/>
            <w:vAlign w:val="bottom"/>
          </w:tcPr>
          <w:p>
            <w:pPr>
              <w:spacing w:after="0"/>
              <w:rPr>
                <w:sz w:val="14"/>
                <w:szCs w:val="14"/>
                <w:color w:val="auto"/>
              </w:rPr>
            </w:pPr>
          </w:p>
        </w:tc>
        <w:tc>
          <w:tcPr>
            <w:tcW w:w="720" w:type="dxa"/>
            <w:vAlign w:val="bottom"/>
          </w:tcPr>
          <w:p>
            <w:pPr>
              <w:jc w:val="right"/>
              <w:ind w:right="57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5,059</w:t>
            </w:r>
          </w:p>
        </w:tc>
        <w:tc>
          <w:tcPr>
            <w:tcW w:w="240" w:type="dxa"/>
            <w:vAlign w:val="bottom"/>
          </w:tcPr>
          <w:p>
            <w:pPr>
              <w:spacing w:after="0"/>
              <w:rPr>
                <w:sz w:val="14"/>
                <w:szCs w:val="14"/>
                <w:color w:val="auto"/>
              </w:rPr>
            </w:pPr>
          </w:p>
        </w:tc>
        <w:tc>
          <w:tcPr>
            <w:tcW w:w="760" w:type="dxa"/>
            <w:vAlign w:val="bottom"/>
          </w:tcPr>
          <w:p>
            <w:pPr>
              <w:jc w:val="right"/>
              <w:ind w:right="6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285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5.63 %</w:t>
            </w:r>
          </w:p>
        </w:tc>
      </w:tr>
      <w:tr>
        <w:trPr>
          <w:trHeight w:val="180"/>
        </w:trPr>
        <w:tc>
          <w:tcPr>
            <w:tcW w:w="4840" w:type="dxa"/>
            <w:vAlign w:val="bottom"/>
          </w:tcPr>
          <w:p>
            <w:pPr>
              <w:ind w:left="180"/>
              <w:spacing w:after="0"/>
              <w:rPr>
                <w:sz w:val="20"/>
                <w:szCs w:val="20"/>
                <w:color w:val="auto"/>
              </w:rPr>
            </w:pPr>
            <w:r>
              <w:rPr>
                <w:rFonts w:ascii="Arial" w:cs="Arial" w:eastAsia="Arial" w:hAnsi="Arial"/>
                <w:sz w:val="13"/>
                <w:szCs w:val="13"/>
                <w:color w:val="auto"/>
              </w:rPr>
              <w:t>Trust and investment services</w:t>
            </w:r>
          </w:p>
        </w:tc>
        <w:tc>
          <w:tcPr>
            <w:tcW w:w="720" w:type="dxa"/>
            <w:vAlign w:val="bottom"/>
          </w:tcPr>
          <w:p>
            <w:pPr>
              <w:spacing w:after="0"/>
              <w:rPr>
                <w:sz w:val="15"/>
                <w:szCs w:val="15"/>
                <w:color w:val="auto"/>
              </w:rPr>
            </w:pP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2,914</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2,822</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3.26 %</w:t>
            </w:r>
          </w:p>
        </w:tc>
      </w:tr>
      <w:tr>
        <w:trPr>
          <w:trHeight w:val="180"/>
        </w:trPr>
        <w:tc>
          <w:tcPr>
            <w:tcW w:w="4840" w:type="dxa"/>
            <w:vAlign w:val="bottom"/>
          </w:tcPr>
          <w:p>
            <w:pPr>
              <w:ind w:left="180"/>
              <w:spacing w:after="0"/>
              <w:rPr>
                <w:sz w:val="20"/>
                <w:szCs w:val="20"/>
                <w:color w:val="auto"/>
              </w:rPr>
            </w:pPr>
            <w:r>
              <w:rPr>
                <w:rFonts w:ascii="Arial" w:cs="Arial" w:eastAsia="Arial" w:hAnsi="Arial"/>
                <w:sz w:val="13"/>
                <w:szCs w:val="13"/>
                <w:color w:val="auto"/>
              </w:rPr>
              <w:t>Bankcard services</w:t>
            </w:r>
          </w:p>
        </w:tc>
        <w:tc>
          <w:tcPr>
            <w:tcW w:w="720" w:type="dxa"/>
            <w:vAlign w:val="bottom"/>
          </w:tcPr>
          <w:p>
            <w:pPr>
              <w:spacing w:after="0"/>
              <w:rPr>
                <w:sz w:val="15"/>
                <w:szCs w:val="15"/>
                <w:color w:val="auto"/>
              </w:rPr>
            </w:pP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377</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416</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(39 )</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-9.38 %</w:t>
            </w:r>
          </w:p>
        </w:tc>
      </w:tr>
      <w:tr>
        <w:trPr>
          <w:trHeight w:val="180"/>
        </w:trPr>
        <w:tc>
          <w:tcPr>
            <w:tcW w:w="4840" w:type="dxa"/>
            <w:vAlign w:val="bottom"/>
          </w:tcPr>
          <w:p>
            <w:pPr>
              <w:ind w:left="180"/>
              <w:spacing w:after="0"/>
              <w:rPr>
                <w:sz w:val="20"/>
                <w:szCs w:val="20"/>
                <w:color w:val="auto"/>
              </w:rPr>
            </w:pPr>
            <w:r>
              <w:rPr>
                <w:rFonts w:ascii="Arial" w:cs="Arial" w:eastAsia="Arial" w:hAnsi="Arial"/>
                <w:sz w:val="13"/>
                <w:szCs w:val="13"/>
                <w:color w:val="auto"/>
              </w:rPr>
              <w:t>BOLI income</w:t>
            </w:r>
          </w:p>
        </w:tc>
        <w:tc>
          <w:tcPr>
            <w:tcW w:w="720" w:type="dxa"/>
            <w:vAlign w:val="bottom"/>
          </w:tcPr>
          <w:p>
            <w:pPr>
              <w:spacing w:after="0"/>
              <w:rPr>
                <w:sz w:val="15"/>
                <w:szCs w:val="15"/>
                <w:color w:val="auto"/>
              </w:rPr>
            </w:pP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1,189</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1,349</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(160 )</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-11.86 %</w:t>
            </w:r>
          </w:p>
        </w:tc>
      </w:tr>
      <w:tr>
        <w:trPr>
          <w:trHeight w:val="185"/>
        </w:trPr>
        <w:tc>
          <w:tcPr>
            <w:tcW w:w="4840" w:type="dxa"/>
            <w:vAlign w:val="bottom"/>
          </w:tcPr>
          <w:p>
            <w:pPr>
              <w:ind w:left="180"/>
              <w:spacing w:after="0"/>
              <w:rPr>
                <w:sz w:val="20"/>
                <w:szCs w:val="20"/>
                <w:color w:val="auto"/>
              </w:rPr>
            </w:pPr>
            <w:r>
              <w:rPr>
                <w:rFonts w:ascii="Arial" w:cs="Arial" w:eastAsia="Arial" w:hAnsi="Arial"/>
                <w:sz w:val="13"/>
                <w:szCs w:val="13"/>
                <w:color w:val="auto"/>
              </w:rPr>
              <w:t>Other</w:t>
            </w:r>
          </w:p>
        </w:tc>
        <w:tc>
          <w:tcPr>
            <w:tcW w:w="720" w:type="dxa"/>
            <w:vAlign w:val="bottom"/>
          </w:tcPr>
          <w:p>
            <w:pPr>
              <w:spacing w:after="0"/>
              <w:rPr>
                <w:sz w:val="16"/>
                <w:szCs w:val="16"/>
                <w:color w:val="auto"/>
              </w:rPr>
            </w:pP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3,378</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1,618</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1,760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108.78 %</w:t>
            </w:r>
          </w:p>
        </w:tc>
      </w:tr>
      <w:tr>
        <w:trPr>
          <w:trHeight w:val="205"/>
        </w:trPr>
        <w:tc>
          <w:tcPr>
            <w:tcW w:w="48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 noninterest income</w:t>
            </w:r>
          </w:p>
        </w:tc>
        <w:tc>
          <w:tcPr>
            <w:tcW w:w="720" w:type="dxa"/>
            <w:vAlign w:val="bottom"/>
            <w:shd w:val="clear" w:color="auto" w:fill="CFF0FC"/>
          </w:tcPr>
          <w:p>
            <w:pPr>
              <w:jc w:val="right"/>
              <w:ind w:right="574"/>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13,202</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74"/>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11,264</w:t>
            </w: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14"/>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1,938</w:t>
            </w:r>
          </w:p>
        </w:tc>
        <w:tc>
          <w:tcPr>
            <w:tcW w:w="180" w:type="dxa"/>
            <w:vAlign w:val="bottom"/>
            <w:shd w:val="clear" w:color="auto" w:fill="CFF0FC"/>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17.21 %</w:t>
            </w: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First Quarter of 2023 Compared to the First Quarter of 2022</w:t>
      </w:r>
    </w:p>
    <w:p>
      <w:pPr>
        <w:spacing w:after="0" w:line="158" w:lineRule="exact"/>
        <w:rPr>
          <w:sz w:val="20"/>
          <w:szCs w:val="20"/>
          <w:color w:val="auto"/>
        </w:rPr>
      </w:pPr>
    </w:p>
    <w:p>
      <w:pPr>
        <w:ind w:right="260" w:firstLine="432"/>
        <w:spacing w:after="0"/>
        <w:rPr>
          <w:sz w:val="20"/>
          <w:szCs w:val="20"/>
          <w:color w:val="auto"/>
        </w:rPr>
      </w:pPr>
      <w:r>
        <w:rPr>
          <w:rFonts w:ascii="Arial" w:cs="Arial" w:eastAsia="Arial" w:hAnsi="Arial"/>
          <w:sz w:val="16"/>
          <w:szCs w:val="16"/>
          <w:color w:val="auto"/>
        </w:rPr>
        <w:t>Noninterest income was $13.2 million for the first quarter of 2023, compared with $11.3 million for the first quarter of 2022. The $1.9 million increase in noninterest income included approximately $550,000 in interest rate swap related fees resulting from the conversion to SOFR of all of our previously originated interest rate swaps indexed to LIBOR, and a recapture of a previous impairment charge of $500,000 as a result of the payoff of a CRA investment that was previously identified as impaired.</w:t>
      </w:r>
    </w:p>
    <w:p>
      <w:pPr>
        <w:spacing w:after="0" w:line="164" w:lineRule="exact"/>
        <w:rPr>
          <w:sz w:val="20"/>
          <w:szCs w:val="20"/>
          <w:color w:val="auto"/>
        </w:rPr>
      </w:pPr>
    </w:p>
    <w:p>
      <w:pPr>
        <w:ind w:right="20" w:firstLine="432"/>
        <w:spacing w:after="0" w:line="237" w:lineRule="auto"/>
        <w:rPr>
          <w:sz w:val="20"/>
          <w:szCs w:val="20"/>
          <w:color w:val="auto"/>
        </w:rPr>
      </w:pPr>
      <w:r>
        <w:rPr>
          <w:rFonts w:ascii="Arial" w:cs="Arial" w:eastAsia="Arial" w:hAnsi="Arial"/>
          <w:sz w:val="16"/>
          <w:szCs w:val="16"/>
          <w:color w:val="auto"/>
        </w:rPr>
        <w:t>CitizensTrust consists of Wealth Management and Investment Services income. The Wealth Management group provides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March 31, 2023, CitizensTrust had approximately $3.38 billion in assets under management and administration, including $2.25 billion in assets under management. CitizensTrust generated fees of $2.9 million for the first quarter of 2023, compared to $ 2.8 million for the first quarter of 2022. We have experienced growth in managed assets from the transition of customer deposits that are now being managed by CitizensTrust in various liquidity strategies. During the first quarter of 2023, more than $370 million of new assets under management were attributable to funds that were previously on deposit at Citizens Business Bank.</w:t>
      </w:r>
    </w:p>
    <w:p>
      <w:pPr>
        <w:spacing w:after="0" w:line="167" w:lineRule="exact"/>
        <w:rPr>
          <w:sz w:val="20"/>
          <w:szCs w:val="20"/>
          <w:color w:val="auto"/>
        </w:rPr>
      </w:pPr>
    </w:p>
    <w:p>
      <w:pPr>
        <w:ind w:right="40" w:firstLine="432"/>
        <w:spacing w:after="0" w:line="239" w:lineRule="auto"/>
        <w:rPr>
          <w:sz w:val="20"/>
          <w:szCs w:val="20"/>
          <w:color w:val="auto"/>
        </w:rPr>
      </w:pPr>
      <w:r>
        <w:rPr>
          <w:rFonts w:ascii="Arial" w:cs="Arial" w:eastAsia="Arial" w:hAnsi="Arial"/>
          <w:sz w:val="16"/>
          <w:szCs w:val="16"/>
          <w:color w:val="auto"/>
        </w:rPr>
        <w:t>The Bank’s investment in BOLI includes life insurance policies acquired through acquisitions and the purchase of life insurance by the Bank on a select group of employees.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There were no death benefits for the first quarter of 2023, compared with $508,000 in death benefits that exceeded the asset value of certain BOLI policies the first quarter of 2022.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45</w:t>
      </w:r>
    </w:p>
    <w:p>
      <w:pPr>
        <w:sectPr>
          <w:pgSz w:w="11900" w:h="16840" w:orient="portrait"/>
          <w:cols w:equalWidth="0" w:num="1">
            <w:col w:w="10600"/>
          </w:cols>
          <w:pgMar w:left="660" w:top="782" w:right="640"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Noninterest Expense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various components of noninterest expense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gridSpan w:val="3"/>
          </w:tcPr>
          <w:p>
            <w:pPr>
              <w:jc w:val="right"/>
              <w:ind w:right="254"/>
              <w:spacing w:after="0"/>
              <w:rPr>
                <w:sz w:val="20"/>
                <w:szCs w:val="20"/>
                <w:color w:val="auto"/>
              </w:rPr>
            </w:pPr>
            <w:r>
              <w:rPr>
                <w:rFonts w:ascii="Arial" w:cs="Arial" w:eastAsia="Arial" w:hAnsi="Arial"/>
                <w:sz w:val="13"/>
                <w:szCs w:val="13"/>
                <w:b w:val="1"/>
                <w:bCs w:val="1"/>
                <w:color w:val="auto"/>
                <w:w w:val="99"/>
              </w:rPr>
              <w:t>Three Months Ended</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gridSpan w:val="3"/>
          </w:tcPr>
          <w:p>
            <w:pPr>
              <w:jc w:val="right"/>
              <w:ind w:right="594"/>
              <w:spacing w:after="0"/>
              <w:rPr>
                <w:sz w:val="20"/>
                <w:szCs w:val="20"/>
                <w:color w:val="auto"/>
              </w:rPr>
            </w:pPr>
            <w:r>
              <w:rPr>
                <w:rFonts w:ascii="Arial" w:cs="Arial" w:eastAsia="Arial" w:hAnsi="Arial"/>
                <w:sz w:val="13"/>
                <w:szCs w:val="13"/>
                <w:b w:val="1"/>
                <w:bCs w:val="1"/>
                <w:color w:val="auto"/>
              </w:rPr>
              <w:t>March 31,</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gridSpan w:val="3"/>
          </w:tcPr>
          <w:p>
            <w:pPr>
              <w:ind w:left="640"/>
              <w:spacing w:after="0"/>
              <w:rPr>
                <w:sz w:val="20"/>
                <w:szCs w:val="20"/>
                <w:color w:val="auto"/>
              </w:rPr>
            </w:pPr>
            <w:r>
              <w:rPr>
                <w:rFonts w:ascii="Arial" w:cs="Arial" w:eastAsia="Arial" w:hAnsi="Arial"/>
                <w:sz w:val="13"/>
                <w:szCs w:val="13"/>
                <w:b w:val="1"/>
                <w:bCs w:val="1"/>
                <w:color w:val="auto"/>
              </w:rPr>
              <w:t>Variance</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360" w:type="dxa"/>
            <w:vAlign w:val="bottom"/>
            <w:gridSpan w:val="3"/>
            <w:vMerge w:val="restart"/>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820" w:type="dxa"/>
            <w:vAlign w:val="bottom"/>
          </w:tcPr>
          <w:p>
            <w:pPr>
              <w:jc w:val="right"/>
              <w:ind w:right="634"/>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654"/>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Noninterest expense:</w:t>
            </w: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4320" w:type="dxa"/>
            <w:vAlign w:val="bottom"/>
          </w:tcPr>
          <w:p>
            <w:pPr>
              <w:ind w:left="180"/>
              <w:spacing w:after="0"/>
              <w:rPr>
                <w:sz w:val="20"/>
                <w:szCs w:val="20"/>
                <w:color w:val="auto"/>
              </w:rPr>
            </w:pPr>
            <w:r>
              <w:rPr>
                <w:rFonts w:ascii="Arial" w:cs="Arial" w:eastAsia="Arial" w:hAnsi="Arial"/>
                <w:sz w:val="13"/>
                <w:szCs w:val="13"/>
                <w:color w:val="auto"/>
              </w:rPr>
              <w:t>Salaries and employee benefits</w:t>
            </w:r>
          </w:p>
        </w:tc>
        <w:tc>
          <w:tcPr>
            <w:tcW w:w="780" w:type="dxa"/>
            <w:vAlign w:val="bottom"/>
          </w:tcPr>
          <w:p>
            <w:pPr>
              <w:jc w:val="right"/>
              <w:ind w:right="63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35,247</w:t>
            </w:r>
          </w:p>
        </w:tc>
        <w:tc>
          <w:tcPr>
            <w:tcW w:w="220" w:type="dxa"/>
            <w:vAlign w:val="bottom"/>
          </w:tcPr>
          <w:p>
            <w:pPr>
              <w:spacing w:after="0"/>
              <w:rPr>
                <w:sz w:val="24"/>
                <w:szCs w:val="24"/>
                <w:color w:val="auto"/>
              </w:rPr>
            </w:pPr>
          </w:p>
        </w:tc>
        <w:tc>
          <w:tcPr>
            <w:tcW w:w="840" w:type="dxa"/>
            <w:vAlign w:val="bottom"/>
          </w:tcPr>
          <w:p>
            <w:pPr>
              <w:jc w:val="right"/>
              <w:ind w:right="674"/>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32,656</w:t>
            </w:r>
          </w:p>
        </w:tc>
        <w:tc>
          <w:tcPr>
            <w:tcW w:w="240" w:type="dxa"/>
            <w:vAlign w:val="bottom"/>
          </w:tcPr>
          <w:p>
            <w:pPr>
              <w:spacing w:after="0"/>
              <w:rPr>
                <w:sz w:val="24"/>
                <w:szCs w:val="24"/>
                <w:color w:val="auto"/>
              </w:rPr>
            </w:pPr>
          </w:p>
        </w:tc>
        <w:tc>
          <w:tcPr>
            <w:tcW w:w="540" w:type="dxa"/>
            <w:vAlign w:val="bottom"/>
          </w:tcPr>
          <w:p>
            <w:pPr>
              <w:jc w:val="right"/>
              <w:ind w:right="394"/>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2,591</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2"/>
          </w:tcPr>
          <w:p>
            <w:pPr>
              <w:jc w:val="right"/>
              <w:spacing w:after="0" w:line="288" w:lineRule="exact"/>
              <w:rPr>
                <w:sz w:val="20"/>
                <w:szCs w:val="20"/>
                <w:color w:val="auto"/>
              </w:rPr>
            </w:pPr>
            <w:r>
              <w:rPr>
                <w:rFonts w:ascii="Arial" w:cs="Arial" w:eastAsia="Arial" w:hAnsi="Arial"/>
                <w:sz w:val="13"/>
                <w:szCs w:val="13"/>
                <w:color w:val="auto"/>
              </w:rPr>
              <w:t xml:space="preserve">7.93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70"/>
        </w:trPr>
        <w:tc>
          <w:tcPr>
            <w:tcW w:w="4320" w:type="dxa"/>
            <w:vAlign w:val="bottom"/>
          </w:tcPr>
          <w:p>
            <w:pPr>
              <w:ind w:left="180"/>
              <w:spacing w:after="0"/>
              <w:rPr>
                <w:sz w:val="20"/>
                <w:szCs w:val="20"/>
                <w:color w:val="auto"/>
              </w:rPr>
            </w:pPr>
            <w:r>
              <w:rPr>
                <w:rFonts w:ascii="Arial" w:cs="Arial" w:eastAsia="Arial" w:hAnsi="Arial"/>
                <w:sz w:val="13"/>
                <w:szCs w:val="13"/>
                <w:color w:val="auto"/>
              </w:rPr>
              <w:t>Occupancy</w:t>
            </w:r>
          </w:p>
        </w:tc>
        <w:tc>
          <w:tcPr>
            <w:tcW w:w="78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4,594</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4,548</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46</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1.01 %</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rPr>
                <w:sz w:val="20"/>
                <w:szCs w:val="20"/>
                <w:color w:val="auto"/>
              </w:rPr>
            </w:pPr>
            <w:r>
              <w:rPr>
                <w:rFonts w:ascii="Arial" w:cs="Arial" w:eastAsia="Arial" w:hAnsi="Arial"/>
                <w:sz w:val="13"/>
                <w:szCs w:val="13"/>
                <w:color w:val="auto"/>
              </w:rPr>
              <w:t>Equipment</w:t>
            </w:r>
          </w:p>
        </w:tc>
        <w:tc>
          <w:tcPr>
            <w:tcW w:w="7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856</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1,023</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(167 )</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-16.32 %</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rPr>
                <w:sz w:val="20"/>
                <w:szCs w:val="20"/>
                <w:color w:val="auto"/>
              </w:rPr>
            </w:pPr>
            <w:r>
              <w:rPr>
                <w:rFonts w:ascii="Arial" w:cs="Arial" w:eastAsia="Arial" w:hAnsi="Arial"/>
                <w:sz w:val="13"/>
                <w:szCs w:val="13"/>
                <w:color w:val="auto"/>
              </w:rPr>
              <w:t>Professional services</w:t>
            </w:r>
          </w:p>
        </w:tc>
        <w:tc>
          <w:tcPr>
            <w:tcW w:w="7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1,696</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2,045</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(349 )</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-17.07 %</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rPr>
                <w:sz w:val="20"/>
                <w:szCs w:val="20"/>
                <w:color w:val="auto"/>
              </w:rPr>
            </w:pPr>
            <w:r>
              <w:rPr>
                <w:rFonts w:ascii="Arial" w:cs="Arial" w:eastAsia="Arial" w:hAnsi="Arial"/>
                <w:sz w:val="13"/>
                <w:szCs w:val="13"/>
                <w:color w:val="auto"/>
              </w:rPr>
              <w:t>Computer software expense</w:t>
            </w:r>
          </w:p>
        </w:tc>
        <w:tc>
          <w:tcPr>
            <w:tcW w:w="7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3,408</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3,795</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(387 )</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-10.20 %</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rPr>
                <w:sz w:val="20"/>
                <w:szCs w:val="20"/>
                <w:color w:val="auto"/>
              </w:rPr>
            </w:pPr>
            <w:r>
              <w:rPr>
                <w:rFonts w:ascii="Arial" w:cs="Arial" w:eastAsia="Arial" w:hAnsi="Arial"/>
                <w:sz w:val="13"/>
                <w:szCs w:val="13"/>
                <w:color w:val="auto"/>
              </w:rPr>
              <w:t>Marketing and promotion</w:t>
            </w:r>
          </w:p>
        </w:tc>
        <w:tc>
          <w:tcPr>
            <w:tcW w:w="7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1,715</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1,458</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257</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17.63 %</w:t>
            </w:r>
          </w:p>
        </w:tc>
        <w:tc>
          <w:tcPr>
            <w:tcW w:w="0" w:type="dxa"/>
            <w:vAlign w:val="bottom"/>
          </w:tcPr>
          <w:p>
            <w:pPr>
              <w:spacing w:after="0"/>
              <w:rPr>
                <w:sz w:val="1"/>
                <w:szCs w:val="1"/>
                <w:color w:val="auto"/>
              </w:rPr>
            </w:pPr>
          </w:p>
        </w:tc>
      </w:tr>
      <w:tr>
        <w:trPr>
          <w:trHeight w:val="171"/>
        </w:trPr>
        <w:tc>
          <w:tcPr>
            <w:tcW w:w="4320" w:type="dxa"/>
            <w:vAlign w:val="bottom"/>
          </w:tcPr>
          <w:p>
            <w:pPr>
              <w:ind w:left="180"/>
              <w:spacing w:after="0"/>
              <w:rPr>
                <w:sz w:val="20"/>
                <w:szCs w:val="20"/>
                <w:color w:val="auto"/>
              </w:rPr>
            </w:pPr>
            <w:r>
              <w:rPr>
                <w:rFonts w:ascii="Arial" w:cs="Arial" w:eastAsia="Arial" w:hAnsi="Arial"/>
                <w:sz w:val="13"/>
                <w:szCs w:val="13"/>
                <w:color w:val="auto"/>
              </w:rPr>
              <w:t>Amortization of intangible</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320" w:type="dxa"/>
            <w:vAlign w:val="bottom"/>
          </w:tcPr>
          <w:p>
            <w:pPr>
              <w:ind w:left="280"/>
              <w:spacing w:after="0"/>
              <w:rPr>
                <w:sz w:val="20"/>
                <w:szCs w:val="20"/>
                <w:color w:val="auto"/>
              </w:rPr>
            </w:pPr>
            <w:r>
              <w:rPr>
                <w:rFonts w:ascii="Arial" w:cs="Arial" w:eastAsia="Arial" w:hAnsi="Arial"/>
                <w:sz w:val="13"/>
                <w:szCs w:val="13"/>
                <w:color w:val="auto"/>
              </w:rPr>
              <w:t>assets</w:t>
            </w:r>
          </w:p>
        </w:tc>
        <w:tc>
          <w:tcPr>
            <w:tcW w:w="78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1,720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1,998</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(278 )</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-13.91 %</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rPr>
                <w:sz w:val="20"/>
                <w:szCs w:val="20"/>
                <w:color w:val="auto"/>
              </w:rPr>
            </w:pPr>
            <w:r>
              <w:rPr>
                <w:rFonts w:ascii="Arial" w:cs="Arial" w:eastAsia="Arial" w:hAnsi="Arial"/>
                <w:sz w:val="13"/>
                <w:szCs w:val="13"/>
                <w:color w:val="auto"/>
              </w:rPr>
              <w:t>Telecommunications expense</w:t>
            </w:r>
          </w:p>
        </w:tc>
        <w:tc>
          <w:tcPr>
            <w:tcW w:w="7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503</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554</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(51 )</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-9.21 %</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rPr>
                <w:sz w:val="20"/>
                <w:szCs w:val="20"/>
                <w:color w:val="auto"/>
              </w:rPr>
            </w:pPr>
            <w:r>
              <w:rPr>
                <w:rFonts w:ascii="Arial" w:cs="Arial" w:eastAsia="Arial" w:hAnsi="Arial"/>
                <w:sz w:val="13"/>
                <w:szCs w:val="13"/>
                <w:color w:val="auto"/>
              </w:rPr>
              <w:t>Regulatory assessments</w:t>
            </w:r>
          </w:p>
        </w:tc>
        <w:tc>
          <w:tcPr>
            <w:tcW w:w="7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2,072</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1,389</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683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49.17 %</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rPr>
                <w:sz w:val="20"/>
                <w:szCs w:val="20"/>
                <w:color w:val="auto"/>
              </w:rPr>
            </w:pPr>
            <w:r>
              <w:rPr>
                <w:rFonts w:ascii="Arial" w:cs="Arial" w:eastAsia="Arial" w:hAnsi="Arial"/>
                <w:sz w:val="13"/>
                <w:szCs w:val="13"/>
                <w:color w:val="auto"/>
              </w:rPr>
              <w:t>Insurance</w:t>
            </w:r>
          </w:p>
        </w:tc>
        <w:tc>
          <w:tcPr>
            <w:tcW w:w="7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505</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488</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3.48 %</w:t>
            </w:r>
          </w:p>
        </w:tc>
        <w:tc>
          <w:tcPr>
            <w:tcW w:w="0" w:type="dxa"/>
            <w:vAlign w:val="bottom"/>
          </w:tcPr>
          <w:p>
            <w:pPr>
              <w:spacing w:after="0"/>
              <w:rPr>
                <w:sz w:val="1"/>
                <w:szCs w:val="1"/>
                <w:color w:val="auto"/>
              </w:rPr>
            </w:pPr>
          </w:p>
        </w:tc>
      </w:tr>
      <w:tr>
        <w:trPr>
          <w:trHeight w:val="185"/>
        </w:trPr>
        <w:tc>
          <w:tcPr>
            <w:tcW w:w="4320" w:type="dxa"/>
            <w:vAlign w:val="bottom"/>
          </w:tcPr>
          <w:p>
            <w:pPr>
              <w:ind w:left="180"/>
              <w:spacing w:after="0"/>
              <w:rPr>
                <w:sz w:val="20"/>
                <w:szCs w:val="20"/>
                <w:color w:val="auto"/>
              </w:rPr>
            </w:pPr>
            <w:r>
              <w:rPr>
                <w:rFonts w:ascii="Arial" w:cs="Arial" w:eastAsia="Arial" w:hAnsi="Arial"/>
                <w:sz w:val="13"/>
                <w:szCs w:val="13"/>
                <w:color w:val="auto"/>
              </w:rPr>
              <w:t>Loan expense</w:t>
            </w:r>
          </w:p>
        </w:tc>
        <w:tc>
          <w:tcPr>
            <w:tcW w:w="78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299</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368</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(69 )</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-18.75 %</w:t>
            </w:r>
          </w:p>
        </w:tc>
        <w:tc>
          <w:tcPr>
            <w:tcW w:w="0" w:type="dxa"/>
            <w:vAlign w:val="bottom"/>
          </w:tcPr>
          <w:p>
            <w:pPr>
              <w:spacing w:after="0"/>
              <w:rPr>
                <w:sz w:val="1"/>
                <w:szCs w:val="1"/>
                <w:color w:val="auto"/>
              </w:rPr>
            </w:pPr>
          </w:p>
        </w:tc>
      </w:tr>
      <w:tr>
        <w:trPr>
          <w:trHeight w:val="185"/>
        </w:trPr>
        <w:tc>
          <w:tcPr>
            <w:tcW w:w="4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Provision for unfunded loan commitments</w:t>
            </w: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500</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320" w:type="dxa"/>
            <w:vAlign w:val="bottom"/>
          </w:tcPr>
          <w:p>
            <w:pPr>
              <w:ind w:left="180"/>
              <w:spacing w:after="0"/>
              <w:rPr>
                <w:sz w:val="20"/>
                <w:szCs w:val="20"/>
                <w:color w:val="auto"/>
              </w:rPr>
            </w:pPr>
            <w:r>
              <w:rPr>
                <w:rFonts w:ascii="Arial" w:cs="Arial" w:eastAsia="Arial" w:hAnsi="Arial"/>
                <w:sz w:val="13"/>
                <w:szCs w:val="13"/>
                <w:color w:val="auto"/>
              </w:rPr>
              <w:t>Directors' expenses</w:t>
            </w:r>
          </w:p>
        </w:tc>
        <w:tc>
          <w:tcPr>
            <w:tcW w:w="78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289</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364</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(75 )</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-20.60 %</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rPr>
                <w:sz w:val="20"/>
                <w:szCs w:val="20"/>
                <w:color w:val="auto"/>
              </w:rPr>
            </w:pPr>
            <w:r>
              <w:rPr>
                <w:rFonts w:ascii="Arial" w:cs="Arial" w:eastAsia="Arial" w:hAnsi="Arial"/>
                <w:sz w:val="13"/>
                <w:szCs w:val="13"/>
                <w:color w:val="auto"/>
              </w:rPr>
              <w:t>Stationery and supplies</w:t>
            </w:r>
          </w:p>
        </w:tc>
        <w:tc>
          <w:tcPr>
            <w:tcW w:w="7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286</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234</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52</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22.22 %</w:t>
            </w: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rPr>
                <w:sz w:val="20"/>
                <w:szCs w:val="20"/>
                <w:color w:val="auto"/>
              </w:rPr>
            </w:pPr>
            <w:r>
              <w:rPr>
                <w:rFonts w:ascii="Arial" w:cs="Arial" w:eastAsia="Arial" w:hAnsi="Arial"/>
                <w:sz w:val="13"/>
                <w:szCs w:val="13"/>
                <w:color w:val="auto"/>
              </w:rPr>
              <w:t>Acquisition related expenses</w:t>
            </w:r>
          </w:p>
        </w:tc>
        <w:tc>
          <w:tcPr>
            <w:tcW w:w="78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5,638</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(5,638 )</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-100.00 %</w:t>
            </w:r>
          </w:p>
        </w:tc>
        <w:tc>
          <w:tcPr>
            <w:tcW w:w="0" w:type="dxa"/>
            <w:vAlign w:val="bottom"/>
          </w:tcPr>
          <w:p>
            <w:pPr>
              <w:spacing w:after="0"/>
              <w:rPr>
                <w:sz w:val="1"/>
                <w:szCs w:val="1"/>
                <w:color w:val="auto"/>
              </w:rPr>
            </w:pPr>
          </w:p>
        </w:tc>
      </w:tr>
      <w:tr>
        <w:trPr>
          <w:trHeight w:val="185"/>
        </w:trPr>
        <w:tc>
          <w:tcPr>
            <w:tcW w:w="4320" w:type="dxa"/>
            <w:vAlign w:val="bottom"/>
          </w:tcPr>
          <w:p>
            <w:pPr>
              <w:ind w:left="180"/>
              <w:spacing w:after="0"/>
              <w:rPr>
                <w:sz w:val="20"/>
                <w:szCs w:val="20"/>
                <w:color w:val="auto"/>
              </w:rPr>
            </w:pPr>
            <w:r>
              <w:rPr>
                <w:rFonts w:ascii="Arial" w:cs="Arial" w:eastAsia="Arial" w:hAnsi="Arial"/>
                <w:sz w:val="13"/>
                <w:szCs w:val="13"/>
                <w:color w:val="auto"/>
              </w:rPr>
              <w:t>Other</w:t>
            </w:r>
          </w:p>
        </w:tc>
        <w:tc>
          <w:tcPr>
            <w:tcW w:w="78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1,191</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1,680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(489 )</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-29.11 %</w:t>
            </w:r>
          </w:p>
        </w:tc>
        <w:tc>
          <w:tcPr>
            <w:tcW w:w="0" w:type="dxa"/>
            <w:vAlign w:val="bottom"/>
          </w:tcPr>
          <w:p>
            <w:pPr>
              <w:spacing w:after="0"/>
              <w:rPr>
                <w:sz w:val="1"/>
                <w:szCs w:val="1"/>
                <w:color w:val="auto"/>
              </w:rPr>
            </w:pPr>
          </w:p>
        </w:tc>
      </w:tr>
      <w:tr>
        <w:trPr>
          <w:trHeight w:val="185"/>
        </w:trPr>
        <w:tc>
          <w:tcPr>
            <w:tcW w:w="4320" w:type="dxa"/>
            <w:vAlign w:val="bottom"/>
          </w:tcPr>
          <w:p>
            <w:pPr>
              <w:ind w:left="340"/>
              <w:spacing w:after="0"/>
              <w:rPr>
                <w:sz w:val="20"/>
                <w:szCs w:val="20"/>
                <w:color w:val="auto"/>
              </w:rPr>
            </w:pPr>
            <w:r>
              <w:rPr>
                <w:rFonts w:ascii="Arial" w:cs="Arial" w:eastAsia="Arial" w:hAnsi="Arial"/>
                <w:sz w:val="13"/>
                <w:szCs w:val="13"/>
                <w:color w:val="auto"/>
              </w:rPr>
              <w:t>Total noninterest expense</w:t>
            </w:r>
          </w:p>
        </w:tc>
        <w:tc>
          <w:tcPr>
            <w:tcW w:w="780" w:type="dxa"/>
            <w:vAlign w:val="bottom"/>
          </w:tcPr>
          <w:p>
            <w:pPr>
              <w:jc w:val="right"/>
              <w:ind w:right="63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54,881</w:t>
            </w:r>
          </w:p>
        </w:tc>
        <w:tc>
          <w:tcPr>
            <w:tcW w:w="220" w:type="dxa"/>
            <w:vAlign w:val="bottom"/>
          </w:tcPr>
          <w:p>
            <w:pPr>
              <w:spacing w:after="0"/>
              <w:rPr>
                <w:sz w:val="16"/>
                <w:szCs w:val="16"/>
                <w:color w:val="auto"/>
              </w:rPr>
            </w:pPr>
          </w:p>
        </w:tc>
        <w:tc>
          <w:tcPr>
            <w:tcW w:w="840" w:type="dxa"/>
            <w:vAlign w:val="bottom"/>
          </w:tcPr>
          <w:p>
            <w:pPr>
              <w:jc w:val="right"/>
              <w:ind w:right="674"/>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58,238</w:t>
            </w:r>
          </w:p>
        </w:tc>
        <w:tc>
          <w:tcPr>
            <w:tcW w:w="240" w:type="dxa"/>
            <w:vAlign w:val="bottom"/>
          </w:tcPr>
          <w:p>
            <w:pPr>
              <w:spacing w:after="0"/>
              <w:rPr>
                <w:sz w:val="16"/>
                <w:szCs w:val="16"/>
                <w:color w:val="auto"/>
              </w:rPr>
            </w:pPr>
          </w:p>
        </w:tc>
        <w:tc>
          <w:tcPr>
            <w:tcW w:w="540" w:type="dxa"/>
            <w:vAlign w:val="bottom"/>
          </w:tcPr>
          <w:p>
            <w:pPr>
              <w:jc w:val="right"/>
              <w:ind w:right="394"/>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(3,357 )</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-5.76 %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Noninterest expense to average</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assets</w:t>
            </w:r>
          </w:p>
        </w:tc>
        <w:tc>
          <w:tcPr>
            <w:tcW w:w="7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1.36 %</w:t>
            </w:r>
          </w:p>
        </w:tc>
        <w:tc>
          <w:tcPr>
            <w:tcW w:w="8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1.36 %</w:t>
            </w:r>
          </w:p>
        </w:tc>
        <w:tc>
          <w:tcPr>
            <w:tcW w:w="5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20" w:type="dxa"/>
            <w:vAlign w:val="bottom"/>
          </w:tcPr>
          <w:p>
            <w:pPr>
              <w:ind w:left="180"/>
              <w:spacing w:after="0"/>
              <w:rPr>
                <w:sz w:val="20"/>
                <w:szCs w:val="20"/>
                <w:color w:val="auto"/>
              </w:rPr>
            </w:pPr>
            <w:r>
              <w:rPr>
                <w:rFonts w:ascii="Arial" w:cs="Arial" w:eastAsia="Arial" w:hAnsi="Arial"/>
                <w:sz w:val="13"/>
                <w:szCs w:val="13"/>
                <w:color w:val="auto"/>
              </w:rPr>
              <w:t>Efficiency ratio (1)</w:t>
            </w:r>
          </w:p>
        </w:tc>
        <w:tc>
          <w:tcPr>
            <w:tcW w:w="7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39.50 %</w:t>
            </w:r>
          </w:p>
        </w:tc>
        <w:tc>
          <w:tcPr>
            <w:tcW w:w="84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46.93 %</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(1)Noninterest expense divided by net interest income before provision for credit losses plus noninterest income.</w:t>
      </w:r>
    </w:p>
    <w:p>
      <w:pPr>
        <w:spacing w:after="0" w:line="175" w:lineRule="exact"/>
        <w:rPr>
          <w:sz w:val="20"/>
          <w:szCs w:val="20"/>
          <w:color w:val="auto"/>
        </w:rPr>
      </w:pPr>
    </w:p>
    <w:p>
      <w:pPr>
        <w:ind w:right="220" w:firstLine="432"/>
        <w:spacing w:after="0" w:line="322" w:lineRule="auto"/>
        <w:rPr>
          <w:sz w:val="20"/>
          <w:szCs w:val="20"/>
          <w:color w:val="auto"/>
        </w:rPr>
      </w:pPr>
      <w:r>
        <w:rPr>
          <w:rFonts w:ascii="Arial" w:cs="Arial" w:eastAsia="Arial" w:hAnsi="Arial"/>
          <w:sz w:val="14"/>
          <w:szCs w:val="14"/>
          <w:color w:val="auto"/>
        </w:rPr>
        <w:t>Our ability to control noninterest expenses in relation to asset growth can be measured in terms of total noninterest expenses as a percentage of average assets. Noninterest expense as a percentage of average assets was 1.36% for both the first quarter of 2023 and the first quarter of 2022.</w:t>
      </w:r>
    </w:p>
    <w:p>
      <w:pPr>
        <w:spacing w:after="0" w:line="108" w:lineRule="exact"/>
        <w:rPr>
          <w:sz w:val="20"/>
          <w:szCs w:val="20"/>
          <w:color w:val="auto"/>
        </w:rPr>
      </w:pPr>
    </w:p>
    <w:p>
      <w:pPr>
        <w:ind w:right="180" w:firstLine="432"/>
        <w:spacing w:after="0"/>
        <w:rPr>
          <w:sz w:val="20"/>
          <w:szCs w:val="20"/>
          <w:color w:val="auto"/>
        </w:rPr>
      </w:pPr>
      <w:r>
        <w:rPr>
          <w:rFonts w:ascii="Arial" w:cs="Arial" w:eastAsia="Arial" w:hAnsi="Arial"/>
          <w:sz w:val="16"/>
          <w:szCs w:val="16"/>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for the first quarter of 2023 was 39.50%, compared to 46.93% for the first quarter of 2022. If acquisition expense is excluded, the efficiency ratio was 42.38% for the first quarter of 2022.</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First Quarter of 2023 Compared to the First Quarter of 2022</w:t>
      </w:r>
    </w:p>
    <w:p>
      <w:pPr>
        <w:spacing w:after="0" w:line="158" w:lineRule="exact"/>
        <w:rPr>
          <w:sz w:val="20"/>
          <w:szCs w:val="20"/>
          <w:color w:val="auto"/>
        </w:rPr>
      </w:pPr>
    </w:p>
    <w:p>
      <w:pPr>
        <w:ind w:right="80" w:firstLine="432"/>
        <w:spacing w:after="0" w:line="239" w:lineRule="auto"/>
        <w:rPr>
          <w:sz w:val="20"/>
          <w:szCs w:val="20"/>
          <w:color w:val="auto"/>
        </w:rPr>
      </w:pPr>
      <w:r>
        <w:rPr>
          <w:rFonts w:ascii="Arial" w:cs="Arial" w:eastAsia="Arial" w:hAnsi="Arial"/>
          <w:sz w:val="16"/>
          <w:szCs w:val="16"/>
          <w:color w:val="auto"/>
        </w:rPr>
        <w:t>Noninterest expense of $54.9 million for the first quarter of 2023 was $3.4 million, or 5.76%, lower than the first quarter of 2022. The first quarter of 2023 included $500,000 in provision for unfunded commitments. Acquisition expense related to the merger of Suncrest Bank was $5.6 million for the first quarter of 2022. The year-over-year increase of $2.6 million in salaries and employee benefits, included a $637,000 increase in expense from the impact of lower loan origination deferrals during the first quarter of 2023. Regulatory expense increased by $683,000, primarily due to the FDIC's two basis point increase in its deposit insurance assessment rate that became effective for the first quarter of 2023.</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60" w:lineRule="exact"/>
        <w:rPr>
          <w:sz w:val="20"/>
          <w:szCs w:val="20"/>
          <w:color w:val="auto"/>
        </w:rPr>
      </w:pPr>
    </w:p>
    <w:p>
      <w:pPr>
        <w:ind w:right="80" w:firstLine="432"/>
        <w:spacing w:after="0" w:line="243" w:lineRule="auto"/>
        <w:rPr>
          <w:sz w:val="20"/>
          <w:szCs w:val="20"/>
          <w:color w:val="auto"/>
        </w:rPr>
      </w:pPr>
      <w:r>
        <w:rPr>
          <w:rFonts w:ascii="Arial" w:cs="Arial" w:eastAsia="Arial" w:hAnsi="Arial"/>
          <w:sz w:val="16"/>
          <w:szCs w:val="16"/>
          <w:color w:val="auto"/>
        </w:rPr>
        <w:t>The Company’s effective tax rate for the three months ended March 31, 2023 was 28.20%, compared to 28.10% for the three months ended March 31, 2022, respectively. Our estimated annual effective tax rate varies depending upon the level of tax-advantaged income as well as available tax credits.</w:t>
      </w:r>
    </w:p>
    <w:p>
      <w:pPr>
        <w:spacing w:after="0" w:line="161" w:lineRule="exact"/>
        <w:rPr>
          <w:sz w:val="20"/>
          <w:szCs w:val="20"/>
          <w:color w:val="auto"/>
        </w:rPr>
      </w:pPr>
    </w:p>
    <w:p>
      <w:pPr>
        <w:ind w:right="80" w:firstLine="432"/>
        <w:spacing w:after="0" w:line="252" w:lineRule="auto"/>
        <w:rPr>
          <w:sz w:val="20"/>
          <w:szCs w:val="20"/>
          <w:color w:val="auto"/>
        </w:rPr>
      </w:pPr>
      <w:r>
        <w:rPr>
          <w:rFonts w:ascii="Arial" w:cs="Arial" w:eastAsia="Arial" w:hAnsi="Arial"/>
          <w:sz w:val="16"/>
          <w:szCs w:val="16"/>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ectPr>
          <w:pgSz w:w="11900" w:h="16840" w:orient="portrait"/>
          <w:cols w:equalWidth="0" w:num="1">
            <w:col w:w="10600"/>
          </w:cols>
          <w:pgMar w:left="660" w:top="782" w:right="640" w:bottom="1440" w:gutter="0" w:footer="0" w:header="0"/>
        </w:sectPr>
      </w:pPr>
    </w:p>
    <w:bookmarkStart w:id="45" w:name="page46"/>
    <w:bookmarkEnd w:id="45"/>
    <w:p>
      <w:pPr>
        <w:jc w:val="center"/>
        <w:ind w:right="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ANALYSIS OF FINANCIAL CONDITION</w:t>
      </w:r>
    </w:p>
    <w:p>
      <w:pPr>
        <w:spacing w:after="0" w:line="184" w:lineRule="exact"/>
        <w:rPr>
          <w:sz w:val="20"/>
          <w:szCs w:val="20"/>
          <w:color w:val="auto"/>
        </w:rPr>
      </w:pPr>
    </w:p>
    <w:p>
      <w:pPr>
        <w:ind w:right="180" w:firstLine="432"/>
        <w:spacing w:after="0"/>
        <w:rPr>
          <w:sz w:val="20"/>
          <w:szCs w:val="20"/>
          <w:color w:val="auto"/>
        </w:rPr>
      </w:pPr>
      <w:r>
        <w:rPr>
          <w:rFonts w:ascii="Arial" w:cs="Arial" w:eastAsia="Arial" w:hAnsi="Arial"/>
          <w:sz w:val="16"/>
          <w:szCs w:val="16"/>
          <w:color w:val="auto"/>
        </w:rPr>
        <w:t>Total assets of $16.27 billion at March 31, 2023 decreased by $202.5 million, or 1.23%, from total assets of $16.48 billion at December 31, 2022. Interest-earning assets of $14.80 billion at March 31, 2023, decreased by $172.8 million, or 1.15%, when compared with $14.97 billion at December 31, 2022. The decrease in interest-earning assets was primarily due to a $136.9 million decrease in total loans and a $69.0 million decrease in investment securities.</w:t>
      </w:r>
    </w:p>
    <w:p>
      <w:pPr>
        <w:spacing w:after="0" w:line="164" w:lineRule="exact"/>
        <w:rPr>
          <w:sz w:val="20"/>
          <w:szCs w:val="20"/>
          <w:color w:val="auto"/>
        </w:rPr>
      </w:pPr>
    </w:p>
    <w:p>
      <w:pPr>
        <w:ind w:right="120" w:firstLine="432"/>
        <w:spacing w:after="0" w:line="237" w:lineRule="auto"/>
        <w:rPr>
          <w:sz w:val="20"/>
          <w:szCs w:val="20"/>
          <w:color w:val="auto"/>
        </w:rPr>
      </w:pPr>
      <w:r>
        <w:rPr>
          <w:rFonts w:ascii="Arial" w:cs="Arial" w:eastAsia="Arial" w:hAnsi="Arial"/>
          <w:sz w:val="16"/>
          <w:szCs w:val="16"/>
          <w:color w:val="auto"/>
        </w:rPr>
        <w:t>Total liabilities were $14.28 billion at March 31, 2023, a decrease of $243.8 million, or 1.68%, from total liabilities of $14.53 billion at December 31, 2022. Total deposits declined by $564.4 million, or 4.40%. Higher interest rates that have resulted from the Federal Reserve’s significant increase in the federal funds rate over the last year have continued to impact deposit levels, including $370 million of funds on deposit at the end of 2022 that were transferred from the Bank’s balance sheet to Citizens Trust for investment in higher yielding securities such as treasury notes. Short -term borrowings from the FHLB increased by $410.0 million from December 31, 2022. Total equity increased $41.3 million, or 2.12%, to $ 1.99 billion at March 31, 2023, compared to total equity of $1.95 billion at December 31, 2022. Increases to equity included $59.3 million in net earnings and a $28.7 million increase in other comprehensive income from the tax effected impact of the increase in market value of available-for-sale securities. Decreases included $28.0 million in cash dividends. During the first quarter of 2023, we repurchased, under our 10b5-1 stock repurchase plan, 791,800 shares of common stock, at an average repurchase price of $23.43, totaling $18.5 million. The 10b5-1 plan expired on March 2, 2023.</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Securities</w:t>
      </w:r>
    </w:p>
    <w:p>
      <w:pPr>
        <w:spacing w:after="0" w:line="184" w:lineRule="exact"/>
        <w:rPr>
          <w:sz w:val="20"/>
          <w:szCs w:val="20"/>
          <w:color w:val="auto"/>
        </w:rPr>
      </w:pPr>
    </w:p>
    <w:p>
      <w:pPr>
        <w:ind w:right="120" w:firstLine="432"/>
        <w:spacing w:after="0" w:line="237" w:lineRule="auto"/>
        <w:rPr>
          <w:sz w:val="20"/>
          <w:szCs w:val="20"/>
          <w:color w:val="auto"/>
        </w:rPr>
      </w:pPr>
      <w:r>
        <w:rPr>
          <w:rFonts w:ascii="Arial" w:cs="Arial" w:eastAsia="Arial" w:hAnsi="Arial"/>
          <w:sz w:val="16"/>
          <w:szCs w:val="16"/>
          <w:color w:val="auto"/>
        </w:rPr>
        <w:t>The Company maintains a portfolio of investment securities to provide interest income and to serve as a source of liquidity for its ongoing operations. At March 31, 2023, total investment securities were 5.74 billion. This represented a decrease of $69.0 million, or 1.19%, from $5.81 billion at December 31, 2022. The decrease in investment securities was due to cash outflow from the portfolio in the first quarter of 2023, offset by an increase in fair value of AFS securities due to a decline in interest rates from December 31, 2022 to March 31, 2023. At March 31, 2023, investment securities HTM totaled $2.54 billion. At March 31, 2023, our AFS investment securities totaled $3.20 billion, inclusive of a pre-tax net unrealized loss of $459.7 million, compared to $500.1 million at December 31, 2022. The after-tax unrealized loss reported in AOCI on AFS investment securities at March 31, 2023 was $323.8 million. The changes in the net unrealized holding loss resulted primarily from fluctuations in market interest rates. For the three months ended March 31, 2023 and 2022, repayments/maturities of investment securities totaled $107.0 million and $319.9 million, respectively. There were no investment securities sold during the first quarter of 2023 and 2022.</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tables below set forth our investment securities AFS and HTM portfolio by type for the dates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8"/>
              </w:rPr>
              <w:t>March 31, 2023</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82"/>
              <w:spacing w:after="0" w:line="180" w:lineRule="exact"/>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60"/>
              <w:spacing w:after="0" w:line="180" w:lineRule="exact"/>
              <w:rPr>
                <w:sz w:val="20"/>
                <w:szCs w:val="20"/>
                <w:color w:val="auto"/>
              </w:rPr>
            </w:pPr>
            <w:r>
              <w:rPr>
                <w:rFonts w:ascii="Arial" w:cs="Arial" w:eastAsia="Arial" w:hAnsi="Arial"/>
                <w:sz w:val="16"/>
                <w:szCs w:val="16"/>
                <w:b w:val="1"/>
                <w:bCs w:val="1"/>
                <w:color w:val="auto"/>
                <w:w w:val="95"/>
              </w:rPr>
              <w:t>Gross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22"/>
              <w:spacing w:after="0" w:line="180" w:lineRule="exact"/>
              <w:rPr>
                <w:sz w:val="20"/>
                <w:szCs w:val="20"/>
                <w:color w:val="auto"/>
              </w:rPr>
            </w:pPr>
            <w:r>
              <w:rPr>
                <w:rFonts w:ascii="Arial" w:cs="Arial" w:eastAsia="Arial" w:hAnsi="Arial"/>
                <w:sz w:val="16"/>
                <w:szCs w:val="16"/>
                <w:b w:val="1"/>
                <w:bCs w:val="1"/>
                <w:color w:val="auto"/>
                <w:w w:val="99"/>
              </w:rPr>
              <w:t>Amortized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82"/>
              <w:spacing w:after="0" w:line="180" w:lineRule="exact"/>
              <w:rPr>
                <w:sz w:val="20"/>
                <w:szCs w:val="20"/>
                <w:color w:val="auto"/>
              </w:rPr>
            </w:pPr>
            <w:r>
              <w:rPr>
                <w:rFonts w:ascii="Arial" w:cs="Arial" w:eastAsia="Arial" w:hAnsi="Arial"/>
                <w:sz w:val="16"/>
                <w:szCs w:val="16"/>
                <w:b w:val="1"/>
                <w:bCs w:val="1"/>
                <w:color w:val="auto"/>
                <w:w w:val="96"/>
              </w:rPr>
              <w:t>Unrealized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40"/>
              <w:spacing w:after="0" w:line="180" w:lineRule="exact"/>
              <w:rPr>
                <w:sz w:val="20"/>
                <w:szCs w:val="20"/>
                <w:color w:val="auto"/>
              </w:rPr>
            </w:pPr>
            <w:r>
              <w:rPr>
                <w:rFonts w:ascii="Arial" w:cs="Arial" w:eastAsia="Arial" w:hAnsi="Arial"/>
                <w:sz w:val="16"/>
                <w:szCs w:val="16"/>
                <w:b w:val="1"/>
                <w:bCs w:val="1"/>
                <w:color w:val="auto"/>
                <w:w w:val="96"/>
              </w:rPr>
              <w:t>Unrealized</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6"/>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22"/>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Holding Gain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6"/>
              </w:rPr>
              <w:t>Holding Loss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Total Percent</w:t>
            </w:r>
          </w:p>
        </w:tc>
      </w:t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6"/>
                <w:szCs w:val="16"/>
                <w:i w:val="1"/>
                <w:iCs w:val="1"/>
                <w:color w:val="auto"/>
                <w:w w:val="97"/>
              </w:rPr>
              <w:t>(Dollars in thousands)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3,109,387</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(361,563 )</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2,747,865</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85.75%</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526,922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(97,500 )</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429,422</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13.39%</w:t>
            </w:r>
          </w:p>
        </w:tc>
        <w:tc>
          <w:tcPr>
            <w:tcW w:w="60" w:type="dxa"/>
            <w:vAlign w:val="bottom"/>
          </w:tcPr>
          <w:p>
            <w:pPr>
              <w:spacing w:after="0"/>
              <w:rPr>
                <w:sz w:val="17"/>
                <w:szCs w:val="17"/>
                <w:color w:val="auto"/>
              </w:rPr>
            </w:pPr>
          </w:p>
        </w:tc>
      </w:tr>
      <w:tr>
        <w:trPr>
          <w:trHeight w:val="226"/>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9"/>
                <w:szCs w:val="19"/>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26,796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(718 )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26,158</w:t>
            </w: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0.82 %</w:t>
            </w:r>
          </w:p>
        </w:tc>
      </w:tr>
      <w:tr>
        <w:trPr>
          <w:trHeight w:val="205"/>
        </w:trPr>
        <w:tc>
          <w:tcPr>
            <w:tcW w:w="370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14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1,079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1,079</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0.04 %</w:t>
            </w:r>
          </w:p>
        </w:tc>
      </w:tr>
      <w:tr>
        <w:trPr>
          <w:trHeight w:val="205"/>
        </w:trPr>
        <w:tc>
          <w:tcPr>
            <w:tcW w:w="3700" w:type="dxa"/>
            <w:vAlign w:val="bottom"/>
          </w:tcPr>
          <w:p>
            <w:pPr>
              <w:ind w:left="34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3,664,184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(459,781 )</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3,204,524</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Investment securities held-to-maturity:</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543,318</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(100,496 )</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442,822</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21.42%</w:t>
            </w: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697,766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(97,818 )</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599,948</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27.51%</w:t>
            </w:r>
          </w:p>
        </w:tc>
        <w:tc>
          <w:tcPr>
            <w:tcW w:w="60" w:type="dxa"/>
            <w:vAlign w:val="bottom"/>
          </w:tcPr>
          <w:p>
            <w:pPr>
              <w:spacing w:after="0"/>
              <w:rPr>
                <w:sz w:val="17"/>
                <w:szCs w:val="17"/>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822,599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(134,774 )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687,825</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32.44%</w:t>
            </w: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472,296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(36,727 )</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437,974</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18.63%</w:t>
            </w:r>
          </w:p>
        </w:tc>
        <w:tc>
          <w:tcPr>
            <w:tcW w:w="60" w:type="dxa"/>
            <w:vAlign w:val="bottom"/>
          </w:tcPr>
          <w:p>
            <w:pPr>
              <w:spacing w:after="0"/>
              <w:rPr>
                <w:sz w:val="17"/>
                <w:szCs w:val="17"/>
                <w:color w:val="auto"/>
              </w:rPr>
            </w:pPr>
          </w:p>
        </w:tc>
      </w:tr>
      <w:tr>
        <w:trPr>
          <w:trHeight w:val="204"/>
        </w:trPr>
        <w:tc>
          <w:tcPr>
            <w:tcW w:w="3700" w:type="dxa"/>
            <w:vAlign w:val="bottom"/>
          </w:tcPr>
          <w:p>
            <w:pPr>
              <w:ind w:left="340"/>
              <w:spacing w:after="0"/>
              <w:rPr>
                <w:sz w:val="20"/>
                <w:szCs w:val="20"/>
                <w:color w:val="auto"/>
              </w:rPr>
            </w:pPr>
            <w:r>
              <w:rPr>
                <w:rFonts w:ascii="Arial" w:cs="Arial" w:eastAsia="Arial" w:hAnsi="Arial"/>
                <w:sz w:val="16"/>
                <w:szCs w:val="16"/>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2,535,979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2,405</w:t>
            </w:r>
          </w:p>
        </w:tc>
        <w:tc>
          <w:tcPr>
            <w:tcW w:w="30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(369,815 )</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2,168,569</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47</w:t>
      </w:r>
    </w:p>
    <w:p>
      <w:pPr>
        <w:sectPr>
          <w:pgSz w:w="11900" w:h="16840" w:orient="portrait"/>
          <w:cols w:equalWidth="0" w:num="1">
            <w:col w:w="10620"/>
          </w:cols>
          <w:pgMar w:left="660" w:top="782" w:right="62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7"/>
              </w:rPr>
              <w:t>December 31, 2022</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102"/>
              <w:spacing w:after="0" w:line="180" w:lineRule="exact"/>
              <w:rPr>
                <w:sz w:val="20"/>
                <w:szCs w:val="20"/>
                <w:color w:val="auto"/>
              </w:rPr>
            </w:pPr>
            <w:r>
              <w:rPr>
                <w:rFonts w:ascii="Arial" w:cs="Arial" w:eastAsia="Arial" w:hAnsi="Arial"/>
                <w:sz w:val="16"/>
                <w:szCs w:val="16"/>
                <w:b w:val="1"/>
                <w:bCs w:val="1"/>
                <w:color w:val="auto"/>
                <w:w w:val="95"/>
              </w:rPr>
              <w:t>Gross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40"/>
              <w:spacing w:after="0" w:line="180" w:lineRule="exact"/>
              <w:rPr>
                <w:sz w:val="20"/>
                <w:szCs w:val="20"/>
                <w:color w:val="auto"/>
              </w:rPr>
            </w:pPr>
            <w:r>
              <w:rPr>
                <w:rFonts w:ascii="Arial" w:cs="Arial" w:eastAsia="Arial" w:hAnsi="Arial"/>
                <w:sz w:val="16"/>
                <w:szCs w:val="16"/>
                <w:b w:val="1"/>
                <w:bCs w:val="1"/>
                <w:color w:val="auto"/>
                <w:w w:val="95"/>
              </w:rPr>
              <w:t>Gross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22"/>
              <w:spacing w:after="0" w:line="180" w:lineRule="exact"/>
              <w:rPr>
                <w:sz w:val="20"/>
                <w:szCs w:val="20"/>
                <w:color w:val="auto"/>
              </w:rPr>
            </w:pPr>
            <w:r>
              <w:rPr>
                <w:rFonts w:ascii="Arial" w:cs="Arial" w:eastAsia="Arial" w:hAnsi="Arial"/>
                <w:sz w:val="16"/>
                <w:szCs w:val="16"/>
                <w:b w:val="1"/>
                <w:bCs w:val="1"/>
                <w:color w:val="auto"/>
              </w:rPr>
              <w:t>Amortized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102"/>
              <w:spacing w:after="0" w:line="180" w:lineRule="exact"/>
              <w:rPr>
                <w:sz w:val="20"/>
                <w:szCs w:val="20"/>
                <w:color w:val="auto"/>
              </w:rPr>
            </w:pPr>
            <w:r>
              <w:rPr>
                <w:rFonts w:ascii="Arial" w:cs="Arial" w:eastAsia="Arial" w:hAnsi="Arial"/>
                <w:sz w:val="16"/>
                <w:szCs w:val="16"/>
                <w:b w:val="1"/>
                <w:bCs w:val="1"/>
                <w:color w:val="auto"/>
                <w:w w:val="98"/>
              </w:rPr>
              <w:t>Unrealized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60"/>
              <w:spacing w:after="0" w:line="180" w:lineRule="exact"/>
              <w:rPr>
                <w:sz w:val="20"/>
                <w:szCs w:val="20"/>
                <w:color w:val="auto"/>
              </w:rPr>
            </w:pPr>
            <w:r>
              <w:rPr>
                <w:rFonts w:ascii="Arial" w:cs="Arial" w:eastAsia="Arial" w:hAnsi="Arial"/>
                <w:sz w:val="16"/>
                <w:szCs w:val="16"/>
                <w:b w:val="1"/>
                <w:bCs w:val="1"/>
                <w:color w:val="auto"/>
                <w:w w:val="96"/>
              </w:rPr>
              <w:t>Unrealized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460"/>
              <w:spacing w:after="0" w:line="180" w:lineRule="exact"/>
              <w:rPr>
                <w:sz w:val="20"/>
                <w:szCs w:val="20"/>
                <w:color w:val="auto"/>
              </w:rPr>
            </w:pPr>
            <w:r>
              <w:rPr>
                <w:rFonts w:ascii="Arial" w:cs="Arial" w:eastAsia="Arial" w:hAnsi="Arial"/>
                <w:sz w:val="16"/>
                <w:szCs w:val="16"/>
                <w:b w:val="1"/>
                <w:bCs w:val="1"/>
                <w:color w:val="auto"/>
              </w:rPr>
              <w:t>Total</w:t>
            </w:r>
          </w:p>
        </w:tc>
      </w:tr>
      <w:tr>
        <w:trPr>
          <w:trHeight w:val="206"/>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42"/>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Holding Gain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8"/>
              </w:rPr>
              <w:t>Holding Loss</w:t>
            </w:r>
          </w:p>
        </w:tc>
        <w:tc>
          <w:tcPr>
            <w:tcW w:w="14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Percent</w:t>
            </w:r>
          </w:p>
        </w:tc>
      </w:t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6"/>
                <w:szCs w:val="16"/>
                <w:i w:val="1"/>
                <w:iCs w:val="1"/>
                <w:color w:val="auto"/>
                <w:w w:val="96"/>
              </w:rPr>
              <w:t>(Dollars in thousands)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3,192,151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(403,049 )</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2,789,141</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85.68%</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535,269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(95,966 )</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439,303</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w:t>
            </w:r>
          </w:p>
        </w:tc>
        <w:tc>
          <w:tcPr>
            <w:tcW w:w="60" w:type="dxa"/>
            <w:vAlign w:val="bottom"/>
          </w:tcPr>
          <w:p>
            <w:pPr>
              <w:spacing w:after="0"/>
              <w:rPr>
                <w:sz w:val="17"/>
                <w:szCs w:val="17"/>
                <w:color w:val="auto"/>
              </w:rPr>
            </w:pPr>
          </w:p>
        </w:tc>
      </w:tr>
      <w:tr>
        <w:trPr>
          <w:trHeight w:val="202"/>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7"/>
                <w:szCs w:val="17"/>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26,797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(1,177 )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25,687</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0.79 %</w:t>
            </w:r>
          </w:p>
        </w:tc>
      </w:tr>
      <w:tr>
        <w:trPr>
          <w:trHeight w:val="205"/>
        </w:trPr>
        <w:tc>
          <w:tcPr>
            <w:tcW w:w="370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14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1,080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1,080</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0.03 %</w:t>
            </w:r>
          </w:p>
        </w:tc>
      </w:tr>
      <w:tr>
        <w:trPr>
          <w:trHeight w:val="205"/>
        </w:trPr>
        <w:tc>
          <w:tcPr>
            <w:tcW w:w="3700" w:type="dxa"/>
            <w:vAlign w:val="bottom"/>
          </w:tcPr>
          <w:p>
            <w:pPr>
              <w:ind w:left="34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3,755,297</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(500,192 )</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3,255,211</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Investment securities held-to-maturity:</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548,771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(114,343 )</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434,428</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21.48%</w:t>
            </w: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706,796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(105,867 )</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600,929</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27.67%</w:t>
            </w:r>
          </w:p>
        </w:tc>
        <w:tc>
          <w:tcPr>
            <w:tcW w:w="60" w:type="dxa"/>
            <w:vAlign w:val="bottom"/>
          </w:tcPr>
          <w:p>
            <w:pPr>
              <w:spacing w:after="0"/>
              <w:rPr>
                <w:sz w:val="17"/>
                <w:szCs w:val="17"/>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827,346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(131,730 )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695,616</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32.39%</w:t>
            </w: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471,388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(47,687 )</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424,614</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18.46%</w:t>
            </w:r>
          </w:p>
        </w:tc>
        <w:tc>
          <w:tcPr>
            <w:tcW w:w="60" w:type="dxa"/>
            <w:vAlign w:val="bottom"/>
          </w:tcPr>
          <w:p>
            <w:pPr>
              <w:spacing w:after="0"/>
              <w:rPr>
                <w:sz w:val="17"/>
                <w:szCs w:val="17"/>
                <w:color w:val="auto"/>
              </w:rPr>
            </w:pPr>
          </w:p>
        </w:tc>
      </w:tr>
      <w:tr>
        <w:trPr>
          <w:trHeight w:val="204"/>
        </w:trPr>
        <w:tc>
          <w:tcPr>
            <w:tcW w:w="3700" w:type="dxa"/>
            <w:vAlign w:val="bottom"/>
          </w:tcPr>
          <w:p>
            <w:pPr>
              <w:ind w:left="340"/>
              <w:spacing w:after="0"/>
              <w:rPr>
                <w:sz w:val="20"/>
                <w:szCs w:val="20"/>
                <w:color w:val="auto"/>
              </w:rPr>
            </w:pPr>
            <w:r>
              <w:rPr>
                <w:rFonts w:ascii="Arial" w:cs="Arial" w:eastAsia="Arial" w:hAnsi="Arial"/>
                <w:sz w:val="16"/>
                <w:szCs w:val="16"/>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2,554,301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913</w:t>
            </w:r>
          </w:p>
        </w:tc>
        <w:tc>
          <w:tcPr>
            <w:tcW w:w="28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(399,627 )</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2,155,587</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jc w:val="both"/>
        <w:ind w:right="60" w:firstLine="432"/>
        <w:spacing w:after="0" w:line="243" w:lineRule="auto"/>
        <w:rPr>
          <w:sz w:val="20"/>
          <w:szCs w:val="20"/>
          <w:color w:val="auto"/>
        </w:rPr>
      </w:pPr>
      <w:r>
        <w:rPr>
          <w:rFonts w:ascii="Arial" w:cs="Arial" w:eastAsia="Arial" w:hAnsi="Arial"/>
          <w:sz w:val="16"/>
          <w:szCs w:val="16"/>
          <w:color w:val="auto"/>
        </w:rPr>
        <w:t>As of March 31, 2023, approximately $35.0 million in U.S. government agency bonds are callable. The Agency CMO/REMIC securities are backed by agency -pooled collateral. Municipal bonds, which represented approximately 6% of the total investment portfolio, are predominately AA or higher rated securities.</w:t>
      </w:r>
    </w:p>
    <w:p>
      <w:pPr>
        <w:spacing w:after="0" w:line="16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6"/>
          <w:szCs w:val="16"/>
          <w:color w:val="auto"/>
        </w:rPr>
        <w:t>The following table presents the Company’s available-for-sale and held-to-maturity investment securities, by investment category, in an unrealized loss position for which an allowance for credit losses has not been recorded as of March 31, 2023 and December 31,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12 Months or Longer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4"/>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9"/>
              </w:rPr>
              <w:t>Holding</w:t>
            </w:r>
          </w:p>
        </w:tc>
        <w:tc>
          <w:tcPr>
            <w:tcW w:w="80" w:type="dxa"/>
            <w:vAlign w:val="bottom"/>
          </w:tcPr>
          <w:p>
            <w:pPr>
              <w:spacing w:after="0"/>
              <w:rPr>
                <w:sz w:val="14"/>
                <w:szCs w:val="14"/>
                <w:color w:val="auto"/>
              </w:rPr>
            </w:pP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7"/>
                <w:szCs w:val="17"/>
                <w:color w:val="auto"/>
              </w:rPr>
            </w:pP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753,978</w:t>
            </w:r>
          </w:p>
        </w:tc>
        <w:tc>
          <w:tcPr>
            <w:tcW w:w="12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(43,323 )</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1,992,196</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(318,240 )</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2,746,174</w:t>
            </w:r>
          </w:p>
        </w:tc>
        <w:tc>
          <w:tcPr>
            <w:tcW w:w="8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(361,563 )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6,062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(148 )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423,357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(97,352 )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429,419</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(97,500 )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(51 )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(667 )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(718 )</w:t>
            </w:r>
          </w:p>
        </w:tc>
      </w:tr>
      <w:tr>
        <w:trPr>
          <w:trHeight w:val="23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764,181</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(43,522 )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2,430,213</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(416,259 )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3,194,394</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(459,781 )</w:t>
            </w:r>
          </w:p>
        </w:tc>
      </w:tr>
      <w:tr>
        <w:trPr>
          <w:trHeight w:val="165"/>
        </w:trPr>
        <w:tc>
          <w:tcPr>
            <w:tcW w:w="334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r>
      <w:tr>
        <w:trPr>
          <w:trHeight w:val="31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23,225</w:t>
            </w:r>
          </w:p>
        </w:tc>
        <w:tc>
          <w:tcPr>
            <w:tcW w:w="120" w:type="dxa"/>
            <w:vAlign w:val="bottom"/>
            <w:shd w:val="clear" w:color="auto" w:fill="CFF0FC"/>
          </w:tcPr>
          <w:p>
            <w:pPr>
              <w:spacing w:after="0"/>
              <w:rPr>
                <w:sz w:val="24"/>
                <w:szCs w:val="24"/>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(579 )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419,597</w:t>
            </w:r>
          </w:p>
        </w:tc>
        <w:tc>
          <w:tcPr>
            <w:tcW w:w="100" w:type="dxa"/>
            <w:vAlign w:val="bottom"/>
            <w:shd w:val="clear" w:color="auto" w:fill="CFF0FC"/>
          </w:tcPr>
          <w:p>
            <w:pPr>
              <w:spacing w:after="0"/>
              <w:rPr>
                <w:sz w:val="24"/>
                <w:szCs w:val="24"/>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line="314" w:lineRule="exact"/>
              <w:rPr>
                <w:sz w:val="20"/>
                <w:szCs w:val="20"/>
                <w:color w:val="auto"/>
              </w:rPr>
            </w:pPr>
            <w:r>
              <w:rPr>
                <w:rFonts w:ascii="Arial" w:cs="Arial" w:eastAsia="Arial" w:hAnsi="Arial"/>
                <w:sz w:val="14"/>
                <w:szCs w:val="14"/>
                <w:color w:val="auto"/>
              </w:rPr>
              <w:t xml:space="preserve">(99,917 </w:t>
            </w:r>
            <w:r>
              <w:rPr>
                <w:rFonts w:ascii="Arial" w:cs="Arial" w:eastAsia="Arial" w:hAnsi="Arial"/>
                <w:sz w:val="28"/>
                <w:szCs w:val="28"/>
                <w:color w:val="auto"/>
                <w:vertAlign w:val="subscript"/>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442,822</w:t>
            </w:r>
          </w:p>
        </w:tc>
        <w:tc>
          <w:tcPr>
            <w:tcW w:w="80" w:type="dxa"/>
            <w:vAlign w:val="bottom"/>
            <w:shd w:val="clear" w:color="auto" w:fill="CFF0FC"/>
          </w:tcPr>
          <w:p>
            <w:pPr>
              <w:spacing w:after="0"/>
              <w:rPr>
                <w:sz w:val="24"/>
                <w:szCs w:val="24"/>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(100,496 )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128,307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(2,858 )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471,641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(94,960 )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599,948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(97,818 )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48,202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(2,033 )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639,623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(132,741 )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687,825</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(134,774 )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98,653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(2,271 )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220,735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(34,456 )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319,388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(36,727 )</w:t>
            </w:r>
          </w:p>
        </w:tc>
      </w:tr>
      <w:tr>
        <w:trPr>
          <w:trHeight w:val="21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298,387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(7,741 )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1,751,596</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(362,074 )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2,049,983</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(369,815 )</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48</w:t>
      </w:r>
    </w:p>
    <w:p>
      <w:pPr>
        <w:sectPr>
          <w:pgSz w:w="11900" w:h="16840" w:orient="portrait"/>
          <w:cols w:equalWidth="0" w:num="1">
            <w:col w:w="10620"/>
          </w:cols>
          <w:pgMar w:left="660" w:top="998" w:right="62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12 Months or Longer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Holding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Holding</w:t>
            </w: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r>
      <w:tr>
        <w:trPr>
          <w:trHeight w:val="186"/>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1,658,331</w:t>
            </w:r>
          </w:p>
        </w:tc>
        <w:tc>
          <w:tcPr>
            <w:tcW w:w="4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(187,842 )</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1,129,257</w:t>
            </w:r>
          </w:p>
        </w:tc>
        <w:tc>
          <w:tcPr>
            <w:tcW w:w="10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(215,207 )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2,787,588</w:t>
            </w:r>
          </w:p>
        </w:tc>
        <w:tc>
          <w:tcPr>
            <w:tcW w:w="8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(403,049 )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54,005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(4,796 )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385,295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(91,170 )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439,300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(95,966 )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24,507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(1,177 )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24,507</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(1,177 )</w:t>
            </w:r>
          </w:p>
        </w:tc>
      </w:tr>
      <w:tr>
        <w:trPr>
          <w:trHeight w:val="192"/>
        </w:trPr>
        <w:tc>
          <w:tcPr>
            <w:tcW w:w="3340" w:type="dxa"/>
            <w:vAlign w:val="bottom"/>
          </w:tcPr>
          <w:p>
            <w:pPr>
              <w:ind w:left="42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1,736,843</w:t>
            </w:r>
          </w:p>
        </w:tc>
        <w:tc>
          <w:tcPr>
            <w:tcW w:w="12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(193,815 )</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1,514,552</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(306,377 )</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3,251,395</w:t>
            </w:r>
          </w:p>
        </w:tc>
        <w:tc>
          <w:tcPr>
            <w:tcW w:w="8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(500,192 )</w:t>
            </w: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179,348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(39,866 )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255,080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(74,477 )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434,428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(114,343 )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188,480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(9,042 )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412,449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(96,825 )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600,929</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(105,867 )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376,540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(60,598 )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319,076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(71,132 )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695,616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(131,730 )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312,702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(35,656 )</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53,350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(12,031 )</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366,052</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(47,687 )</w:t>
            </w:r>
          </w:p>
        </w:tc>
      </w:tr>
      <w:tr>
        <w:trPr>
          <w:trHeight w:val="192"/>
        </w:trPr>
        <w:tc>
          <w:tcPr>
            <w:tcW w:w="3340" w:type="dxa"/>
            <w:vAlign w:val="bottom"/>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1,057,070</w:t>
            </w:r>
          </w:p>
        </w:tc>
        <w:tc>
          <w:tcPr>
            <w:tcW w:w="12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(145,162 )</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1,039,955</w:t>
            </w: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(254,465 )</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2,097,025</w:t>
            </w:r>
          </w:p>
        </w:tc>
        <w:tc>
          <w:tcPr>
            <w:tcW w:w="8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(399,627 )</w:t>
            </w: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jc w:val="both"/>
        <w:ind w:right="180" w:firstLine="432"/>
        <w:spacing w:after="0" w:line="243" w:lineRule="auto"/>
        <w:rPr>
          <w:sz w:val="20"/>
          <w:szCs w:val="20"/>
          <w:color w:val="auto"/>
        </w:rPr>
      </w:pPr>
      <w:r>
        <w:rPr>
          <w:rFonts w:ascii="Arial" w:cs="Arial" w:eastAsia="Arial" w:hAnsi="Arial"/>
          <w:sz w:val="16"/>
          <w:szCs w:val="16"/>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March 31, 2023 and December 31, 2022.</w:t>
      </w:r>
    </w:p>
    <w:p>
      <w:pPr>
        <w:spacing w:after="0" w:line="155" w:lineRule="exact"/>
        <w:rPr>
          <w:sz w:val="20"/>
          <w:szCs w:val="20"/>
          <w:color w:val="auto"/>
        </w:rPr>
      </w:pPr>
    </w:p>
    <w:p>
      <w:pPr>
        <w:ind w:right="480" w:firstLine="348"/>
        <w:spacing w:after="0" w:line="245" w:lineRule="auto"/>
        <w:rPr>
          <w:sz w:val="20"/>
          <w:szCs w:val="20"/>
          <w:color w:val="auto"/>
        </w:rPr>
      </w:pPr>
      <w:r>
        <w:rPr>
          <w:rFonts w:ascii="Arial" w:cs="Arial" w:eastAsia="Arial" w:hAnsi="Arial"/>
          <w:sz w:val="16"/>
          <w:szCs w:val="16"/>
          <w:color w:val="auto"/>
        </w:rPr>
        <w:t xml:space="preserve">Refer to Note 5 – </w:t>
      </w:r>
      <w:r>
        <w:rPr>
          <w:rFonts w:ascii="Arial" w:cs="Arial" w:eastAsia="Arial" w:hAnsi="Arial"/>
          <w:sz w:val="16"/>
          <w:szCs w:val="16"/>
          <w:i w:val="1"/>
          <w:iCs w:val="1"/>
          <w:color w:val="auto"/>
        </w:rPr>
        <w:t>Investment Securities</w:t>
      </w:r>
      <w:r>
        <w:rPr>
          <w:rFonts w:ascii="Arial" w:cs="Arial" w:eastAsia="Arial" w:hAnsi="Arial"/>
          <w:sz w:val="16"/>
          <w:szCs w:val="16"/>
          <w:color w:val="auto"/>
        </w:rPr>
        <w:t xml:space="preserve"> of the notes to the unaudited condensed consolidated financial statements of this report for additional information on our investment securities portfolio.</w:t>
      </w:r>
    </w:p>
    <w:p>
      <w:pPr>
        <w:jc w:val="center"/>
        <w:ind w:right="-19"/>
        <w:spacing w:after="0"/>
        <w:rPr>
          <w:sz w:val="20"/>
          <w:szCs w:val="20"/>
          <w:color w:val="auto"/>
        </w:rPr>
      </w:pPr>
      <w:r>
        <w:rPr>
          <w:rFonts w:ascii="Arial" w:cs="Arial" w:eastAsia="Arial" w:hAnsi="Arial"/>
          <w:sz w:val="16"/>
          <w:szCs w:val="16"/>
          <w:color w:val="auto"/>
        </w:rPr>
        <w:t>49</w:t>
      </w:r>
    </w:p>
    <w:p>
      <w:pPr>
        <w:sectPr>
          <w:pgSz w:w="11900" w:h="16840" w:orient="portrait"/>
          <w:cols w:equalWidth="0" w:num="1">
            <w:col w:w="10560"/>
          </w:cols>
          <w:pgMar w:left="660" w:top="817" w:right="680"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Loans</w:t>
      </w:r>
    </w:p>
    <w:p>
      <w:pPr>
        <w:spacing w:after="0" w:line="184" w:lineRule="exact"/>
        <w:rPr>
          <w:sz w:val="20"/>
          <w:szCs w:val="20"/>
          <w:color w:val="auto"/>
        </w:rPr>
      </w:pPr>
    </w:p>
    <w:p>
      <w:pPr>
        <w:ind w:right="60" w:firstLine="432"/>
        <w:spacing w:after="0" w:line="237" w:lineRule="auto"/>
        <w:rPr>
          <w:sz w:val="20"/>
          <w:szCs w:val="20"/>
          <w:color w:val="auto"/>
        </w:rPr>
      </w:pPr>
      <w:r>
        <w:rPr>
          <w:rFonts w:ascii="Arial" w:cs="Arial" w:eastAsia="Arial" w:hAnsi="Arial"/>
          <w:sz w:val="16"/>
          <w:szCs w:val="16"/>
          <w:color w:val="auto"/>
        </w:rPr>
        <w:t>Total loans and leases, at amortized cost, of $8.94 billion at March 31, 2023 decreased by $136.9 million, or 1.51%, from December 31, 2022. After adjusting for seasonality of dairy and livestock and PPP loans, our core loans declined by $6.5 million, or 0.07%, from the end of the fourth quarter. The $136.9 million decrease in total loans quarter-over-quarter included decreases of $127.2 million in dairy &amp; livestock loans, $50.5 million in commercial and industrial loans, $7.4 million in SBA loans, $4.3 million in construction loans, $3.7 million in SFR mortgage loans, $3.3 million in PPP loans, and $5.7 million in consumer and other loans, partially offset by an increase of $65.4 million in commercial real estate loans. The decline in dairy and livestock loans primarily relates to the seasonal peak in line utilization at the end of every calendar year, demonstrated by a decline in utilization from 78% at the end of 2022 to 68% at March 31, 2023. Likewise, the decline in commercial and industrial loans was impacted by a decrease in line utilization from 33% at the end of 2022 to 28% at March 31, 2023.</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loan portfolio by type as of the dates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3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Distribution of Loan Portfolio by Type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6"/>
        </w:trPr>
        <w:tc>
          <w:tcPr>
            <w:tcW w:w="3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 2023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December 31, 2022</w:t>
            </w:r>
          </w:p>
        </w:tc>
      </w:tr>
      <w:tr>
        <w:trPr>
          <w:trHeight w:val="188"/>
        </w:trPr>
        <w:tc>
          <w:tcPr>
            <w:tcW w:w="37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0" w:type="dxa"/>
            <w:vAlign w:val="bottom"/>
            <w:gridSpan w:val="6"/>
          </w:tcPr>
          <w:p>
            <w:pPr>
              <w:jc w:val="right"/>
              <w:ind w:right="1380"/>
              <w:spacing w:after="0"/>
              <w:rPr>
                <w:sz w:val="20"/>
                <w:szCs w:val="20"/>
                <w:color w:val="auto"/>
              </w:rPr>
            </w:pPr>
            <w:r>
              <w:rPr>
                <w:rFonts w:ascii="Arial" w:cs="Arial" w:eastAsia="Arial" w:hAnsi="Arial"/>
                <w:sz w:val="14"/>
                <w:szCs w:val="14"/>
                <w:i w:val="1"/>
                <w:iCs w:val="1"/>
                <w:color w:val="auto"/>
              </w:rPr>
              <w:t>(Dollars in thousands)</w:t>
            </w:r>
          </w:p>
        </w:tc>
      </w:tr>
      <w:tr>
        <w:trPr>
          <w:trHeight w:val="210"/>
        </w:trPr>
        <w:tc>
          <w:tcPr>
            <w:tcW w:w="3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3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6,950,302</w:t>
            </w: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6,884,948</w:t>
            </w:r>
          </w:p>
        </w:tc>
        <w:tc>
          <w:tcPr>
            <w:tcW w:w="80" w:type="dxa"/>
            <w:vAlign w:val="bottom"/>
            <w:shd w:val="clear" w:color="auto" w:fill="CFF0FC"/>
          </w:tcPr>
          <w:p>
            <w:pPr>
              <w:spacing w:after="0"/>
              <w:rPr>
                <w:sz w:val="17"/>
                <w:szCs w:val="17"/>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83,992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88,271</w:t>
            </w:r>
          </w:p>
        </w:tc>
        <w:tc>
          <w:tcPr>
            <w:tcW w:w="80" w:type="dxa"/>
            <w:vAlign w:val="bottom"/>
          </w:tcPr>
          <w:p>
            <w:pPr>
              <w:spacing w:after="0"/>
              <w:rPr>
                <w:sz w:val="17"/>
                <w:szCs w:val="17"/>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2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283,464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290,908</w:t>
            </w:r>
          </w:p>
        </w:tc>
        <w:tc>
          <w:tcPr>
            <w:tcW w:w="80" w:type="dxa"/>
            <w:vAlign w:val="bottom"/>
            <w:shd w:val="clear" w:color="auto" w:fill="CFF0FC"/>
          </w:tcPr>
          <w:p>
            <w:pPr>
              <w:spacing w:after="0"/>
              <w:rPr>
                <w:sz w:val="17"/>
                <w:szCs w:val="17"/>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SBA - Paycheck Protection Program (PPP)</w:t>
            </w: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5,824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9,087</w:t>
            </w:r>
          </w:p>
        </w:tc>
        <w:tc>
          <w:tcPr>
            <w:tcW w:w="80" w:type="dxa"/>
            <w:vAlign w:val="bottom"/>
          </w:tcPr>
          <w:p>
            <w:pPr>
              <w:spacing w:after="0"/>
              <w:rPr>
                <w:sz w:val="17"/>
                <w:szCs w:val="17"/>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2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898,167</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948,683</w:t>
            </w:r>
          </w:p>
        </w:tc>
        <w:tc>
          <w:tcPr>
            <w:tcW w:w="80" w:type="dxa"/>
            <w:vAlign w:val="bottom"/>
            <w:shd w:val="clear" w:color="auto" w:fill="CFF0FC"/>
          </w:tcPr>
          <w:p>
            <w:pPr>
              <w:spacing w:after="0"/>
              <w:rPr>
                <w:sz w:val="17"/>
                <w:szCs w:val="17"/>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307,820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433,564</w:t>
            </w:r>
          </w:p>
        </w:tc>
        <w:tc>
          <w:tcPr>
            <w:tcW w:w="80" w:type="dxa"/>
            <w:vAlign w:val="bottom"/>
          </w:tcPr>
          <w:p>
            <w:pPr>
              <w:spacing w:after="0"/>
              <w:rPr>
                <w:sz w:val="17"/>
                <w:szCs w:val="17"/>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2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79,552</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81,126</w:t>
            </w:r>
          </w:p>
        </w:tc>
        <w:tc>
          <w:tcPr>
            <w:tcW w:w="80" w:type="dxa"/>
            <w:vAlign w:val="bottom"/>
            <w:shd w:val="clear" w:color="auto" w:fill="CFF0FC"/>
          </w:tcPr>
          <w:p>
            <w:pPr>
              <w:spacing w:after="0"/>
              <w:rPr>
                <w:sz w:val="17"/>
                <w:szCs w:val="17"/>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262,324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266,024</w:t>
            </w:r>
          </w:p>
        </w:tc>
        <w:tc>
          <w:tcPr>
            <w:tcW w:w="80" w:type="dxa"/>
            <w:vAlign w:val="bottom"/>
          </w:tcPr>
          <w:p>
            <w:pPr>
              <w:spacing w:after="0"/>
              <w:rPr>
                <w:sz w:val="17"/>
                <w:szCs w:val="17"/>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2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71,044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76,781</w:t>
            </w:r>
          </w:p>
        </w:tc>
        <w:tc>
          <w:tcPr>
            <w:tcW w:w="80" w:type="dxa"/>
            <w:vAlign w:val="bottom"/>
            <w:shd w:val="clear" w:color="auto" w:fill="CFF0FC"/>
          </w:tcPr>
          <w:p>
            <w:pPr>
              <w:spacing w:after="0"/>
              <w:rPr>
                <w:sz w:val="17"/>
                <w:szCs w:val="17"/>
                <w:color w:val="auto"/>
              </w:rPr>
            </w:pPr>
          </w:p>
        </w:tc>
      </w:tr>
      <w:tr>
        <w:trPr>
          <w:trHeight w:val="203"/>
        </w:trPr>
        <w:tc>
          <w:tcPr>
            <w:tcW w:w="3720" w:type="dxa"/>
            <w:vAlign w:val="bottom"/>
          </w:tcPr>
          <w:p>
            <w:pPr>
              <w:ind w:left="260"/>
              <w:spacing w:after="0"/>
              <w:rPr>
                <w:sz w:val="20"/>
                <w:szCs w:val="20"/>
                <w:color w:val="auto"/>
              </w:rPr>
            </w:pPr>
            <w:r>
              <w:rPr>
                <w:rFonts w:ascii="Arial" w:cs="Arial" w:eastAsia="Arial" w:hAnsi="Arial"/>
                <w:sz w:val="16"/>
                <w:szCs w:val="16"/>
                <w:color w:val="auto"/>
              </w:rPr>
              <w:t>Total loans, at amortized cost</w:t>
            </w: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8,942,489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9,079,392</w:t>
            </w:r>
          </w:p>
        </w:tc>
        <w:tc>
          <w:tcPr>
            <w:tcW w:w="80" w:type="dxa"/>
            <w:vAlign w:val="bottom"/>
          </w:tcPr>
          <w:p>
            <w:pPr>
              <w:spacing w:after="0"/>
              <w:rPr>
                <w:sz w:val="17"/>
                <w:szCs w:val="17"/>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2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(86,540 )</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(85,117 )</w:t>
            </w:r>
          </w:p>
        </w:tc>
      </w:tr>
      <w:tr>
        <w:trPr>
          <w:trHeight w:val="204"/>
        </w:trPr>
        <w:tc>
          <w:tcPr>
            <w:tcW w:w="3720" w:type="dxa"/>
            <w:vAlign w:val="bottom"/>
          </w:tcPr>
          <w:p>
            <w:pPr>
              <w:ind w:left="380"/>
              <w:spacing w:after="0"/>
              <w:rPr>
                <w:sz w:val="20"/>
                <w:szCs w:val="20"/>
                <w:color w:val="auto"/>
              </w:rPr>
            </w:pPr>
            <w:r>
              <w:rPr>
                <w:rFonts w:ascii="Arial" w:cs="Arial" w:eastAsia="Arial" w:hAnsi="Arial"/>
                <w:sz w:val="16"/>
                <w:szCs w:val="16"/>
                <w:color w:val="auto"/>
              </w:rPr>
              <w:t>Total loans and lease finance receivables, net</w:t>
            </w:r>
          </w:p>
        </w:tc>
        <w:tc>
          <w:tcPr>
            <w:tcW w:w="3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8,855,949</w:t>
            </w:r>
          </w:p>
        </w:tc>
        <w:tc>
          <w:tcPr>
            <w:tcW w:w="1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8,994,275</w:t>
            </w:r>
          </w:p>
        </w:tc>
        <w:tc>
          <w:tcPr>
            <w:tcW w:w="80" w:type="dxa"/>
            <w:vAlign w:val="bottom"/>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March 31, 2023, $517.8 million, or 7.45% of the total commercial real estate loans included loans secured by farmland, compared to $517.8</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million, or 7.52%, at December 31, 2022. The loans secured by farmland included $138.4 million for loans secured by dairy &amp; livestock land and $379.4</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million secured by agricultural land at March 31, 2023, compared to $140.5 million for loans secured by dairy &amp; livestock land and $377.3 million for loans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secured by agricultural land at December 31, 2022. As of March 31, 2023, dairy &amp; livestock and agribusiness loans of $307.8 million were comprised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$261.3 million for dairy &amp; livestock loans and $46.5 million for agribusiness loans, compared to $433.6 million were comprised of $388.5 million for dairy &amp;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livestock loans and $45.1 million for agribusiness loans at December 31, 2022.</w:t>
      </w:r>
    </w:p>
    <w:p>
      <w:pPr>
        <w:spacing w:after="0" w:line="166" w:lineRule="exact"/>
        <w:rPr>
          <w:sz w:val="20"/>
          <w:szCs w:val="20"/>
          <w:color w:val="auto"/>
        </w:rPr>
      </w:pPr>
    </w:p>
    <w:p>
      <w:pPr>
        <w:ind w:right="180" w:firstLine="432"/>
        <w:spacing w:after="0" w:line="238" w:lineRule="auto"/>
        <w:rPr>
          <w:sz w:val="20"/>
          <w:szCs w:val="20"/>
          <w:color w:val="auto"/>
        </w:rPr>
      </w:pPr>
      <w:r>
        <w:rPr>
          <w:rFonts w:ascii="Arial" w:cs="Arial" w:eastAsia="Arial" w:hAnsi="Arial"/>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66" w:lineRule="exact"/>
        <w:rPr>
          <w:sz w:val="20"/>
          <w:szCs w:val="20"/>
          <w:color w:val="auto"/>
        </w:rPr>
      </w:pPr>
    </w:p>
    <w:p>
      <w:pPr>
        <w:ind w:right="140" w:firstLine="432"/>
        <w:spacing w:after="0" w:line="236" w:lineRule="auto"/>
        <w:rPr>
          <w:sz w:val="20"/>
          <w:szCs w:val="20"/>
          <w:color w:val="auto"/>
        </w:rPr>
      </w:pPr>
      <w:r>
        <w:rPr>
          <w:rFonts w:ascii="Arial" w:cs="Arial" w:eastAsia="Arial" w:hAnsi="Arial"/>
          <w:sz w:val="16"/>
          <w:szCs w:val="16"/>
          <w:color w:val="auto"/>
        </w:rPr>
        <w:t>As of March 31, 2023, the Company had $206.8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March 31, 2023, the Company had $76.6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ectPr>
          <w:pgSz w:w="11900" w:h="16840" w:orient="portrait"/>
          <w:cols w:equalWidth="0" w:num="1">
            <w:col w:w="10600"/>
          </w:cols>
          <w:pgMar w:left="660" w:top="782" w:right="640" w:bottom="1440" w:gutter="0" w:footer="0" w:header="0"/>
        </w:sectPr>
      </w:pPr>
    </w:p>
    <w:bookmarkStart w:id="49" w:name="page50"/>
    <w:bookmarkEnd w:id="49"/>
    <w:p>
      <w:pPr>
        <w:ind w:right="220" w:firstLine="432"/>
        <w:spacing w:after="0" w:line="24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As an active participant in the SBA’s Paycheck Protection Program, we originated approximately 4,100 PPP loans totaling $1.10 billion in round one and originated approximately 1,900 PPP loans totaling $420 million in round two. As of March 31, 2023, the remaining outstanding balance of PPP loans totaled $5.8 million.</w:t>
      </w:r>
    </w:p>
    <w:p>
      <w:pPr>
        <w:spacing w:after="0" w:line="161" w:lineRule="exact"/>
        <w:rPr>
          <w:sz w:val="20"/>
          <w:szCs w:val="20"/>
          <w:color w:val="auto"/>
        </w:rPr>
      </w:pPr>
    </w:p>
    <w:p>
      <w:pPr>
        <w:ind w:right="260" w:firstLine="432"/>
        <w:spacing w:after="0" w:line="238" w:lineRule="auto"/>
        <w:rPr>
          <w:sz w:val="20"/>
          <w:szCs w:val="20"/>
          <w:color w:val="auto"/>
        </w:rPr>
      </w:pPr>
      <w:r>
        <w:rPr>
          <w:rFonts w:ascii="Arial" w:cs="Arial" w:eastAsia="Arial" w:hAnsi="Arial"/>
          <w:sz w:val="16"/>
          <w:szCs w:val="16"/>
          <w:color w:val="auto"/>
        </w:rPr>
        <w:t>As of March 31, 2023, the Company had $84.0 million in construction loans. This represents 0.94% of total gross loans held-for-investment. Although our construction loans are located throughout our market footprint, the majority of construction loans consist of commercial land development and construction projects in Los Angeles County, Orange County, and the Inland Empire region of Southern California. There were no nonperforming construction loans at March 31, 2023.</w:t>
      </w:r>
    </w:p>
    <w:p>
      <w:pPr>
        <w:ind w:right="680" w:firstLine="432"/>
        <w:spacing w:after="0" w:line="239" w:lineRule="auto"/>
        <w:rPr>
          <w:sz w:val="20"/>
          <w:szCs w:val="20"/>
          <w:color w:val="auto"/>
        </w:rPr>
      </w:pPr>
      <w:r>
        <w:rPr>
          <w:rFonts w:ascii="Arial" w:cs="Arial" w:eastAsia="Arial" w:hAnsi="Arial"/>
          <w:sz w:val="16"/>
          <w:szCs w:val="16"/>
          <w:color w:val="auto"/>
        </w:rPr>
        <w:t>Our loan portfolio is geographically disbursed throughout our marketplace. The following is the breakdown of our total held-for-investment commercial real estate loans, by region as of March 31,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March 31, 2023</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Commercial Real</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ind w:left="520"/>
              <w:spacing w:after="0"/>
              <w:rPr>
                <w:sz w:val="20"/>
                <w:szCs w:val="20"/>
                <w:color w:val="auto"/>
              </w:rPr>
            </w:pPr>
            <w:r>
              <w:rPr>
                <w:rFonts w:ascii="Arial" w:cs="Arial" w:eastAsia="Arial" w:hAnsi="Arial"/>
                <w:sz w:val="14"/>
                <w:szCs w:val="14"/>
                <w:b w:val="1"/>
                <w:bCs w:val="1"/>
                <w:color w:val="auto"/>
              </w:rPr>
              <w:t>Total Loans</w:t>
            </w:r>
          </w:p>
        </w:tc>
        <w:tc>
          <w:tcPr>
            <w:tcW w:w="1720" w:type="dxa"/>
            <w:vAlign w:val="bottom"/>
            <w:gridSpan w:val="3"/>
            <w:vMerge w:val="restart"/>
          </w:tcPr>
          <w:p>
            <w:pPr>
              <w:jc w:val="right"/>
              <w:ind w:right="28"/>
              <w:spacing w:after="0"/>
              <w:rPr>
                <w:sz w:val="20"/>
                <w:szCs w:val="20"/>
                <w:color w:val="auto"/>
              </w:rPr>
            </w:pPr>
            <w:r>
              <w:rPr>
                <w:rFonts w:ascii="Arial" w:cs="Arial" w:eastAsia="Arial" w:hAnsi="Arial"/>
                <w:sz w:val="14"/>
                <w:szCs w:val="14"/>
                <w:i w:val="1"/>
                <w:iCs w:val="1"/>
                <w:color w:val="auto"/>
              </w:rPr>
              <w:t>(Dollars in thousands)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Estate Loans</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80" w:type="dxa"/>
            <w:vAlign w:val="bottom"/>
          </w:tcPr>
          <w:p>
            <w:pPr>
              <w:ind w:left="20"/>
              <w:spacing w:after="0"/>
              <w:rPr>
                <w:sz w:val="20"/>
                <w:szCs w:val="20"/>
                <w:color w:val="auto"/>
              </w:rPr>
            </w:pPr>
            <w:r>
              <w:rPr>
                <w:rFonts w:ascii="Arial" w:cs="Arial" w:eastAsia="Arial" w:hAnsi="Arial"/>
                <w:sz w:val="14"/>
                <w:szCs w:val="14"/>
                <w:color w:val="auto"/>
              </w:rPr>
              <w:t>Los Angeles County</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3,401,875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38.0 %</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2,435,388</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35.0 %</w:t>
            </w:r>
          </w:p>
        </w:tc>
        <w:tc>
          <w:tcPr>
            <w:tcW w:w="0" w:type="dxa"/>
            <w:vAlign w:val="bottom"/>
          </w:tcPr>
          <w:p>
            <w:pPr>
              <w:spacing w:after="0"/>
              <w:rPr>
                <w:sz w:val="1"/>
                <w:szCs w:val="1"/>
                <w:color w:val="auto"/>
              </w:rPr>
            </w:pPr>
          </w:p>
        </w:tc>
      </w:tr>
      <w:tr>
        <w:trPr>
          <w:trHeight w:val="192"/>
        </w:trPr>
        <w:tc>
          <w:tcPr>
            <w:tcW w:w="4780" w:type="dxa"/>
            <w:vAlign w:val="bottom"/>
          </w:tcPr>
          <w:p>
            <w:pPr>
              <w:ind w:left="20"/>
              <w:spacing w:after="0"/>
              <w:rPr>
                <w:sz w:val="20"/>
                <w:szCs w:val="20"/>
                <w:color w:val="auto"/>
              </w:rPr>
            </w:pPr>
            <w:r>
              <w:rPr>
                <w:rFonts w:ascii="Arial" w:cs="Arial" w:eastAsia="Arial" w:hAnsi="Arial"/>
                <w:sz w:val="14"/>
                <w:szCs w:val="14"/>
                <w:color w:val="auto"/>
              </w:rPr>
              <w:t>Central Valley and Sacramento</w:t>
            </w:r>
          </w:p>
        </w:tc>
        <w:tc>
          <w:tcPr>
            <w:tcW w:w="36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2,089,192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23.4 %</w:t>
            </w:r>
          </w:p>
        </w:tc>
        <w:tc>
          <w:tcPr>
            <w:tcW w:w="6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1,724,507</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24.8 %</w:t>
            </w:r>
          </w:p>
        </w:tc>
        <w:tc>
          <w:tcPr>
            <w:tcW w:w="0" w:type="dxa"/>
            <w:vAlign w:val="bottom"/>
          </w:tcPr>
          <w:p>
            <w:pPr>
              <w:spacing w:after="0"/>
              <w:rPr>
                <w:sz w:val="1"/>
                <w:szCs w:val="1"/>
                <w:color w:val="auto"/>
              </w:rPr>
            </w:pPr>
          </w:p>
        </w:tc>
      </w:tr>
      <w:tr>
        <w:trPr>
          <w:trHeight w:val="192"/>
        </w:trPr>
        <w:tc>
          <w:tcPr>
            <w:tcW w:w="4780" w:type="dxa"/>
            <w:vAlign w:val="bottom"/>
          </w:tcPr>
          <w:p>
            <w:pPr>
              <w:ind w:left="20"/>
              <w:spacing w:after="0"/>
              <w:rPr>
                <w:sz w:val="20"/>
                <w:szCs w:val="20"/>
                <w:color w:val="auto"/>
              </w:rPr>
            </w:pPr>
            <w:r>
              <w:rPr>
                <w:rFonts w:ascii="Arial" w:cs="Arial" w:eastAsia="Arial" w:hAnsi="Arial"/>
                <w:sz w:val="14"/>
                <w:szCs w:val="14"/>
                <w:color w:val="auto"/>
              </w:rPr>
              <w:t>Orange County</w:t>
            </w:r>
          </w:p>
        </w:tc>
        <w:tc>
          <w:tcPr>
            <w:tcW w:w="36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1,201,271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13.4 %</w:t>
            </w:r>
          </w:p>
        </w:tc>
        <w:tc>
          <w:tcPr>
            <w:tcW w:w="6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717,207</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10.3 %</w:t>
            </w:r>
          </w:p>
        </w:tc>
        <w:tc>
          <w:tcPr>
            <w:tcW w:w="0" w:type="dxa"/>
            <w:vAlign w:val="bottom"/>
          </w:tcPr>
          <w:p>
            <w:pPr>
              <w:spacing w:after="0"/>
              <w:rPr>
                <w:sz w:val="1"/>
                <w:szCs w:val="1"/>
                <w:color w:val="auto"/>
              </w:rPr>
            </w:pPr>
          </w:p>
        </w:tc>
      </w:tr>
      <w:tr>
        <w:trPr>
          <w:trHeight w:val="192"/>
        </w:trPr>
        <w:tc>
          <w:tcPr>
            <w:tcW w:w="4780" w:type="dxa"/>
            <w:vAlign w:val="bottom"/>
          </w:tcPr>
          <w:p>
            <w:pPr>
              <w:ind w:left="20"/>
              <w:spacing w:after="0"/>
              <w:rPr>
                <w:sz w:val="20"/>
                <w:szCs w:val="20"/>
                <w:color w:val="auto"/>
              </w:rPr>
            </w:pPr>
            <w:r>
              <w:rPr>
                <w:rFonts w:ascii="Arial" w:cs="Arial" w:eastAsia="Arial" w:hAnsi="Arial"/>
                <w:sz w:val="14"/>
                <w:szCs w:val="14"/>
                <w:color w:val="auto"/>
              </w:rPr>
              <w:t>Inland Empire</w:t>
            </w:r>
          </w:p>
        </w:tc>
        <w:tc>
          <w:tcPr>
            <w:tcW w:w="36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933,323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10.4 %</w:t>
            </w:r>
          </w:p>
        </w:tc>
        <w:tc>
          <w:tcPr>
            <w:tcW w:w="6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906,321</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192"/>
        </w:trPr>
        <w:tc>
          <w:tcPr>
            <w:tcW w:w="4780" w:type="dxa"/>
            <w:vAlign w:val="bottom"/>
          </w:tcPr>
          <w:p>
            <w:pPr>
              <w:ind w:left="20"/>
              <w:spacing w:after="0"/>
              <w:rPr>
                <w:sz w:val="20"/>
                <w:szCs w:val="20"/>
                <w:color w:val="auto"/>
              </w:rPr>
            </w:pPr>
            <w:r>
              <w:rPr>
                <w:rFonts w:ascii="Arial" w:cs="Arial" w:eastAsia="Arial" w:hAnsi="Arial"/>
                <w:sz w:val="14"/>
                <w:szCs w:val="14"/>
                <w:color w:val="auto"/>
              </w:rPr>
              <w:t>Central Coast</w:t>
            </w:r>
          </w:p>
        </w:tc>
        <w:tc>
          <w:tcPr>
            <w:tcW w:w="36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466,154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5.2 %</w:t>
            </w:r>
          </w:p>
        </w:tc>
        <w:tc>
          <w:tcPr>
            <w:tcW w:w="6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408,246</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92"/>
        </w:trPr>
        <w:tc>
          <w:tcPr>
            <w:tcW w:w="4780" w:type="dxa"/>
            <w:vAlign w:val="bottom"/>
          </w:tcPr>
          <w:p>
            <w:pPr>
              <w:ind w:left="20"/>
              <w:spacing w:after="0"/>
              <w:rPr>
                <w:sz w:val="20"/>
                <w:szCs w:val="20"/>
                <w:color w:val="auto"/>
              </w:rPr>
            </w:pPr>
            <w:r>
              <w:rPr>
                <w:rFonts w:ascii="Arial" w:cs="Arial" w:eastAsia="Arial" w:hAnsi="Arial"/>
                <w:sz w:val="14"/>
                <w:szCs w:val="14"/>
                <w:color w:val="auto"/>
              </w:rPr>
              <w:t>San Diego</w:t>
            </w:r>
          </w:p>
        </w:tc>
        <w:tc>
          <w:tcPr>
            <w:tcW w:w="36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348,111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3.9 %</w:t>
            </w:r>
          </w:p>
        </w:tc>
        <w:tc>
          <w:tcPr>
            <w:tcW w:w="6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344,838</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192"/>
        </w:trPr>
        <w:tc>
          <w:tcPr>
            <w:tcW w:w="4780" w:type="dxa"/>
            <w:vAlign w:val="bottom"/>
          </w:tcPr>
          <w:p>
            <w:pPr>
              <w:ind w:left="20"/>
              <w:spacing w:after="0"/>
              <w:rPr>
                <w:sz w:val="20"/>
                <w:szCs w:val="20"/>
                <w:color w:val="auto"/>
              </w:rPr>
            </w:pPr>
            <w:r>
              <w:rPr>
                <w:rFonts w:ascii="Arial" w:cs="Arial" w:eastAsia="Arial" w:hAnsi="Arial"/>
                <w:sz w:val="14"/>
                <w:szCs w:val="14"/>
                <w:color w:val="auto"/>
              </w:rPr>
              <w:t>Other California</w:t>
            </w:r>
          </w:p>
        </w:tc>
        <w:tc>
          <w:tcPr>
            <w:tcW w:w="36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139,269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1.6 %</w:t>
            </w:r>
          </w:p>
        </w:tc>
        <w:tc>
          <w:tcPr>
            <w:tcW w:w="6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100,998</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2"/>
        </w:trPr>
        <w:tc>
          <w:tcPr>
            <w:tcW w:w="4780" w:type="dxa"/>
            <w:vAlign w:val="bottom"/>
          </w:tcPr>
          <w:p>
            <w:pPr>
              <w:ind w:left="20"/>
              <w:spacing w:after="0"/>
              <w:rPr>
                <w:sz w:val="20"/>
                <w:szCs w:val="20"/>
                <w:color w:val="auto"/>
              </w:rPr>
            </w:pPr>
            <w:r>
              <w:rPr>
                <w:rFonts w:ascii="Arial" w:cs="Arial" w:eastAsia="Arial" w:hAnsi="Arial"/>
                <w:sz w:val="14"/>
                <w:szCs w:val="14"/>
                <w:color w:val="auto"/>
              </w:rPr>
              <w:t>Out of State</w:t>
            </w:r>
          </w:p>
        </w:tc>
        <w:tc>
          <w:tcPr>
            <w:tcW w:w="36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363,294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4.1 %</w:t>
            </w:r>
          </w:p>
        </w:tc>
        <w:tc>
          <w:tcPr>
            <w:tcW w:w="6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312,797</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8,942,489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6,950,302</w:t>
            </w:r>
          </w:p>
        </w:tc>
        <w:tc>
          <w:tcPr>
            <w:tcW w:w="16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breaks down our commercial real estate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March 31, 2023</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4"/>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left="168"/>
              <w:spacing w:after="0"/>
              <w:rPr>
                <w:sz w:val="20"/>
                <w:szCs w:val="20"/>
                <w:color w:val="auto"/>
              </w:rPr>
            </w:pPr>
            <w:r>
              <w:rPr>
                <w:rFonts w:ascii="Arial" w:cs="Arial" w:eastAsia="Arial" w:hAnsi="Arial"/>
                <w:sz w:val="14"/>
                <w:szCs w:val="14"/>
                <w:b w:val="1"/>
                <w:bCs w:val="1"/>
                <w:color w:val="auto"/>
              </w:rPr>
              <w:t>Percent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left="208"/>
              <w:spacing w:after="0"/>
              <w:rPr>
                <w:sz w:val="20"/>
                <w:szCs w:val="20"/>
                <w:color w:val="auto"/>
              </w:rPr>
            </w:pPr>
            <w:r>
              <w:rPr>
                <w:rFonts w:ascii="Arial" w:cs="Arial" w:eastAsia="Arial" w:hAnsi="Arial"/>
                <w:sz w:val="14"/>
                <w:szCs w:val="14"/>
                <w:b w:val="1"/>
                <w:bCs w:val="1"/>
                <w:color w:val="auto"/>
                <w:w w:val="99"/>
              </w:rPr>
              <w:t>Owner-</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Average</w:t>
            </w:r>
          </w:p>
        </w:tc>
      </w:tr>
      <w:tr>
        <w:trPr>
          <w:trHeight w:val="196"/>
        </w:trPr>
        <w:tc>
          <w:tcPr>
            <w:tcW w:w="4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Loan Balance</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w:t>
            </w:r>
          </w:p>
        </w:tc>
        <w:tc>
          <w:tcPr>
            <w:tcW w:w="1160" w:type="dxa"/>
            <w:vAlign w:val="bottom"/>
          </w:tcPr>
          <w:p>
            <w:pPr>
              <w:jc w:val="center"/>
              <w:ind w:left="208"/>
              <w:spacing w:after="0"/>
              <w:rPr>
                <w:sz w:val="20"/>
                <w:szCs w:val="20"/>
                <w:color w:val="auto"/>
              </w:rPr>
            </w:pPr>
            <w:r>
              <w:rPr>
                <w:rFonts w:ascii="Arial" w:cs="Arial" w:eastAsia="Arial" w:hAnsi="Arial"/>
                <w:sz w:val="14"/>
                <w:szCs w:val="14"/>
                <w:b w:val="1"/>
                <w:bCs w:val="1"/>
                <w:color w:val="auto"/>
              </w:rPr>
              <w:t>Occupied (1)</w:t>
            </w:r>
          </w:p>
        </w:tc>
        <w:tc>
          <w:tcPr>
            <w:tcW w:w="520" w:type="dxa"/>
            <w:vAlign w:val="bottom"/>
          </w:tcPr>
          <w:p>
            <w:pPr>
              <w:spacing w:after="0"/>
              <w:rPr>
                <w:sz w:val="17"/>
                <w:szCs w:val="17"/>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Loan Balance</w:t>
            </w:r>
          </w:p>
        </w:tc>
      </w:tr>
      <w:tr>
        <w:trPr>
          <w:trHeight w:val="189"/>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3"/>
          </w:tcPr>
          <w:p>
            <w:pPr>
              <w:jc w:val="center"/>
              <w:ind w:right="128"/>
              <w:spacing w:after="0"/>
              <w:rPr>
                <w:sz w:val="20"/>
                <w:szCs w:val="20"/>
                <w:color w:val="auto"/>
              </w:rPr>
            </w:pPr>
            <w:r>
              <w:rPr>
                <w:rFonts w:ascii="Arial" w:cs="Arial" w:eastAsia="Arial" w:hAnsi="Arial"/>
                <w:sz w:val="14"/>
                <w:szCs w:val="14"/>
                <w:i w:val="1"/>
                <w:iCs w:val="1"/>
                <w:color w:val="auto"/>
              </w:rPr>
              <w:t>(Dollars in thousands)</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5"/>
        </w:trPr>
        <w:tc>
          <w:tcPr>
            <w:tcW w:w="4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r>
      <w:tr>
        <w:trPr>
          <w:trHeight w:val="189"/>
        </w:trPr>
        <w:tc>
          <w:tcPr>
            <w:tcW w:w="4780" w:type="dxa"/>
            <w:vAlign w:val="bottom"/>
          </w:tcPr>
          <w:p>
            <w:pPr>
              <w:ind w:left="100"/>
              <w:spacing w:after="0"/>
              <w:rPr>
                <w:sz w:val="20"/>
                <w:szCs w:val="20"/>
                <w:color w:val="auto"/>
              </w:rPr>
            </w:pPr>
            <w:r>
              <w:rPr>
                <w:rFonts w:ascii="Arial" w:cs="Arial" w:eastAsia="Arial" w:hAnsi="Arial"/>
                <w:sz w:val="14"/>
                <w:szCs w:val="14"/>
                <w:color w:val="auto"/>
              </w:rPr>
              <w:t>Industrial</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2,291,838</w:t>
            </w:r>
          </w:p>
        </w:tc>
        <w:tc>
          <w:tcPr>
            <w:tcW w:w="18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33.0 %</w:t>
            </w:r>
          </w:p>
        </w:tc>
        <w:tc>
          <w:tcPr>
            <w:tcW w:w="11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1"/>
              </w:rPr>
              <w:t>48.8 %</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1,606</w:t>
            </w:r>
          </w:p>
        </w:tc>
      </w:tr>
      <w:tr>
        <w:trPr>
          <w:trHeight w:val="195"/>
        </w:trPr>
        <w:tc>
          <w:tcPr>
            <w:tcW w:w="47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Office</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1,171,524</w:t>
            </w:r>
          </w:p>
        </w:tc>
        <w:tc>
          <w:tcPr>
            <w:tcW w:w="1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16.9 %</w:t>
            </w:r>
          </w:p>
        </w:tc>
        <w:tc>
          <w:tcPr>
            <w:tcW w:w="116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1"/>
              </w:rPr>
              <w:t>24.6 %</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1,715</w:t>
            </w:r>
          </w:p>
        </w:tc>
      </w:tr>
      <w:tr>
        <w:trPr>
          <w:trHeight w:val="189"/>
        </w:trPr>
        <w:tc>
          <w:tcPr>
            <w:tcW w:w="4780" w:type="dxa"/>
            <w:vAlign w:val="bottom"/>
          </w:tcPr>
          <w:p>
            <w:pPr>
              <w:ind w:left="100"/>
              <w:spacing w:after="0"/>
              <w:rPr>
                <w:sz w:val="20"/>
                <w:szCs w:val="20"/>
                <w:color w:val="auto"/>
              </w:rPr>
            </w:pPr>
            <w:r>
              <w:rPr>
                <w:rFonts w:ascii="Arial" w:cs="Arial" w:eastAsia="Arial" w:hAnsi="Arial"/>
                <w:sz w:val="14"/>
                <w:szCs w:val="14"/>
                <w:color w:val="auto"/>
              </w:rPr>
              <w:t>Retail</w:t>
            </w:r>
          </w:p>
        </w:tc>
        <w:tc>
          <w:tcPr>
            <w:tcW w:w="1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994,004</w:t>
            </w:r>
          </w:p>
        </w:tc>
        <w:tc>
          <w:tcPr>
            <w:tcW w:w="18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14.3 %</w:t>
            </w:r>
          </w:p>
        </w:tc>
        <w:tc>
          <w:tcPr>
            <w:tcW w:w="11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1"/>
              </w:rPr>
              <w:t>10.7 %</w:t>
            </w:r>
          </w:p>
        </w:tc>
        <w:tc>
          <w:tcPr>
            <w:tcW w:w="2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1,738</w:t>
            </w:r>
          </w:p>
        </w:tc>
      </w:tr>
      <w:tr>
        <w:trPr>
          <w:trHeight w:val="195"/>
        </w:trPr>
        <w:tc>
          <w:tcPr>
            <w:tcW w:w="47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Multi-family</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832,104</w:t>
            </w:r>
          </w:p>
        </w:tc>
        <w:tc>
          <w:tcPr>
            <w:tcW w:w="1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12.0 %</w:t>
            </w:r>
          </w:p>
        </w:tc>
        <w:tc>
          <w:tcPr>
            <w:tcW w:w="116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0.7 %</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1,576</w:t>
            </w:r>
          </w:p>
        </w:tc>
      </w:tr>
      <w:tr>
        <w:trPr>
          <w:trHeight w:val="189"/>
        </w:trPr>
        <w:tc>
          <w:tcPr>
            <w:tcW w:w="4780" w:type="dxa"/>
            <w:vAlign w:val="bottom"/>
          </w:tcPr>
          <w:p>
            <w:pPr>
              <w:ind w:left="100"/>
              <w:spacing w:after="0"/>
              <w:rPr>
                <w:sz w:val="20"/>
                <w:szCs w:val="20"/>
                <w:color w:val="auto"/>
              </w:rPr>
            </w:pPr>
            <w:r>
              <w:rPr>
                <w:rFonts w:ascii="Arial" w:cs="Arial" w:eastAsia="Arial" w:hAnsi="Arial"/>
                <w:sz w:val="14"/>
                <w:szCs w:val="14"/>
                <w:color w:val="auto"/>
              </w:rPr>
              <w:t>Secured by farmland (2)</w:t>
            </w:r>
          </w:p>
        </w:tc>
        <w:tc>
          <w:tcPr>
            <w:tcW w:w="1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517,803</w:t>
            </w:r>
          </w:p>
        </w:tc>
        <w:tc>
          <w:tcPr>
            <w:tcW w:w="18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7.4 %</w:t>
            </w:r>
          </w:p>
        </w:tc>
        <w:tc>
          <w:tcPr>
            <w:tcW w:w="11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1"/>
              </w:rPr>
              <w:t>98.6 %</w:t>
            </w:r>
          </w:p>
        </w:tc>
        <w:tc>
          <w:tcPr>
            <w:tcW w:w="2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1,514</w:t>
            </w:r>
          </w:p>
        </w:tc>
      </w:tr>
      <w:tr>
        <w:trPr>
          <w:trHeight w:val="195"/>
        </w:trPr>
        <w:tc>
          <w:tcPr>
            <w:tcW w:w="47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Medical</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322,784</w:t>
            </w:r>
          </w:p>
        </w:tc>
        <w:tc>
          <w:tcPr>
            <w:tcW w:w="1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4.6 %</w:t>
            </w:r>
          </w:p>
        </w:tc>
        <w:tc>
          <w:tcPr>
            <w:tcW w:w="116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1"/>
              </w:rPr>
              <w:t>32.9 %</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1,559</w:t>
            </w:r>
          </w:p>
        </w:tc>
      </w:tr>
      <w:tr>
        <w:trPr>
          <w:trHeight w:val="189"/>
        </w:trPr>
        <w:tc>
          <w:tcPr>
            <w:tcW w:w="4780" w:type="dxa"/>
            <w:vAlign w:val="bottom"/>
          </w:tcPr>
          <w:p>
            <w:pPr>
              <w:ind w:left="100"/>
              <w:spacing w:after="0"/>
              <w:rPr>
                <w:sz w:val="20"/>
                <w:szCs w:val="20"/>
                <w:color w:val="auto"/>
              </w:rPr>
            </w:pPr>
            <w:r>
              <w:rPr>
                <w:rFonts w:ascii="Arial" w:cs="Arial" w:eastAsia="Arial" w:hAnsi="Arial"/>
                <w:sz w:val="14"/>
                <w:szCs w:val="14"/>
                <w:color w:val="auto"/>
              </w:rPr>
              <w:t>Other (3)</w:t>
            </w:r>
          </w:p>
        </w:tc>
        <w:tc>
          <w:tcPr>
            <w:tcW w:w="1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820,245</w:t>
            </w:r>
          </w:p>
        </w:tc>
        <w:tc>
          <w:tcPr>
            <w:tcW w:w="18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11.8 %</w:t>
            </w:r>
          </w:p>
        </w:tc>
        <w:tc>
          <w:tcPr>
            <w:tcW w:w="11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1"/>
              </w:rPr>
              <w:t>44.1 %</w:t>
            </w:r>
          </w:p>
        </w:tc>
        <w:tc>
          <w:tcPr>
            <w:tcW w:w="2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1,511</w:t>
            </w:r>
          </w:p>
        </w:tc>
      </w:tr>
      <w:tr>
        <w:trPr>
          <w:trHeight w:val="215"/>
        </w:trPr>
        <w:tc>
          <w:tcPr>
            <w:tcW w:w="47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commercial real estate</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6,950,302</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100.0 %</w:t>
            </w: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1"/>
              </w:rPr>
              <w:t>36.0 %</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1,616</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r>
    </w:tbl>
    <w:p>
      <w:pPr>
        <w:spacing w:after="0" w:line="173" w:lineRule="exact"/>
        <w:rPr>
          <w:sz w:val="20"/>
          <w:szCs w:val="20"/>
          <w:color w:val="auto"/>
        </w:rPr>
      </w:pPr>
    </w:p>
    <w:p>
      <w:pPr>
        <w:ind w:left="780"/>
        <w:spacing w:after="0"/>
        <w:rPr>
          <w:sz w:val="20"/>
          <w:szCs w:val="20"/>
          <w:color w:val="auto"/>
        </w:rPr>
      </w:pPr>
      <w:r>
        <w:rPr>
          <w:rFonts w:ascii="Arial" w:cs="Arial" w:eastAsia="Arial" w:hAnsi="Arial"/>
          <w:sz w:val="13"/>
          <w:szCs w:val="13"/>
          <w:color w:val="auto"/>
        </w:rPr>
        <w:t>(1)Represents percentage of reported owner-occupied at origination in each real estate loan category.</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(2)The loans secured by farmland included $138.4 million for loans secured by dairy &amp; livestock land and $379.4 million for loans secured by agricultural land at March</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31, 2023.</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(3)Other loans consist of a variety of loan types, none of which exceeded 2.0% of total commercial real estate loans at March 31, 2023.</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51</w:t>
      </w:r>
    </w:p>
    <w:p>
      <w:pPr>
        <w:sectPr>
          <w:pgSz w:w="11900" w:h="16840" w:orient="portrait"/>
          <w:cols w:equalWidth="0" w:num="1">
            <w:col w:w="10620"/>
          </w:cols>
          <w:pgMar w:left="660" w:top="970" w:right="620"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Nonperforming Assets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information on nonperforming assets as of the dates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7"/>
                <w:szCs w:val="17"/>
                <w:color w:val="auto"/>
              </w:rPr>
            </w:pPr>
          </w:p>
        </w:tc>
        <w:tc>
          <w:tcPr>
            <w:tcW w:w="17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00" w:type="dxa"/>
            <w:vAlign w:val="bottom"/>
            <w:gridSpan w:val="7"/>
          </w:tcPr>
          <w:p>
            <w:pPr>
              <w:jc w:val="right"/>
              <w:ind w:right="1340"/>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195"/>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Nonaccrual loans</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6,175</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4,930</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4"/>
                <w:szCs w:val="14"/>
                <w:color w:val="auto"/>
              </w:rPr>
              <w:t>Loans past due 90 days or more and still accruing interest</w:t>
            </w:r>
          </w:p>
        </w:tc>
        <w:tc>
          <w:tcPr>
            <w:tcW w:w="240" w:type="dxa"/>
            <w:vAlign w:val="bottom"/>
          </w:tcPr>
          <w:p>
            <w:pPr>
              <w:spacing w:after="0"/>
              <w:rPr>
                <w:sz w:val="16"/>
                <w:szCs w:val="16"/>
                <w:color w:val="auto"/>
              </w:rPr>
            </w:pPr>
          </w:p>
        </w:tc>
        <w:tc>
          <w:tcPr>
            <w:tcW w:w="18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Nonperforming modified loans / troubled debt restructured loans (TDRs)</w:t>
            </w:r>
          </w:p>
        </w:tc>
        <w:tc>
          <w:tcPr>
            <w:tcW w:w="240" w:type="dxa"/>
            <w:vAlign w:val="bottom"/>
            <w:shd w:val="clear" w:color="auto" w:fill="CFF0FC"/>
          </w:tcPr>
          <w:p>
            <w:pPr>
              <w:spacing w:after="0"/>
              <w:rPr>
                <w:sz w:val="16"/>
                <w:szCs w:val="16"/>
                <w:color w:val="auto"/>
              </w:rPr>
            </w:pPr>
          </w:p>
        </w:tc>
        <w:tc>
          <w:tcPr>
            <w:tcW w:w="18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80" w:type="dxa"/>
            <w:vAlign w:val="bottom"/>
          </w:tcPr>
          <w:p>
            <w:pPr>
              <w:ind w:left="180"/>
              <w:spacing w:after="0"/>
              <w:rPr>
                <w:sz w:val="20"/>
                <w:szCs w:val="20"/>
                <w:color w:val="auto"/>
              </w:rPr>
            </w:pPr>
            <w:r>
              <w:rPr>
                <w:rFonts w:ascii="Arial" w:cs="Arial" w:eastAsia="Arial" w:hAnsi="Arial"/>
                <w:sz w:val="14"/>
                <w:szCs w:val="14"/>
                <w:b w:val="1"/>
                <w:bCs w:val="1"/>
                <w:color w:val="auto"/>
              </w:rPr>
              <w:t>Total nonperforming loans</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6,175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4,930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OREO, net</w:t>
            </w:r>
          </w:p>
        </w:tc>
        <w:tc>
          <w:tcPr>
            <w:tcW w:w="240" w:type="dxa"/>
            <w:vAlign w:val="bottom"/>
            <w:shd w:val="clear" w:color="auto" w:fill="CFF0FC"/>
          </w:tcPr>
          <w:p>
            <w:pPr>
              <w:spacing w:after="0"/>
              <w:rPr>
                <w:sz w:val="16"/>
                <w:szCs w:val="16"/>
                <w:color w:val="auto"/>
              </w:rPr>
            </w:pPr>
          </w:p>
        </w:tc>
        <w:tc>
          <w:tcPr>
            <w:tcW w:w="18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Total nonperforming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Modified loans / Performing TDRs</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5,836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7,817</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680" w:type="dxa"/>
            <w:vAlign w:val="bottom"/>
          </w:tcPr>
          <w:p>
            <w:pPr>
              <w:ind w:left="20"/>
              <w:spacing w:after="0"/>
              <w:rPr>
                <w:sz w:val="20"/>
                <w:szCs w:val="20"/>
                <w:color w:val="auto"/>
              </w:rPr>
            </w:pPr>
            <w:r>
              <w:rPr>
                <w:rFonts w:ascii="Arial" w:cs="Arial" w:eastAsia="Arial" w:hAnsi="Arial"/>
                <w:sz w:val="14"/>
                <w:szCs w:val="14"/>
                <w:color w:val="auto"/>
              </w:rPr>
              <w:t>Total nonperforming loans and performing modified loans/TDRs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12,011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12,747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680" w:type="dxa"/>
            <w:vAlign w:val="bottom"/>
          </w:tcPr>
          <w:p>
            <w:pPr>
              <w:ind w:left="20"/>
              <w:spacing w:after="0"/>
              <w:rPr>
                <w:sz w:val="20"/>
                <w:szCs w:val="20"/>
                <w:color w:val="auto"/>
              </w:rPr>
            </w:pPr>
            <w:r>
              <w:rPr>
                <w:rFonts w:ascii="Arial" w:cs="Arial" w:eastAsia="Arial" w:hAnsi="Arial"/>
                <w:sz w:val="14"/>
                <w:szCs w:val="14"/>
                <w:color w:val="auto"/>
              </w:rPr>
              <w:t>Percentage of nonperforming loans and performing modified loans/TDRs</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680" w:type="dxa"/>
            <w:vAlign w:val="bottom"/>
          </w:tcPr>
          <w:p>
            <w:pPr>
              <w:ind w:left="140"/>
              <w:spacing w:after="0"/>
              <w:rPr>
                <w:sz w:val="20"/>
                <w:szCs w:val="20"/>
                <w:color w:val="auto"/>
              </w:rPr>
            </w:pPr>
            <w:r>
              <w:rPr>
                <w:rFonts w:ascii="Arial" w:cs="Arial" w:eastAsia="Arial" w:hAnsi="Arial"/>
                <w:sz w:val="14"/>
                <w:szCs w:val="14"/>
                <w:color w:val="auto"/>
              </w:rPr>
              <w:t>to total loans, at amortized cost</w:t>
            </w:r>
          </w:p>
        </w:tc>
        <w:tc>
          <w:tcPr>
            <w:tcW w:w="240" w:type="dxa"/>
            <w:vAlign w:val="bottom"/>
          </w:tcPr>
          <w:p>
            <w:pPr>
              <w:spacing w:after="0"/>
              <w:rPr>
                <w:sz w:val="16"/>
                <w:szCs w:val="16"/>
                <w:color w:val="auto"/>
              </w:rPr>
            </w:pPr>
          </w:p>
        </w:tc>
        <w:tc>
          <w:tcPr>
            <w:tcW w:w="1800" w:type="dxa"/>
            <w:vAlign w:val="bottom"/>
            <w:gridSpan w:val="3"/>
          </w:tcPr>
          <w:p>
            <w:pPr>
              <w:jc w:val="right"/>
              <w:ind w:right="140"/>
              <w:spacing w:after="0"/>
              <w:rPr>
                <w:sz w:val="20"/>
                <w:szCs w:val="20"/>
                <w:color w:val="auto"/>
              </w:rPr>
            </w:pPr>
            <w:r>
              <w:rPr>
                <w:rFonts w:ascii="Arial" w:cs="Arial" w:eastAsia="Arial" w:hAnsi="Arial"/>
                <w:sz w:val="14"/>
                <w:szCs w:val="14"/>
                <w:color w:val="auto"/>
              </w:rPr>
              <w:t>0.13 %</w:t>
            </w:r>
          </w:p>
        </w:tc>
        <w:tc>
          <w:tcPr>
            <w:tcW w:w="1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0.14 %</w:t>
            </w:r>
          </w:p>
        </w:tc>
        <w:tc>
          <w:tcPr>
            <w:tcW w:w="0" w:type="dxa"/>
            <w:vAlign w:val="bottom"/>
          </w:tcPr>
          <w:p>
            <w:pPr>
              <w:spacing w:after="0"/>
              <w:rPr>
                <w:sz w:val="1"/>
                <w:szCs w:val="1"/>
                <w:color w:val="auto"/>
              </w:rPr>
            </w:pPr>
          </w:p>
        </w:tc>
      </w:tr>
      <w:tr>
        <w:trPr>
          <w:trHeight w:val="195"/>
        </w:trPr>
        <w:tc>
          <w:tcPr>
            <w:tcW w:w="6680" w:type="dxa"/>
            <w:vAlign w:val="bottom"/>
            <w:vMerge w:val="restart"/>
          </w:tcPr>
          <w:p>
            <w:pPr>
              <w:ind w:left="20"/>
              <w:spacing w:after="0"/>
              <w:rPr>
                <w:sz w:val="20"/>
                <w:szCs w:val="20"/>
                <w:color w:val="auto"/>
              </w:rPr>
            </w:pPr>
            <w:r>
              <w:rPr>
                <w:rFonts w:ascii="Arial" w:cs="Arial" w:eastAsia="Arial" w:hAnsi="Arial"/>
                <w:sz w:val="14"/>
                <w:szCs w:val="14"/>
                <w:color w:val="auto"/>
              </w:rPr>
              <w:t>Percentage of nonperforming assets to total loans, at amortized cost,</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140"/>
              <w:spacing w:after="0"/>
              <w:rPr>
                <w:sz w:val="20"/>
                <w:szCs w:val="20"/>
                <w:color w:val="auto"/>
              </w:rPr>
            </w:pPr>
            <w:r>
              <w:rPr>
                <w:rFonts w:ascii="Arial" w:cs="Arial" w:eastAsia="Arial" w:hAnsi="Arial"/>
                <w:sz w:val="14"/>
                <w:szCs w:val="14"/>
                <w:color w:val="auto"/>
              </w:rPr>
              <w:t>and OREO</w:t>
            </w:r>
          </w:p>
        </w:tc>
        <w:tc>
          <w:tcPr>
            <w:tcW w:w="240" w:type="dxa"/>
            <w:vAlign w:val="bottom"/>
          </w:tcPr>
          <w:p>
            <w:pPr>
              <w:spacing w:after="0"/>
              <w:rPr>
                <w:sz w:val="16"/>
                <w:szCs w:val="16"/>
                <w:color w:val="auto"/>
              </w:rPr>
            </w:pPr>
          </w:p>
        </w:tc>
        <w:tc>
          <w:tcPr>
            <w:tcW w:w="1800" w:type="dxa"/>
            <w:vAlign w:val="bottom"/>
            <w:gridSpan w:val="3"/>
          </w:tcPr>
          <w:p>
            <w:pPr>
              <w:jc w:val="right"/>
              <w:ind w:right="140"/>
              <w:spacing w:after="0"/>
              <w:rPr>
                <w:sz w:val="20"/>
                <w:szCs w:val="20"/>
                <w:color w:val="auto"/>
              </w:rPr>
            </w:pPr>
            <w:r>
              <w:rPr>
                <w:rFonts w:ascii="Arial" w:cs="Arial" w:eastAsia="Arial" w:hAnsi="Arial"/>
                <w:sz w:val="14"/>
                <w:szCs w:val="14"/>
                <w:color w:val="auto"/>
              </w:rPr>
              <w:t>0.07 %</w:t>
            </w:r>
          </w:p>
        </w:tc>
        <w:tc>
          <w:tcPr>
            <w:tcW w:w="1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0.05 %</w:t>
            </w:r>
          </w:p>
        </w:tc>
        <w:tc>
          <w:tcPr>
            <w:tcW w:w="0" w:type="dxa"/>
            <w:vAlign w:val="bottom"/>
          </w:tcPr>
          <w:p>
            <w:pPr>
              <w:spacing w:after="0"/>
              <w:rPr>
                <w:sz w:val="1"/>
                <w:szCs w:val="1"/>
                <w:color w:val="auto"/>
              </w:rPr>
            </w:pPr>
          </w:p>
        </w:tc>
      </w:tr>
      <w:tr>
        <w:trPr>
          <w:trHeight w:val="186"/>
        </w:trPr>
        <w:tc>
          <w:tcPr>
            <w:tcW w:w="6680" w:type="dxa"/>
            <w:vAlign w:val="bottom"/>
          </w:tcPr>
          <w:p>
            <w:pPr>
              <w:ind w:left="20"/>
              <w:spacing w:after="0"/>
              <w:rPr>
                <w:sz w:val="20"/>
                <w:szCs w:val="20"/>
                <w:color w:val="auto"/>
              </w:rPr>
            </w:pPr>
            <w:r>
              <w:rPr>
                <w:rFonts w:ascii="Arial" w:cs="Arial" w:eastAsia="Arial" w:hAnsi="Arial"/>
                <w:sz w:val="14"/>
                <w:szCs w:val="14"/>
                <w:color w:val="auto"/>
              </w:rPr>
              <w:t>Percentage of nonperforming assets to total assets</w:t>
            </w:r>
          </w:p>
        </w:tc>
        <w:tc>
          <w:tcPr>
            <w:tcW w:w="240" w:type="dxa"/>
            <w:vAlign w:val="bottom"/>
          </w:tcPr>
          <w:p>
            <w:pPr>
              <w:spacing w:after="0"/>
              <w:rPr>
                <w:sz w:val="16"/>
                <w:szCs w:val="16"/>
                <w:color w:val="auto"/>
              </w:rPr>
            </w:pPr>
          </w:p>
        </w:tc>
        <w:tc>
          <w:tcPr>
            <w:tcW w:w="1800" w:type="dxa"/>
            <w:vAlign w:val="bottom"/>
            <w:gridSpan w:val="3"/>
          </w:tcPr>
          <w:p>
            <w:pPr>
              <w:jc w:val="right"/>
              <w:ind w:right="140"/>
              <w:spacing w:after="0"/>
              <w:rPr>
                <w:sz w:val="20"/>
                <w:szCs w:val="20"/>
                <w:color w:val="auto"/>
              </w:rPr>
            </w:pPr>
            <w:r>
              <w:rPr>
                <w:rFonts w:ascii="Arial" w:cs="Arial" w:eastAsia="Arial" w:hAnsi="Arial"/>
                <w:sz w:val="14"/>
                <w:szCs w:val="14"/>
                <w:color w:val="auto"/>
              </w:rPr>
              <w:t>0.04 %</w:t>
            </w:r>
          </w:p>
        </w:tc>
        <w:tc>
          <w:tcPr>
            <w:tcW w:w="1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0.03 %</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Modifications of Loans to Borrowers Experiencing Financial Difficulty</w:t>
      </w:r>
    </w:p>
    <w:p>
      <w:pPr>
        <w:spacing w:after="0" w:line="184" w:lineRule="exact"/>
        <w:rPr>
          <w:sz w:val="20"/>
          <w:szCs w:val="20"/>
          <w:color w:val="auto"/>
        </w:rPr>
      </w:pPr>
    </w:p>
    <w:p>
      <w:pPr>
        <w:ind w:right="340" w:firstLine="432"/>
        <w:spacing w:after="0" w:line="243" w:lineRule="auto"/>
        <w:rPr>
          <w:sz w:val="20"/>
          <w:szCs w:val="20"/>
          <w:color w:val="auto"/>
        </w:rPr>
      </w:pPr>
      <w:r>
        <w:rPr>
          <w:rFonts w:ascii="Arial" w:cs="Arial" w:eastAsia="Arial" w:hAnsi="Arial"/>
          <w:sz w:val="16"/>
          <w:szCs w:val="16"/>
          <w:color w:val="auto"/>
        </w:rPr>
        <w:t>The Company adopted Accounting Standards Update (“ASU”) 2022- 02, Financial Instruments - Credit Losses (Topic 326) Troubled Debt Restructurings and Vintage Disclosures (“ASU 2022-02”) effective January 1, 2023. The amendments in ASU 2022-02 eliminated the recognition and measurement of TDRs and enhanced disclosures for loan modifications to borrowers experiencing financial difficulty.</w:t>
      </w:r>
    </w:p>
    <w:p>
      <w:pPr>
        <w:spacing w:after="0" w:line="161" w:lineRule="exact"/>
        <w:rPr>
          <w:sz w:val="20"/>
          <w:szCs w:val="20"/>
          <w:color w:val="auto"/>
        </w:rPr>
      </w:pPr>
    </w:p>
    <w:p>
      <w:pPr>
        <w:ind w:right="140" w:firstLine="432"/>
        <w:spacing w:after="0" w:line="252" w:lineRule="auto"/>
        <w:rPr>
          <w:sz w:val="20"/>
          <w:szCs w:val="20"/>
          <w:color w:val="auto"/>
        </w:rPr>
      </w:pPr>
      <w:r>
        <w:rPr>
          <w:rFonts w:ascii="Arial" w:cs="Arial" w:eastAsia="Arial" w:hAnsi="Arial"/>
          <w:sz w:val="16"/>
          <w:szCs w:val="16"/>
          <w:color w:val="auto"/>
        </w:rPr>
        <w:t>The table below reflects the amortized cost of loans by type made to borrowers experiencing financial difficulty that were modified during the three months ended March 31, 2023.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Amortized Cost Basis</w:t>
            </w: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w w:val="99"/>
              </w:rPr>
              <w:t>Term Extension</w:t>
            </w:r>
          </w:p>
        </w:tc>
        <w:tc>
          <w:tcPr>
            <w:tcW w:w="2300" w:type="dxa"/>
            <w:vAlign w:val="bottom"/>
            <w:vMerge w:val="restart"/>
          </w:tcPr>
          <w:p>
            <w:pPr>
              <w:jc w:val="center"/>
              <w:ind w:right="482"/>
              <w:spacing w:after="0"/>
              <w:rPr>
                <w:sz w:val="20"/>
                <w:szCs w:val="20"/>
                <w:color w:val="auto"/>
              </w:rPr>
            </w:pPr>
            <w:r>
              <w:rPr>
                <w:rFonts w:ascii="Arial" w:cs="Arial" w:eastAsia="Arial" w:hAnsi="Arial"/>
                <w:sz w:val="16"/>
                <w:szCs w:val="16"/>
                <w:b w:val="1"/>
                <w:bCs w:val="1"/>
                <w:color w:val="auto"/>
                <w:w w:val="96"/>
              </w:rPr>
              <w:t>% of Total Class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jc w:val="right"/>
              <w:ind w:right="142"/>
              <w:spacing w:after="0"/>
              <w:rPr>
                <w:sz w:val="20"/>
                <w:szCs w:val="20"/>
                <w:color w:val="auto"/>
              </w:rPr>
            </w:pPr>
            <w:r>
              <w:rPr>
                <w:rFonts w:ascii="Arial" w:cs="Arial" w:eastAsia="Arial" w:hAnsi="Arial"/>
                <w:sz w:val="16"/>
                <w:szCs w:val="16"/>
                <w:b w:val="1"/>
                <w:bCs w:val="1"/>
                <w:color w:val="auto"/>
              </w:rPr>
              <w:t>at March 31,2023</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00" w:type="dxa"/>
            <w:vAlign w:val="bottom"/>
          </w:tcPr>
          <w:p>
            <w:pPr>
              <w:jc w:val="center"/>
              <w:ind w:right="502"/>
              <w:spacing w:after="0"/>
              <w:rPr>
                <w:sz w:val="20"/>
                <w:szCs w:val="20"/>
                <w:color w:val="auto"/>
              </w:rPr>
            </w:pPr>
            <w:r>
              <w:rPr>
                <w:rFonts w:ascii="Arial" w:cs="Arial" w:eastAsia="Arial" w:hAnsi="Arial"/>
                <w:sz w:val="16"/>
                <w:szCs w:val="16"/>
                <w:b w:val="1"/>
                <w:bCs w:val="1"/>
                <w:color w:val="auto"/>
                <w:w w:val="97"/>
              </w:rPr>
              <w:t>Financing Receivables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460"/>
              <w:spacing w:after="0"/>
              <w:rPr>
                <w:sz w:val="20"/>
                <w:szCs w:val="20"/>
                <w:color w:val="auto"/>
              </w:rPr>
            </w:pPr>
            <w:r>
              <w:rPr>
                <w:rFonts w:ascii="Arial" w:cs="Arial" w:eastAsia="Arial" w:hAnsi="Arial"/>
                <w:sz w:val="16"/>
                <w:szCs w:val="16"/>
                <w:color w:val="auto"/>
              </w:rPr>
              <w:t>Commercial real estate loans</w:t>
            </w:r>
          </w:p>
        </w:tc>
        <w:tc>
          <w:tcPr>
            <w:tcW w:w="2520" w:type="dxa"/>
            <w:vAlign w:val="bottom"/>
            <w:gridSpan w:val="2"/>
          </w:tcPr>
          <w:p>
            <w:pPr>
              <w:jc w:val="right"/>
              <w:ind w:right="192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1,587</w:t>
            </w:r>
          </w:p>
        </w:tc>
        <w:tc>
          <w:tcPr>
            <w:tcW w:w="960" w:type="dxa"/>
            <w:vAlign w:val="bottom"/>
          </w:tcPr>
          <w:p>
            <w:pPr>
              <w:spacing w:after="0"/>
              <w:rPr>
                <w:sz w:val="17"/>
                <w:szCs w:val="17"/>
                <w:color w:val="auto"/>
              </w:rPr>
            </w:pP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4"/>
        </w:trPr>
        <w:tc>
          <w:tcPr>
            <w:tcW w:w="4360" w:type="dxa"/>
            <w:vAlign w:val="bottom"/>
          </w:tcPr>
          <w:p>
            <w:pPr>
              <w:ind w:left="460"/>
              <w:spacing w:after="0"/>
              <w:rPr>
                <w:sz w:val="20"/>
                <w:szCs w:val="20"/>
                <w:color w:val="auto"/>
              </w:rPr>
            </w:pPr>
            <w:r>
              <w:rPr>
                <w:rFonts w:ascii="Arial" w:cs="Arial" w:eastAsia="Arial" w:hAnsi="Arial"/>
                <w:sz w:val="16"/>
                <w:szCs w:val="16"/>
                <w:color w:val="auto"/>
              </w:rPr>
              <w:t>Commercial and industrial</w:t>
            </w: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2,250</w:t>
            </w:r>
          </w:p>
        </w:tc>
        <w:tc>
          <w:tcPr>
            <w:tcW w:w="960" w:type="dxa"/>
            <w:vAlign w:val="bottom"/>
          </w:tcPr>
          <w:p>
            <w:pPr>
              <w:spacing w:after="0"/>
              <w:rPr>
                <w:sz w:val="17"/>
                <w:szCs w:val="17"/>
                <w:color w:val="auto"/>
              </w:rPr>
            </w:pP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05"/>
        </w:trPr>
        <w:tc>
          <w:tcPr>
            <w:tcW w:w="4360" w:type="dxa"/>
            <w:vAlign w:val="bottom"/>
          </w:tcPr>
          <w:p>
            <w:pPr>
              <w:ind w:left="460"/>
              <w:spacing w:after="0"/>
              <w:rPr>
                <w:sz w:val="20"/>
                <w:szCs w:val="20"/>
                <w:color w:val="auto"/>
              </w:rPr>
            </w:pPr>
            <w:r>
              <w:rPr>
                <w:rFonts w:ascii="Arial" w:cs="Arial" w:eastAsia="Arial" w:hAnsi="Arial"/>
                <w:sz w:val="16"/>
                <w:szCs w:val="16"/>
                <w:color w:val="auto"/>
              </w:rPr>
              <w:t>Dairy &amp; livestock and agribusiness</w:t>
            </w: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1,999</w:t>
            </w:r>
          </w:p>
        </w:tc>
        <w:tc>
          <w:tcPr>
            <w:tcW w:w="960" w:type="dxa"/>
            <w:vAlign w:val="bottom"/>
          </w:tcPr>
          <w:p>
            <w:pPr>
              <w:spacing w:after="0"/>
              <w:rPr>
                <w:sz w:val="17"/>
                <w:szCs w:val="17"/>
                <w:color w:val="auto"/>
              </w:rPr>
            </w:pP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5"/>
        </w:trPr>
        <w:tc>
          <w:tcPr>
            <w:tcW w:w="4360" w:type="dxa"/>
            <w:vAlign w:val="bottom"/>
          </w:tcPr>
          <w:p>
            <w:pPr>
              <w:ind w:left="580"/>
              <w:spacing w:after="0"/>
              <w:rPr>
                <w:sz w:val="20"/>
                <w:szCs w:val="20"/>
                <w:color w:val="auto"/>
              </w:rPr>
            </w:pPr>
            <w:r>
              <w:rPr>
                <w:rFonts w:ascii="Arial" w:cs="Arial" w:eastAsia="Arial" w:hAnsi="Arial"/>
                <w:sz w:val="16"/>
                <w:szCs w:val="16"/>
                <w:b w:val="1"/>
                <w:bCs w:val="1"/>
                <w:color w:val="auto"/>
              </w:rPr>
              <w:t>Total</w:t>
            </w:r>
          </w:p>
        </w:tc>
        <w:tc>
          <w:tcPr>
            <w:tcW w:w="2520" w:type="dxa"/>
            <w:vAlign w:val="bottom"/>
            <w:gridSpan w:val="2"/>
          </w:tcPr>
          <w:p>
            <w:pPr>
              <w:jc w:val="right"/>
              <w:ind w:right="192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5,836</w:t>
            </w:r>
          </w:p>
        </w:tc>
        <w:tc>
          <w:tcPr>
            <w:tcW w:w="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520" w:firstLine="432"/>
        <w:spacing w:after="0" w:line="252" w:lineRule="auto"/>
        <w:rPr>
          <w:sz w:val="20"/>
          <w:szCs w:val="20"/>
          <w:color w:val="auto"/>
        </w:rPr>
      </w:pPr>
      <w:r>
        <w:rPr>
          <w:rFonts w:ascii="Arial" w:cs="Arial" w:eastAsia="Arial" w:hAnsi="Arial"/>
          <w:sz w:val="16"/>
          <w:szCs w:val="16"/>
          <w:color w:val="auto"/>
        </w:rPr>
        <w:t>The following table describes the financial effect of the loan modifications made to borrowers experiencing financial difficulty during the three months ended March 31,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408"/>
        </w:trPr>
        <w:tc>
          <w:tcPr>
            <w:tcW w:w="4760" w:type="dxa"/>
            <w:vAlign w:val="bottom"/>
          </w:tcPr>
          <w:p>
            <w:pPr>
              <w:ind w:left="2200"/>
              <w:spacing w:after="0"/>
              <w:rPr>
                <w:sz w:val="20"/>
                <w:szCs w:val="20"/>
                <w:color w:val="auto"/>
              </w:rPr>
            </w:pPr>
            <w:r>
              <w:rPr>
                <w:rFonts w:ascii="Arial" w:cs="Arial" w:eastAsia="Arial" w:hAnsi="Arial"/>
                <w:sz w:val="16"/>
                <w:szCs w:val="16"/>
                <w:b w:val="1"/>
                <w:bCs w:val="1"/>
                <w:color w:val="auto"/>
              </w:rPr>
              <w:t>Loan Type</w:t>
            </w:r>
          </w:p>
        </w:tc>
        <w:tc>
          <w:tcPr>
            <w:tcW w:w="5800" w:type="dxa"/>
            <w:vAlign w:val="bottom"/>
          </w:tcPr>
          <w:p>
            <w:pPr>
              <w:ind w:left="2540"/>
              <w:spacing w:after="0"/>
              <w:rPr>
                <w:sz w:val="20"/>
                <w:szCs w:val="20"/>
                <w:color w:val="auto"/>
              </w:rPr>
            </w:pPr>
            <w:r>
              <w:rPr>
                <w:rFonts w:ascii="Arial" w:cs="Arial" w:eastAsia="Arial" w:hAnsi="Arial"/>
                <w:sz w:val="16"/>
                <w:szCs w:val="16"/>
                <w:b w:val="1"/>
                <w:bCs w:val="1"/>
                <w:color w:val="auto"/>
              </w:rPr>
              <w:t>Financial Effect</w:t>
            </w:r>
          </w:p>
        </w:tc>
      </w:tr>
      <w:tr>
        <w:trPr>
          <w:trHeight w:val="204"/>
        </w:trPr>
        <w:tc>
          <w:tcPr>
            <w:tcW w:w="476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4"/>
        </w:trPr>
        <w:tc>
          <w:tcPr>
            <w:tcW w:w="4760" w:type="dxa"/>
            <w:vAlign w:val="bottom"/>
            <w:shd w:val="clear" w:color="auto" w:fill="CFF0FC"/>
          </w:tcPr>
          <w:p>
            <w:pPr>
              <w:spacing w:after="0"/>
              <w:rPr>
                <w:sz w:val="17"/>
                <w:szCs w:val="17"/>
                <w:color w:val="auto"/>
              </w:rPr>
            </w:pPr>
          </w:p>
        </w:tc>
        <w:tc>
          <w:tcPr>
            <w:tcW w:w="5800" w:type="dxa"/>
            <w:vAlign w:val="bottom"/>
            <w:shd w:val="clear" w:color="auto" w:fill="CFF0FC"/>
          </w:tcPr>
          <w:p>
            <w:pPr>
              <w:ind w:left="2520"/>
              <w:spacing w:after="0"/>
              <w:rPr>
                <w:sz w:val="20"/>
                <w:szCs w:val="20"/>
                <w:color w:val="auto"/>
              </w:rPr>
            </w:pPr>
            <w:r>
              <w:rPr>
                <w:rFonts w:ascii="Arial" w:cs="Arial" w:eastAsia="Arial" w:hAnsi="Arial"/>
                <w:sz w:val="16"/>
                <w:szCs w:val="16"/>
                <w:b w:val="1"/>
                <w:bCs w:val="1"/>
                <w:color w:val="auto"/>
              </w:rPr>
              <w:t>Term Extension</w:t>
            </w:r>
          </w:p>
        </w:tc>
      </w:tr>
    </w:tbl>
    <w:p>
      <w:pPr>
        <w:spacing w:after="0" w:line="5" w:lineRule="exact"/>
        <w:rPr>
          <w:sz w:val="20"/>
          <w:szCs w:val="20"/>
          <w:color w:val="auto"/>
        </w:rPr>
      </w:pPr>
    </w:p>
    <w:p>
      <w:pPr>
        <w:sectPr>
          <w:pgSz w:w="11900" w:h="16840" w:orient="portrait"/>
          <w:cols w:equalWidth="0" w:num="1">
            <w:col w:w="10620"/>
          </w:cols>
          <w:pgMar w:left="660" w:top="782" w:right="620" w:bottom="1440" w:gutter="0" w:footer="0" w:header="0"/>
        </w:sectPr>
      </w:pPr>
    </w:p>
    <w:p>
      <w:pPr>
        <w:ind w:left="420"/>
        <w:spacing w:after="0"/>
        <w:rPr>
          <w:sz w:val="20"/>
          <w:szCs w:val="20"/>
          <w:color w:val="auto"/>
        </w:rPr>
      </w:pPr>
      <w:r>
        <w:rPr>
          <w:rFonts w:ascii="Arial" w:cs="Arial" w:eastAsia="Arial" w:hAnsi="Arial"/>
          <w:sz w:val="16"/>
          <w:szCs w:val="16"/>
          <w:color w:val="auto"/>
        </w:rPr>
        <w:t>Commercial real estate loans</w:t>
      </w:r>
    </w:p>
    <w:p>
      <w:pPr>
        <w:spacing w:after="0" w:line="200" w:lineRule="exact"/>
        <w:rPr>
          <w:sz w:val="20"/>
          <w:szCs w:val="20"/>
          <w:color w:val="auto"/>
        </w:rPr>
      </w:pP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Commercial and industrial</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Dairy &amp; livestock and agribusiness</w:t>
      </w:r>
    </w:p>
    <w:p>
      <w:pPr>
        <w:spacing w:after="0" w:line="20" w:lineRule="exact"/>
        <w:rPr>
          <w:sz w:val="20"/>
          <w:szCs w:val="20"/>
          <w:color w:val="auto"/>
        </w:rPr>
      </w:pPr>
      <w:r>
        <w:rPr>
          <w:sz w:val="20"/>
          <w:szCs w:val="20"/>
          <w:color w:val="auto"/>
        </w:rPr>
        <w:br w:type="column"/>
      </w:r>
    </w:p>
    <w:p>
      <w:pPr>
        <w:ind w:right="540"/>
        <w:spacing w:after="0" w:line="250" w:lineRule="auto"/>
        <w:rPr>
          <w:sz w:val="20"/>
          <w:szCs w:val="20"/>
          <w:color w:val="auto"/>
        </w:rPr>
      </w:pPr>
      <w:r>
        <w:rPr>
          <w:rFonts w:ascii="Arial" w:cs="Arial" w:eastAsia="Arial" w:hAnsi="Arial"/>
          <w:sz w:val="16"/>
          <w:szCs w:val="16"/>
          <w:color w:val="auto"/>
        </w:rPr>
        <w:t>Added a weighted-average 1.1 years to the life of loans, which reduced monthly payment amounts for the borrowers.</w:t>
      </w:r>
    </w:p>
    <w:p>
      <w:pPr>
        <w:spacing w:after="0" w:line="1" w:lineRule="exact"/>
        <w:rPr>
          <w:sz w:val="20"/>
          <w:szCs w:val="20"/>
          <w:color w:val="auto"/>
        </w:rPr>
      </w:pPr>
    </w:p>
    <w:p>
      <w:pPr>
        <w:ind w:right="540"/>
        <w:spacing w:after="0" w:line="252" w:lineRule="auto"/>
        <w:rPr>
          <w:sz w:val="20"/>
          <w:szCs w:val="20"/>
          <w:color w:val="auto"/>
        </w:rPr>
      </w:pPr>
      <w:r>
        <w:rPr>
          <w:rFonts w:ascii="Arial" w:cs="Arial" w:eastAsia="Arial" w:hAnsi="Arial"/>
          <w:sz w:val="16"/>
          <w:szCs w:val="16"/>
          <w:color w:val="auto"/>
        </w:rPr>
        <w:t>Added a weighted-average 0.8 years to the life of loans, which reduced monthly payment amounts for the borrowers.</w:t>
      </w:r>
    </w:p>
    <w:p>
      <w:pPr>
        <w:spacing w:after="0" w:line="70" w:lineRule="exact"/>
        <w:rPr>
          <w:sz w:val="20"/>
          <w:szCs w:val="20"/>
          <w:color w:val="auto"/>
        </w:rPr>
      </w:pPr>
    </w:p>
    <w:p>
      <w:pPr>
        <w:ind w:right="540"/>
        <w:spacing w:after="0" w:line="252" w:lineRule="auto"/>
        <w:rPr>
          <w:sz w:val="20"/>
          <w:szCs w:val="20"/>
          <w:color w:val="auto"/>
        </w:rPr>
      </w:pPr>
      <w:r>
        <w:rPr>
          <w:rFonts w:ascii="Arial" w:cs="Arial" w:eastAsia="Arial" w:hAnsi="Arial"/>
          <w:sz w:val="16"/>
          <w:szCs w:val="16"/>
          <w:color w:val="auto"/>
        </w:rPr>
        <w:t>Added a weighted-average 1.2 years to the life of loans, which reduced monthly payment amounts for the borrowers.</w:t>
      </w:r>
    </w:p>
    <w:p>
      <w:pPr>
        <w:spacing w:after="0" w:line="200" w:lineRule="exact"/>
        <w:rPr>
          <w:sz w:val="20"/>
          <w:szCs w:val="20"/>
          <w:color w:val="auto"/>
        </w:rPr>
      </w:pPr>
    </w:p>
    <w:p>
      <w:pPr>
        <w:sectPr>
          <w:pgSz w:w="11900" w:h="16840" w:orient="portrait"/>
          <w:cols w:equalWidth="0" w:num="2">
            <w:col w:w="4460" w:space="720"/>
            <w:col w:w="5440"/>
          </w:cols>
          <w:pgMar w:left="660" w:top="782" w:right="620" w:bottom="1440" w:gutter="0" w:footer="0" w:header="0"/>
          <w:type w:val="continuous"/>
        </w:sectPr>
      </w:pP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52</w:t>
      </w:r>
    </w:p>
    <w:p>
      <w:pPr>
        <w:sectPr>
          <w:pgSz w:w="11900" w:h="16840" w:orient="portrait"/>
          <w:cols w:equalWidth="0" w:num="1">
            <w:col w:w="10620"/>
          </w:cols>
          <w:pgMar w:left="660" w:top="782" w:right="620" w:bottom="1440" w:gutter="0" w:footer="0" w:header="0"/>
          <w:type w:val="continuous"/>
        </w:sectPr>
      </w:pPr>
    </w:p>
    <w:bookmarkStart w:id="51" w:name="page52"/>
    <w:bookmarkEnd w:id="51"/>
    <w:p>
      <w:pPr>
        <w:jc w:val="both"/>
        <w:ind w:right="180" w:firstLine="432"/>
        <w:spacing w:after="0" w:line="24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As of March 31, 2023, the Company did not have any loans made to borrowers experiencing financial difficulty that were modified during the first quarter of 2023 that subsequently defaulted. Payment default is defined as movement to nonaccrual (nonperforming) status, foreclosure or charge-off, whichever occurs first.</w:t>
      </w:r>
    </w:p>
    <w:p>
      <w:pPr>
        <w:spacing w:after="0" w:line="161"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The following table presents the recorded investment in, and the aging of, past due loans at amortized cost (including nonaccrual loans), by type of loans, made to borrowers experiencing financial difficulty that were modified on or after January 1, 2023, the date we adopted ASU 2022-02.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540" w:type="dxa"/>
            <w:vAlign w:val="bottom"/>
            <w:gridSpan w:val="8"/>
          </w:tcPr>
          <w:p>
            <w:pPr>
              <w:jc w:val="center"/>
              <w:ind w:left="122"/>
              <w:spacing w:after="0"/>
              <w:rPr>
                <w:sz w:val="20"/>
                <w:szCs w:val="20"/>
                <w:color w:val="auto"/>
              </w:rPr>
            </w:pPr>
            <w:r>
              <w:rPr>
                <w:rFonts w:ascii="Arial" w:cs="Arial" w:eastAsia="Arial" w:hAnsi="Arial"/>
                <w:sz w:val="16"/>
                <w:szCs w:val="16"/>
                <w:b w:val="1"/>
                <w:bCs w:val="1"/>
                <w:color w:val="auto"/>
                <w:w w:val="97"/>
              </w:rPr>
              <w:t>Payment Status (amortized cost basis)</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220"/>
              <w:spacing w:after="0" w:line="180" w:lineRule="exact"/>
              <w:rPr>
                <w:sz w:val="20"/>
                <w:szCs w:val="20"/>
                <w:color w:val="auto"/>
              </w:rPr>
            </w:pPr>
            <w:r>
              <w:rPr>
                <w:rFonts w:ascii="Arial" w:cs="Arial" w:eastAsia="Arial" w:hAnsi="Arial"/>
                <w:sz w:val="16"/>
                <w:szCs w:val="16"/>
                <w:b w:val="1"/>
                <w:bCs w:val="1"/>
                <w:color w:val="auto"/>
                <w:w w:val="98"/>
              </w:rPr>
              <w:t>30-89 Days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220"/>
              <w:spacing w:after="0" w:line="180" w:lineRule="exact"/>
              <w:rPr>
                <w:sz w:val="20"/>
                <w:szCs w:val="20"/>
                <w:color w:val="auto"/>
              </w:rPr>
            </w:pPr>
            <w:r>
              <w:rPr>
                <w:rFonts w:ascii="Arial" w:cs="Arial" w:eastAsia="Arial" w:hAnsi="Arial"/>
                <w:sz w:val="16"/>
                <w:szCs w:val="16"/>
                <w:b w:val="1"/>
                <w:bCs w:val="1"/>
                <w:color w:val="auto"/>
              </w:rPr>
              <w:t>90+ Days</w:t>
            </w:r>
          </w:p>
        </w:tc>
      </w:tr>
      <w:tr>
        <w:trPr>
          <w:trHeight w:val="206"/>
        </w:trPr>
        <w:tc>
          <w:tcPr>
            <w:tcW w:w="4240" w:type="dxa"/>
            <w:vAlign w:val="bottom"/>
          </w:tcPr>
          <w:p>
            <w:pPr>
              <w:spacing w:after="0"/>
              <w:rPr>
                <w:sz w:val="17"/>
                <w:szCs w:val="17"/>
                <w:color w:val="auto"/>
              </w:rPr>
            </w:pPr>
          </w:p>
        </w:tc>
        <w:tc>
          <w:tcPr>
            <w:tcW w:w="1240" w:type="dxa"/>
            <w:vAlign w:val="bottom"/>
          </w:tcPr>
          <w:p>
            <w:pPr>
              <w:jc w:val="right"/>
              <w:ind w:right="26"/>
              <w:spacing w:after="0"/>
              <w:rPr>
                <w:sz w:val="20"/>
                <w:szCs w:val="20"/>
                <w:color w:val="auto"/>
              </w:rPr>
            </w:pPr>
            <w:r>
              <w:rPr>
                <w:rFonts w:ascii="Arial" w:cs="Arial" w:eastAsia="Arial" w:hAnsi="Arial"/>
                <w:sz w:val="16"/>
                <w:szCs w:val="16"/>
                <w:b w:val="1"/>
                <w:bCs w:val="1"/>
                <w:color w:val="auto"/>
              </w:rPr>
              <w:t>Current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Past Due</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Past Due</w:t>
            </w:r>
          </w:p>
        </w:tc>
      </w:t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i w:val="1"/>
                <w:iCs w:val="1"/>
                <w:color w:val="auto"/>
                <w:w w:val="97"/>
              </w:rPr>
              <w:t>(Dollars in thousands)</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Commercial real estate loans</w:t>
            </w:r>
          </w:p>
        </w:tc>
        <w:tc>
          <w:tcPr>
            <w:tcW w:w="1240" w:type="dxa"/>
            <w:vAlign w:val="bottom"/>
            <w:shd w:val="clear" w:color="auto" w:fill="CFF0FC"/>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1,587</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FF0FC"/>
          </w:tcPr>
          <w:p>
            <w:pPr>
              <w:ind w:left="15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3"/>
        </w:trPr>
        <w:tc>
          <w:tcPr>
            <w:tcW w:w="4240" w:type="dxa"/>
            <w:vAlign w:val="bottom"/>
          </w:tcPr>
          <w:p>
            <w:pPr>
              <w:ind w:left="400"/>
              <w:spacing w:after="0"/>
              <w:rPr>
                <w:sz w:val="20"/>
                <w:szCs w:val="20"/>
                <w:color w:val="auto"/>
              </w:rPr>
            </w:pPr>
            <w:r>
              <w:rPr>
                <w:rFonts w:ascii="Arial" w:cs="Arial" w:eastAsia="Arial" w:hAnsi="Arial"/>
                <w:sz w:val="16"/>
                <w:szCs w:val="16"/>
                <w:color w:val="auto"/>
              </w:rPr>
              <w:t>Commercial and industrial</w:t>
            </w:r>
          </w:p>
        </w:tc>
        <w:tc>
          <w:tcPr>
            <w:tcW w:w="1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ind w:left="1280"/>
              <w:spacing w:after="0"/>
              <w:rPr>
                <w:sz w:val="20"/>
                <w:szCs w:val="20"/>
                <w:color w:val="auto"/>
              </w:rPr>
            </w:pPr>
            <w:r>
              <w:rPr>
                <w:rFonts w:ascii="Arial" w:cs="Arial" w:eastAsia="Arial" w:hAnsi="Arial"/>
                <w:sz w:val="16"/>
                <w:szCs w:val="16"/>
                <w:color w:val="auto"/>
              </w:rPr>
              <w:t>—</w:t>
            </w:r>
          </w:p>
        </w:tc>
      </w:tr>
      <w:tr>
        <w:trPr>
          <w:trHeight w:val="205"/>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Dairy &amp; livestock and agribusiness</w:t>
            </w:r>
          </w:p>
        </w:tc>
        <w:tc>
          <w:tcPr>
            <w:tcW w:w="1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1,999</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ind w:left="15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4"/>
        </w:trPr>
        <w:tc>
          <w:tcPr>
            <w:tcW w:w="4240" w:type="dxa"/>
            <w:vAlign w:val="bottom"/>
          </w:tcPr>
          <w:p>
            <w:pPr>
              <w:ind w:left="540"/>
              <w:spacing w:after="0"/>
              <w:rPr>
                <w:sz w:val="20"/>
                <w:szCs w:val="20"/>
                <w:color w:val="auto"/>
              </w:rPr>
            </w:pPr>
            <w:r>
              <w:rPr>
                <w:rFonts w:ascii="Arial" w:cs="Arial" w:eastAsia="Arial" w:hAnsi="Arial"/>
                <w:sz w:val="16"/>
                <w:szCs w:val="16"/>
                <w:b w:val="1"/>
                <w:bCs w:val="1"/>
                <w:color w:val="auto"/>
              </w:rPr>
              <w:t>Total</w:t>
            </w:r>
          </w:p>
        </w:tc>
        <w:tc>
          <w:tcPr>
            <w:tcW w:w="1240" w:type="dxa"/>
            <w:vAlign w:val="bottom"/>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5,836</w:t>
            </w:r>
          </w:p>
        </w:tc>
        <w:tc>
          <w:tcPr>
            <w:tcW w:w="1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80"/>
              <w:spacing w:after="0"/>
              <w:rPr>
                <w:sz w:val="20"/>
                <w:szCs w:val="20"/>
                <w:color w:val="auto"/>
              </w:rPr>
            </w:pPr>
            <w:r>
              <w:rPr>
                <w:rFonts w:ascii="Arial" w:cs="Arial" w:eastAsia="Arial" w:hAnsi="Arial"/>
                <w:sz w:val="16"/>
                <w:szCs w:val="16"/>
                <w:color w:val="auto"/>
              </w:rPr>
              <w:t>—</w:t>
            </w:r>
          </w:p>
        </w:tc>
      </w:tr>
      <w:tr>
        <w:trPr>
          <w:trHeight w:val="20"/>
        </w:trPr>
        <w:tc>
          <w:tcPr>
            <w:tcW w:w="4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Troubled Debt Restructurings (“TDRs”)</w:t>
      </w:r>
    </w:p>
    <w:p>
      <w:pPr>
        <w:spacing w:after="0" w:line="184" w:lineRule="exact"/>
        <w:rPr>
          <w:sz w:val="20"/>
          <w:szCs w:val="20"/>
          <w:color w:val="auto"/>
        </w:rPr>
      </w:pPr>
    </w:p>
    <w:p>
      <w:pPr>
        <w:jc w:val="both"/>
        <w:ind w:right="260" w:firstLine="432"/>
        <w:spacing w:after="0"/>
        <w:rPr>
          <w:sz w:val="20"/>
          <w:szCs w:val="20"/>
          <w:color w:val="auto"/>
        </w:rPr>
      </w:pPr>
      <w:r>
        <w:rPr>
          <w:rFonts w:ascii="Arial" w:cs="Arial" w:eastAsia="Arial" w:hAnsi="Arial"/>
          <w:sz w:val="16"/>
          <w:szCs w:val="16"/>
          <w:color w:val="auto"/>
        </w:rPr>
        <w:t xml:space="preserve">Prior to January 1, 2023, loans reported as TDRs were considered impaired and charge-off amounts were taken on an individual loan basis, as deemed appropriate. The majority of restructured loans are loans for which the terms of repayment have been renegotiated, resulting in a reduction in interest rate or deferral of principal. Refer to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included in our Annual Report on Form 10-K for the year ended December 31, 2022 for a more detailed discussion regarding TDRs.</w:t>
      </w:r>
    </w:p>
    <w:p>
      <w:pPr>
        <w:spacing w:after="0" w:line="164" w:lineRule="exact"/>
        <w:rPr>
          <w:sz w:val="20"/>
          <w:szCs w:val="20"/>
          <w:color w:val="auto"/>
        </w:rPr>
      </w:pPr>
    </w:p>
    <w:p>
      <w:pPr>
        <w:ind w:right="120" w:firstLine="432"/>
        <w:spacing w:after="0"/>
        <w:rPr>
          <w:sz w:val="20"/>
          <w:szCs w:val="20"/>
          <w:color w:val="auto"/>
        </w:rPr>
      </w:pPr>
      <w:r>
        <w:rPr>
          <w:rFonts w:ascii="Arial" w:cs="Arial" w:eastAsia="Arial" w:hAnsi="Arial"/>
          <w:sz w:val="16"/>
          <w:szCs w:val="16"/>
          <w:color w:val="auto"/>
        </w:rPr>
        <w:t>Total TDRs $7.8 million at December 31, 2022. At December 31, 2022,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tcPr>
          <w:p>
            <w:pPr>
              <w:ind w:left="440"/>
              <w:spacing w:after="0"/>
              <w:rPr>
                <w:sz w:val="20"/>
                <w:szCs w:val="20"/>
                <w:color w:val="auto"/>
              </w:rPr>
            </w:pPr>
            <w:r>
              <w:rPr>
                <w:rFonts w:ascii="Arial" w:cs="Arial" w:eastAsia="Arial" w:hAnsi="Arial"/>
                <w:sz w:val="16"/>
                <w:szCs w:val="16"/>
                <w:color w:val="auto"/>
              </w:rPr>
              <w:t>The following table provides a summary of TDRs as of the dates presented.</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5"/>
          </w:tcPr>
          <w:p>
            <w:pPr>
              <w:ind w:left="70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04"/>
        </w:trPr>
        <w:tc>
          <w:tcPr>
            <w:tcW w:w="6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7"/>
                <w:szCs w:val="17"/>
                <w:color w:val="auto"/>
              </w:rPr>
            </w:pPr>
          </w:p>
        </w:tc>
        <w:tc>
          <w:tcPr>
            <w:tcW w:w="1620" w:type="dxa"/>
            <w:vAlign w:val="bottom"/>
          </w:tcPr>
          <w:p>
            <w:pPr>
              <w:jc w:val="right"/>
              <w:ind w:right="102"/>
              <w:spacing w:after="0"/>
              <w:rPr>
                <w:sz w:val="20"/>
                <w:szCs w:val="20"/>
                <w:color w:val="auto"/>
              </w:rPr>
            </w:pPr>
            <w:r>
              <w:rPr>
                <w:rFonts w:ascii="Arial" w:cs="Arial" w:eastAsia="Arial" w:hAnsi="Arial"/>
                <w:sz w:val="16"/>
                <w:szCs w:val="16"/>
                <w:b w:val="1"/>
                <w:bCs w:val="1"/>
                <w:color w:val="auto"/>
              </w:rPr>
              <w:t>Number of Loans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4"/>
          </w:tcPr>
          <w:p>
            <w:pPr>
              <w:jc w:val="right"/>
              <w:ind w:right="1002"/>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Performing TDRs: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20" w:type="dxa"/>
            <w:vAlign w:val="bottom"/>
          </w:tcPr>
          <w:p>
            <w:pPr>
              <w:ind w:left="100"/>
              <w:spacing w:after="0"/>
              <w:rPr>
                <w:sz w:val="20"/>
                <w:szCs w:val="20"/>
                <w:color w:val="auto"/>
              </w:rPr>
            </w:pPr>
            <w:r>
              <w:rPr>
                <w:rFonts w:ascii="Arial" w:cs="Arial" w:eastAsia="Arial" w:hAnsi="Arial"/>
                <w:sz w:val="16"/>
                <w:szCs w:val="16"/>
                <w:color w:val="auto"/>
              </w:rPr>
              <w:t>Commercial real estate</w:t>
            </w:r>
          </w:p>
        </w:tc>
        <w:tc>
          <w:tcPr>
            <w:tcW w:w="44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9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Construction</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20" w:type="dxa"/>
            <w:vAlign w:val="bottom"/>
          </w:tcPr>
          <w:p>
            <w:pPr>
              <w:ind w:left="100"/>
              <w:spacing w:after="0"/>
              <w:rPr>
                <w:sz w:val="20"/>
                <w:szCs w:val="20"/>
                <w:color w:val="auto"/>
              </w:rPr>
            </w:pPr>
            <w:r>
              <w:rPr>
                <w:rFonts w:ascii="Arial" w:cs="Arial" w:eastAsia="Arial" w:hAnsi="Arial"/>
                <w:sz w:val="16"/>
                <w:szCs w:val="16"/>
                <w:color w:val="auto"/>
              </w:rPr>
              <w:t>SBA</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9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and industrial</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4,826</w:t>
            </w:r>
          </w:p>
        </w:tc>
        <w:tc>
          <w:tcPr>
            <w:tcW w:w="1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Pr>
          <w:p>
            <w:pPr>
              <w:ind w:left="100"/>
              <w:spacing w:after="0"/>
              <w:rPr>
                <w:sz w:val="20"/>
                <w:szCs w:val="20"/>
                <w:color w:val="auto"/>
              </w:rPr>
            </w:pPr>
            <w:r>
              <w:rPr>
                <w:rFonts w:ascii="Arial" w:cs="Arial" w:eastAsia="Arial" w:hAnsi="Arial"/>
                <w:sz w:val="16"/>
                <w:szCs w:val="16"/>
                <w:color w:val="auto"/>
              </w:rPr>
              <w:t>Dairy &amp; livestock and agribusiness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SFR mortgage</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Pr>
          <w:p>
            <w:pPr>
              <w:ind w:left="100"/>
              <w:spacing w:after="0"/>
              <w:rPr>
                <w:sz w:val="20"/>
                <w:szCs w:val="20"/>
                <w:color w:val="auto"/>
              </w:rPr>
            </w:pPr>
            <w:r>
              <w:rPr>
                <w:rFonts w:ascii="Arial" w:cs="Arial" w:eastAsia="Arial" w:hAnsi="Arial"/>
                <w:sz w:val="16"/>
                <w:szCs w:val="16"/>
                <w:color w:val="auto"/>
              </w:rPr>
              <w:t>Consumer and other</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performing TDRs</w:t>
            </w:r>
          </w:p>
        </w:tc>
        <w:tc>
          <w:tcPr>
            <w:tcW w:w="44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7,817</w:t>
            </w:r>
          </w:p>
        </w:tc>
        <w:tc>
          <w:tcPr>
            <w:tcW w:w="1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6920" w:type="dxa"/>
            <w:vAlign w:val="bottom"/>
          </w:tcPr>
          <w:p>
            <w:pPr>
              <w:ind w:left="20"/>
              <w:spacing w:after="0"/>
              <w:rPr>
                <w:sz w:val="20"/>
                <w:szCs w:val="20"/>
                <w:color w:val="auto"/>
              </w:rPr>
            </w:pPr>
            <w:r>
              <w:rPr>
                <w:rFonts w:ascii="Arial" w:cs="Arial" w:eastAsia="Arial" w:hAnsi="Arial"/>
                <w:sz w:val="16"/>
                <w:szCs w:val="16"/>
                <w:color w:val="auto"/>
              </w:rPr>
              <w:t>Nonperforming TDRs: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9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real estate</w:t>
            </w:r>
          </w:p>
        </w:tc>
        <w:tc>
          <w:tcPr>
            <w:tcW w:w="44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20" w:type="dxa"/>
            <w:vAlign w:val="bottom"/>
          </w:tcPr>
          <w:p>
            <w:pPr>
              <w:ind w:left="100"/>
              <w:spacing w:after="0"/>
              <w:rPr>
                <w:sz w:val="20"/>
                <w:szCs w:val="20"/>
                <w:color w:val="auto"/>
              </w:rPr>
            </w:pPr>
            <w:r>
              <w:rPr>
                <w:rFonts w:ascii="Arial" w:cs="Arial" w:eastAsia="Arial" w:hAnsi="Arial"/>
                <w:sz w:val="16"/>
                <w:szCs w:val="16"/>
                <w:color w:val="auto"/>
              </w:rPr>
              <w:t>Construction</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9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SBA</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20" w:type="dxa"/>
            <w:vAlign w:val="bottom"/>
          </w:tcPr>
          <w:p>
            <w:pPr>
              <w:ind w:left="100"/>
              <w:spacing w:after="0"/>
              <w:rPr>
                <w:sz w:val="20"/>
                <w:szCs w:val="20"/>
                <w:color w:val="auto"/>
              </w:rPr>
            </w:pPr>
            <w:r>
              <w:rPr>
                <w:rFonts w:ascii="Arial" w:cs="Arial" w:eastAsia="Arial" w:hAnsi="Arial"/>
                <w:sz w:val="16"/>
                <w:szCs w:val="16"/>
                <w:color w:val="auto"/>
              </w:rPr>
              <w:t>Commercial and industrial</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9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Dairy &amp; livestock and agribusiness</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20" w:type="dxa"/>
            <w:vAlign w:val="bottom"/>
          </w:tcPr>
          <w:p>
            <w:pPr>
              <w:ind w:left="100"/>
              <w:spacing w:after="0"/>
              <w:rPr>
                <w:sz w:val="20"/>
                <w:szCs w:val="20"/>
                <w:color w:val="auto"/>
              </w:rPr>
            </w:pPr>
            <w:r>
              <w:rPr>
                <w:rFonts w:ascii="Arial" w:cs="Arial" w:eastAsia="Arial" w:hAnsi="Arial"/>
                <w:sz w:val="16"/>
                <w:szCs w:val="16"/>
                <w:color w:val="auto"/>
              </w:rPr>
              <w:t>SFR mortgage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Consumer and other</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7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4"/>
        </w:trPr>
        <w:tc>
          <w:tcPr>
            <w:tcW w:w="6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38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7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20" w:type="dxa"/>
            <w:vAlign w:val="bottom"/>
          </w:tcPr>
          <w:p>
            <w:pPr>
              <w:ind w:left="260"/>
              <w:spacing w:after="0"/>
              <w:rPr>
                <w:sz w:val="20"/>
                <w:szCs w:val="20"/>
                <w:color w:val="auto"/>
              </w:rPr>
            </w:pPr>
            <w:r>
              <w:rPr>
                <w:rFonts w:ascii="Arial" w:cs="Arial" w:eastAsia="Arial" w:hAnsi="Arial"/>
                <w:sz w:val="16"/>
                <w:szCs w:val="16"/>
                <w:color w:val="auto"/>
              </w:rPr>
              <w:t>Total nonperforming TDRs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5"/>
        </w:trPr>
        <w:tc>
          <w:tcPr>
            <w:tcW w:w="692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rPr>
              <w:t>Total TDRs</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7,817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right="80" w:firstLine="432"/>
        <w:spacing w:after="0" w:line="241" w:lineRule="auto"/>
        <w:rPr>
          <w:sz w:val="20"/>
          <w:szCs w:val="20"/>
          <w:color w:val="auto"/>
        </w:rPr>
      </w:pPr>
      <w:r>
        <w:rPr>
          <w:rFonts w:ascii="Arial" w:cs="Arial" w:eastAsia="Arial" w:hAnsi="Arial"/>
          <w:sz w:val="16"/>
          <w:szCs w:val="16"/>
          <w:color w:val="auto"/>
        </w:rPr>
        <w:t>At March 31, 2023 and December 31, 2022, there was no ACL allocated to modified loans to borrowers experiencing Financial Difficulty under the ASU 2022-02 or under TDRs, respectively. Impairment amounts identified are typically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40" w:orient="portrait"/>
          <w:cols w:equalWidth="0" w:num="1">
            <w:col w:w="10560"/>
          </w:cols>
          <w:pgMar w:left="660" w:top="790" w:right="680" w:bottom="1440" w:gutter="0" w:footer="0" w:header="0"/>
        </w:sectPr>
      </w:pPr>
    </w:p>
    <w:bookmarkStart w:id="52" w:name="page53"/>
    <w:bookmarkEnd w:id="52"/>
    <w:p>
      <w:pPr>
        <w:ind w:right="520"/>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charged off against the allowance at the time the loan is considered uncollectible. There were no charge-offs on TDRs for the three months ended March 31, 2023 and 2022.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Nonperforming Assets and Delinquencies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provides trends in our nonperforming assets and delinquencies as of the dates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5"/>
                <w:szCs w:val="15"/>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74"/>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74"/>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94"/>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9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7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60" w:type="dxa"/>
            <w:vAlign w:val="bottom"/>
            <w:gridSpan w:val="6"/>
            <w:shd w:val="clear" w:color="auto" w:fill="CFF0FC"/>
          </w:tcPr>
          <w:p>
            <w:pPr>
              <w:ind w:left="20"/>
              <w:spacing w:after="0"/>
              <w:rPr>
                <w:sz w:val="20"/>
                <w:szCs w:val="20"/>
                <w:color w:val="auto"/>
              </w:rPr>
            </w:pPr>
            <w:r>
              <w:rPr>
                <w:rFonts w:ascii="Arial" w:cs="Arial" w:eastAsia="Arial" w:hAnsi="Arial"/>
                <w:sz w:val="13"/>
                <w:szCs w:val="13"/>
                <w:b w:val="1"/>
                <w:bCs w:val="1"/>
                <w:color w:val="auto"/>
              </w:rPr>
              <w:t>Nonperforming loans:</w:t>
            </w: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Commercial real estate</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2,634</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2,657</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6,705</w:t>
            </w:r>
          </w:p>
        </w:tc>
        <w:tc>
          <w:tcPr>
            <w:tcW w:w="26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6,843</w:t>
            </w:r>
          </w:p>
        </w:tc>
        <w:tc>
          <w:tcPr>
            <w:tcW w:w="24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7,055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Construction</w:t>
            </w:r>
          </w:p>
        </w:tc>
        <w:tc>
          <w:tcPr>
            <w:tcW w:w="2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SBA</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702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1,075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1,575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SBA - PPP</w:t>
            </w:r>
          </w:p>
        </w:tc>
        <w:tc>
          <w:tcPr>
            <w:tcW w:w="2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Commercial and industrial</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2,049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1,308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1,655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1,771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Dairy &amp; livestock and agribusiness</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1,007</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2,655</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SFR mortgage</w:t>
            </w:r>
          </w:p>
        </w:tc>
        <w:tc>
          <w:tcPr>
            <w:tcW w:w="2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Consumer and other loans</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40" w:type="dxa"/>
            <w:vAlign w:val="bottom"/>
            <w:gridSpan w:val="5"/>
            <w:vMerge w:val="restart"/>
          </w:tcPr>
          <w:p>
            <w:pPr>
              <w:ind w:left="32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6,175</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4,930</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10,117</w:t>
            </w:r>
          </w:p>
        </w:tc>
        <w:tc>
          <w:tcPr>
            <w:tcW w:w="26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12,964</w:t>
            </w:r>
          </w:p>
        </w:tc>
        <w:tc>
          <w:tcPr>
            <w:tcW w:w="24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13,265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4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5"/>
          </w:tcPr>
          <w:p>
            <w:pPr>
              <w:ind w:left="320"/>
              <w:spacing w:after="0"/>
              <w:rPr>
                <w:sz w:val="20"/>
                <w:szCs w:val="20"/>
                <w:color w:val="auto"/>
              </w:rPr>
            </w:pPr>
            <w:r>
              <w:rPr>
                <w:rFonts w:ascii="Arial" w:cs="Arial" w:eastAsia="Arial" w:hAnsi="Arial"/>
                <w:sz w:val="13"/>
                <w:szCs w:val="13"/>
                <w:b w:val="1"/>
                <w:bCs w:val="1"/>
                <w:color w:val="auto"/>
              </w:rPr>
              <w:t>% of Total loans</w:t>
            </w:r>
          </w:p>
        </w:tc>
        <w:tc>
          <w:tcPr>
            <w:tcW w:w="2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0.07 %</w:t>
            </w:r>
          </w:p>
        </w:tc>
        <w:tc>
          <w:tcPr>
            <w:tcW w:w="1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0.05 %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0.12 %</w:t>
            </w:r>
          </w:p>
        </w:tc>
        <w:tc>
          <w:tcPr>
            <w:tcW w:w="20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0.15 %</w:t>
            </w:r>
          </w:p>
        </w:tc>
        <w:tc>
          <w:tcPr>
            <w:tcW w:w="18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0.15 %</w:t>
            </w:r>
          </w:p>
        </w:tc>
        <w:tc>
          <w:tcPr>
            <w:tcW w:w="0" w:type="dxa"/>
            <w:vAlign w:val="bottom"/>
          </w:tcPr>
          <w:p>
            <w:pPr>
              <w:spacing w:after="0"/>
              <w:rPr>
                <w:sz w:val="1"/>
                <w:szCs w:val="1"/>
                <w:color w:val="auto"/>
              </w:rPr>
            </w:pPr>
          </w:p>
        </w:tc>
      </w:tr>
      <w:tr>
        <w:trPr>
          <w:trHeight w:val="324"/>
        </w:trPr>
        <w:tc>
          <w:tcPr>
            <w:tcW w:w="3460" w:type="dxa"/>
            <w:vAlign w:val="bottom"/>
            <w:gridSpan w:val="6"/>
          </w:tcPr>
          <w:p>
            <w:pPr>
              <w:ind w:left="20"/>
              <w:spacing w:after="0"/>
              <w:rPr>
                <w:sz w:val="20"/>
                <w:szCs w:val="20"/>
                <w:color w:val="auto"/>
              </w:rPr>
            </w:pPr>
            <w:r>
              <w:rPr>
                <w:rFonts w:ascii="Arial" w:cs="Arial" w:eastAsia="Arial" w:hAnsi="Arial"/>
                <w:sz w:val="13"/>
                <w:szCs w:val="13"/>
                <w:b w:val="1"/>
                <w:bCs w:val="1"/>
                <w:color w:val="auto"/>
              </w:rPr>
              <w:t>Past due 30-89 days: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Commercial real estate</w:t>
            </w:r>
          </w:p>
        </w:tc>
        <w:tc>
          <w:tcPr>
            <w:tcW w:w="2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Construction</w:t>
            </w:r>
          </w:p>
        </w:tc>
        <w:tc>
          <w:tcPr>
            <w:tcW w:w="2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SBA</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556</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Commercial and industrial</w:t>
            </w:r>
          </w:p>
        </w:tc>
        <w:tc>
          <w:tcPr>
            <w:tcW w:w="2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Dairy &amp; livestock and agribusiness</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1,099</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SFR mortgage</w:t>
            </w:r>
          </w:p>
        </w:tc>
        <w:tc>
          <w:tcPr>
            <w:tcW w:w="2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388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Consumer and other loans</w:t>
            </w:r>
          </w:p>
        </w:tc>
        <w:tc>
          <w:tcPr>
            <w:tcW w:w="2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5"/>
          </w:tcPr>
          <w:p>
            <w:pPr>
              <w:ind w:left="32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1,183</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1,119</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559</w:t>
            </w:r>
          </w:p>
        </w:tc>
        <w:tc>
          <w:tcPr>
            <w:tcW w:w="24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2,622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5"/>
          </w:tcPr>
          <w:p>
            <w:pPr>
              <w:ind w:left="320"/>
              <w:spacing w:after="0"/>
              <w:rPr>
                <w:sz w:val="20"/>
                <w:szCs w:val="20"/>
                <w:color w:val="auto"/>
              </w:rPr>
            </w:pPr>
            <w:r>
              <w:rPr>
                <w:rFonts w:ascii="Arial" w:cs="Arial" w:eastAsia="Arial" w:hAnsi="Arial"/>
                <w:sz w:val="13"/>
                <w:szCs w:val="13"/>
                <w:b w:val="1"/>
                <w:bCs w:val="1"/>
                <w:color w:val="auto"/>
              </w:rPr>
              <w:t>% of Total loans</w:t>
            </w:r>
          </w:p>
        </w:tc>
        <w:tc>
          <w:tcPr>
            <w:tcW w:w="2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0.01 %</w:t>
            </w:r>
          </w:p>
        </w:tc>
        <w:tc>
          <w:tcPr>
            <w:tcW w:w="1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0.01 %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0.01 %</w:t>
            </w:r>
          </w:p>
        </w:tc>
        <w:tc>
          <w:tcPr>
            <w:tcW w:w="18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0.03 %</w:t>
            </w:r>
          </w:p>
        </w:tc>
        <w:tc>
          <w:tcPr>
            <w:tcW w:w="0" w:type="dxa"/>
            <w:vAlign w:val="bottom"/>
          </w:tcPr>
          <w:p>
            <w:pPr>
              <w:spacing w:after="0"/>
              <w:rPr>
                <w:sz w:val="1"/>
                <w:szCs w:val="1"/>
                <w:color w:val="auto"/>
              </w:rPr>
            </w:pPr>
          </w:p>
        </w:tc>
      </w:tr>
      <w:tr>
        <w:trPr>
          <w:trHeight w:val="324"/>
        </w:trPr>
        <w:tc>
          <w:tcPr>
            <w:tcW w:w="3460" w:type="dxa"/>
            <w:vAlign w:val="bottom"/>
            <w:gridSpan w:val="6"/>
          </w:tcPr>
          <w:p>
            <w:pPr>
              <w:ind w:left="20"/>
              <w:spacing w:after="0"/>
              <w:rPr>
                <w:sz w:val="20"/>
                <w:szCs w:val="20"/>
                <w:color w:val="auto"/>
              </w:rPr>
            </w:pPr>
            <w:r>
              <w:rPr>
                <w:rFonts w:ascii="Arial" w:cs="Arial" w:eastAsia="Arial" w:hAnsi="Arial"/>
                <w:sz w:val="13"/>
                <w:szCs w:val="13"/>
                <w:b w:val="1"/>
                <w:bCs w:val="1"/>
                <w:color w:val="auto"/>
              </w:rPr>
              <w:t>OREO:</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Commercial real estate</w:t>
            </w:r>
          </w:p>
        </w:tc>
        <w:tc>
          <w:tcPr>
            <w:tcW w:w="2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ind w:left="160"/>
              <w:spacing w:after="0"/>
              <w:rPr>
                <w:sz w:val="20"/>
                <w:szCs w:val="20"/>
                <w:color w:val="auto"/>
              </w:rPr>
            </w:pPr>
            <w:r>
              <w:rPr>
                <w:rFonts w:ascii="Arial" w:cs="Arial" w:eastAsia="Arial" w:hAnsi="Arial"/>
                <w:sz w:val="13"/>
                <w:szCs w:val="13"/>
                <w:color w:val="auto"/>
              </w:rPr>
              <w:t>SBA</w:t>
            </w:r>
          </w:p>
        </w:tc>
        <w:tc>
          <w:tcPr>
            <w:tcW w:w="2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440" w:type="dxa"/>
            <w:vAlign w:val="bottom"/>
            <w:gridSpan w:val="5"/>
            <w:shd w:val="clear" w:color="auto" w:fill="CFF0FC"/>
          </w:tcPr>
          <w:p>
            <w:pPr>
              <w:ind w:left="160"/>
              <w:spacing w:after="0"/>
              <w:rPr>
                <w:sz w:val="20"/>
                <w:szCs w:val="20"/>
                <w:color w:val="auto"/>
              </w:rPr>
            </w:pPr>
            <w:r>
              <w:rPr>
                <w:rFonts w:ascii="Arial" w:cs="Arial" w:eastAsia="Arial" w:hAnsi="Arial"/>
                <w:sz w:val="13"/>
                <w:szCs w:val="13"/>
                <w:color w:val="auto"/>
              </w:rPr>
              <w:t>SFR mortgage</w:t>
            </w:r>
          </w:p>
        </w:tc>
        <w:tc>
          <w:tcPr>
            <w:tcW w:w="200" w:type="dxa"/>
            <w:vAlign w:val="bottom"/>
            <w:shd w:val="clear" w:color="auto" w:fill="CFF0FC"/>
          </w:tcPr>
          <w:p>
            <w:pPr>
              <w:spacing w:after="0"/>
              <w:rPr>
                <w:sz w:val="15"/>
                <w:szCs w:val="15"/>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2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FF0FC"/>
          </w:tcPr>
          <w:p>
            <w:pPr>
              <w:spacing w:after="0"/>
              <w:rPr>
                <w:sz w:val="6"/>
                <w:szCs w:val="6"/>
                <w:color w:val="auto"/>
              </w:rPr>
            </w:pPr>
          </w:p>
        </w:tc>
        <w:tc>
          <w:tcPr>
            <w:tcW w:w="44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9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2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4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360" w:type="dxa"/>
            <w:vAlign w:val="bottom"/>
            <w:gridSpan w:val="2"/>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240" w:type="dxa"/>
            <w:vAlign w:val="bottom"/>
            <w:gridSpan w:val="2"/>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080" w:type="dxa"/>
            <w:vAlign w:val="bottom"/>
            <w:gridSpan w:val="2"/>
            <w:vMerge w:val="continue"/>
            <w:shd w:val="clear" w:color="auto" w:fill="CFF0FC"/>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5"/>
          </w:tcPr>
          <w:p>
            <w:pPr>
              <w:ind w:left="32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2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b w:val="1"/>
                <w:bCs w:val="1"/>
                <w:color w:val="auto"/>
              </w:rPr>
              <w:t>Total nonperforming, past due,</w:t>
            </w:r>
          </w:p>
        </w:tc>
        <w:tc>
          <w:tcPr>
            <w:tcW w:w="200" w:type="dxa"/>
            <w:vAlign w:val="bottom"/>
            <w:vMerge w:val="restart"/>
            <w:shd w:val="clear" w:color="auto" w:fill="CFF0FC"/>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7,358</w:t>
            </w:r>
          </w:p>
        </w:tc>
        <w:tc>
          <w:tcPr>
            <w:tcW w:w="26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6,049</w:t>
            </w:r>
          </w:p>
        </w:tc>
        <w:tc>
          <w:tcPr>
            <w:tcW w:w="18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10,117</w:t>
            </w:r>
          </w:p>
        </w:tc>
        <w:tc>
          <w:tcPr>
            <w:tcW w:w="26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13,523</w:t>
            </w:r>
          </w:p>
        </w:tc>
        <w:tc>
          <w:tcPr>
            <w:tcW w:w="24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15,887</w:t>
            </w:r>
          </w:p>
        </w:tc>
        <w:tc>
          <w:tcPr>
            <w:tcW w:w="8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3000" w:type="dxa"/>
            <w:vAlign w:val="bottom"/>
            <w:tcBorders>
              <w:bottom w:val="single" w:sz="8" w:color="CFF0FC"/>
            </w:tcBorders>
            <w:gridSpan w:val="4"/>
            <w:shd w:val="clear" w:color="auto" w:fill="CFF0FC"/>
          </w:tcPr>
          <w:p>
            <w:pPr>
              <w:ind w:left="140"/>
              <w:spacing w:after="0" w:line="148" w:lineRule="exact"/>
              <w:rPr>
                <w:sz w:val="20"/>
                <w:szCs w:val="20"/>
                <w:color w:val="auto"/>
              </w:rPr>
            </w:pPr>
            <w:r>
              <w:rPr>
                <w:rFonts w:ascii="Arial" w:cs="Arial" w:eastAsia="Arial" w:hAnsi="Arial"/>
                <w:sz w:val="13"/>
                <w:szCs w:val="13"/>
                <w:b w:val="1"/>
                <w:bCs w:val="1"/>
                <w:color w:val="auto"/>
              </w:rPr>
              <w:t>and OREO</w:t>
            </w: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auto"/>
            </w:tcBorders>
            <w:vMerge w:val="continue"/>
            <w:shd w:val="clear" w:color="auto" w:fill="CFF0FC"/>
          </w:tcPr>
          <w:p>
            <w:pPr>
              <w:spacing w:after="0"/>
              <w:rPr>
                <w:sz w:val="16"/>
                <w:szCs w:val="16"/>
                <w:color w:val="auto"/>
              </w:rPr>
            </w:pPr>
          </w:p>
        </w:tc>
        <w:tc>
          <w:tcPr>
            <w:tcW w:w="110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40" w:type="dxa"/>
            <w:vAlign w:val="bottom"/>
            <w:gridSpan w:val="3"/>
          </w:tcPr>
          <w:p>
            <w:pPr>
              <w:ind w:left="40"/>
              <w:spacing w:after="0"/>
              <w:rPr>
                <w:sz w:val="20"/>
                <w:szCs w:val="20"/>
                <w:color w:val="auto"/>
              </w:rPr>
            </w:pPr>
            <w:r>
              <w:rPr>
                <w:rFonts w:ascii="Arial" w:cs="Arial" w:eastAsia="Arial" w:hAnsi="Arial"/>
                <w:sz w:val="13"/>
                <w:szCs w:val="13"/>
                <w:b w:val="1"/>
                <w:bCs w:val="1"/>
                <w:color w:val="auto"/>
              </w:rPr>
              <w:t>% of Total loans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0.08 %</w:t>
            </w:r>
          </w:p>
        </w:tc>
        <w:tc>
          <w:tcPr>
            <w:tcW w:w="140" w:type="dxa"/>
            <w:vAlign w:val="bottom"/>
          </w:tcPr>
          <w:p>
            <w:pPr>
              <w:spacing w:after="0"/>
              <w:rPr>
                <w:sz w:val="13"/>
                <w:szCs w:val="13"/>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0.07 %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0.12 %</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0.16 %</w:t>
            </w:r>
          </w:p>
        </w:tc>
        <w:tc>
          <w:tcPr>
            <w:tcW w:w="1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0.18 %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46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3"/>
                <w:szCs w:val="13"/>
                <w:b w:val="1"/>
                <w:bCs w:val="1"/>
                <w:color w:val="auto"/>
              </w:rPr>
              <w:t>Classified Loans</w:t>
            </w: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66,977</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78,658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63,651</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76,170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64,108</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200" w:firstLine="432"/>
        <w:spacing w:after="0"/>
        <w:rPr>
          <w:sz w:val="20"/>
          <w:szCs w:val="20"/>
          <w:color w:val="auto"/>
        </w:rPr>
      </w:pPr>
      <w:r>
        <w:rPr>
          <w:rFonts w:ascii="Arial" w:cs="Arial" w:eastAsia="Arial" w:hAnsi="Arial"/>
          <w:sz w:val="16"/>
          <w:szCs w:val="16"/>
          <w:color w:val="auto"/>
        </w:rPr>
        <w:t>Nonperforming loans, defined as nonaccrual loans, nonperforming modified/TDR loans and loans past due 90 days or more and still accruing interest, were $6.2 million at March 31, 2023, or 0.07% of total loans. This compares to nonperforming loans of $4.9 million, or 0.05% of total loans, at December 31, 2022 and $ 13.8 million, or 0.17% of total loans, at March 31, 2022. The $1.2 million increase in nonperforming loans from December 31, 2022 was primarily due to an increase of $729,000 in commercial and industrial loans.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March 31, 2023, December 31, 2022 and March 31, 2022, we had no OREO properties.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ectPr>
          <w:pgSz w:w="11900" w:h="16840" w:orient="portrait"/>
          <w:cols w:equalWidth="0" w:num="1">
            <w:col w:w="10600"/>
          </w:cols>
          <w:pgMar w:left="660" w:top="790" w:right="640"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Allowance for Credit Losses</w:t>
      </w:r>
    </w:p>
    <w:p>
      <w:pPr>
        <w:spacing w:after="0" w:line="184"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The allowance for credit losses totaled $86.5 million as of March 31, 2023, compared to $ 85.1 million as of December 31, 2022 and $76.1 million as of March 31, 2022. Our allowance for credit losses at March 31, 2023 was 0.97% of total loans. This compares to 0.94% and 0.89% at December 31, 2022 and March 31, 2022, respectively. The ACL was increased by $1.4 million for the first quarter of 2023, including $1.5 million in provision for credit losses. The ACL increased by $11.1 million in 2022, including $8.6 million for the acquired Suncrest PCD loans and a $ 2.5 million provision for credit losses. The $2.5 million provision for credit losses for the first quarter of 2022 was the net result of the January 7, 2022 provision for credit losses recorded for the acquisition of the Suncrest non-PCD loans and a $2.4 million recapture of provision due to the net impact of improvements in the underlying loan characteristics of certain classified loans and the impact of changes in the economic forecast of certain macroeconomic variables compared to the end of 2021. Net charge-offs were $77,000 for the three months ended March 31, 2023, which compares to $5,000 in net charge-offs for the same period of 2022.</w:t>
      </w:r>
    </w:p>
    <w:p>
      <w:pPr>
        <w:spacing w:after="0" w:line="165" w:lineRule="exact"/>
        <w:rPr>
          <w:sz w:val="20"/>
          <w:szCs w:val="20"/>
          <w:color w:val="auto"/>
        </w:rPr>
      </w:pPr>
    </w:p>
    <w:p>
      <w:pPr>
        <w:ind w:right="20" w:firstLine="432"/>
        <w:spacing w:after="0" w:line="236" w:lineRule="auto"/>
        <w:rPr>
          <w:sz w:val="20"/>
          <w:szCs w:val="20"/>
          <w:color w:val="auto"/>
        </w:rPr>
      </w:pPr>
      <w:r>
        <w:rPr>
          <w:rFonts w:ascii="Arial" w:cs="Arial" w:eastAsia="Arial" w:hAnsi="Arial"/>
          <w:sz w:val="16"/>
          <w:szCs w:val="16"/>
          <w:color w:val="auto"/>
        </w:rPr>
        <w:t>The allowance for credit losses as of March 31, 2023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Paycheck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Paycheck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66" w:lineRule="exact"/>
        <w:rPr>
          <w:sz w:val="20"/>
          <w:szCs w:val="20"/>
          <w:color w:val="auto"/>
        </w:rPr>
      </w:pPr>
    </w:p>
    <w:p>
      <w:pPr>
        <w:ind w:right="60" w:firstLine="432"/>
        <w:spacing w:after="0" w:line="277" w:lineRule="auto"/>
        <w:rPr>
          <w:sz w:val="20"/>
          <w:szCs w:val="20"/>
          <w:color w:val="auto"/>
        </w:rPr>
      </w:pPr>
      <w:r>
        <w:rPr>
          <w:rFonts w:ascii="Arial" w:cs="Arial" w:eastAsia="Arial" w:hAnsi="Arial"/>
          <w:sz w:val="14"/>
          <w:szCs w:val="14"/>
          <w:color w:val="auto"/>
        </w:rPr>
        <w:t>Our economic forecast continues to be a blend of multiple forecasts produced by Moody’s. These U.S. economic forecasts include a baseline forecast, as well as multiple downside forecasts. The baseline forecast continues to represent the largest weighting in our multi- weighted forecast scenario, with downside risks, including a stagflation scenario, weighted among these multiple forecasts. As of March 31, 2022, the resulting weighted forecast assumes GDP will increase by 1.4% in 2023, including a decline in GDP in the second half of this year, followed by modest growth of 0.9% for 2024 and then grow by 2.4% in 2025. The unemployment rate is forecasted to be 4.2% in 2023, increase to 5.1% in 2024 and then decline to 4.8% in 2025. As there is continued uncertainty around the assumptions that impact our economic forecast, no assurance can be given that economic conditions that adversely affect the Company's service areas and customers will not be reflected in an increased allowance for credit losses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62" w:right="640" w:bottom="1440" w:gutter="0" w:footer="0" w:header="0"/>
        </w:sectPr>
      </w:pPr>
    </w:p>
    <w:bookmarkStart w:id="54" w:name="page55"/>
    <w:bookmarkEnd w:id="54"/>
    <w:p>
      <w:pPr>
        <w:ind w:right="80" w:firstLine="432"/>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table below presents a summary of charge-offs and recoveries by type, the provision for credit losses on loans, and the resulting allowance for credit losses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gridSpan w:val="4"/>
          </w:tcPr>
          <w:p>
            <w:pPr>
              <w:jc w:val="center"/>
              <w:ind w:left="582"/>
              <w:spacing w:after="0"/>
              <w:rPr>
                <w:sz w:val="20"/>
                <w:szCs w:val="20"/>
                <w:color w:val="auto"/>
              </w:rPr>
            </w:pPr>
            <w:r>
              <w:rPr>
                <w:rFonts w:ascii="Arial" w:cs="Arial" w:eastAsia="Arial" w:hAnsi="Arial"/>
                <w:sz w:val="16"/>
                <w:szCs w:val="16"/>
                <w:b w:val="1"/>
                <w:bCs w:val="1"/>
                <w:color w:val="auto"/>
                <w:w w:val="97"/>
              </w:rPr>
              <w:t>As of and For the</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7"/>
          </w:tcPr>
          <w:p>
            <w:pPr>
              <w:jc w:val="center"/>
              <w:ind w:right="460"/>
              <w:spacing w:after="0"/>
              <w:rPr>
                <w:sz w:val="20"/>
                <w:szCs w:val="20"/>
                <w:color w:val="auto"/>
              </w:rPr>
            </w:pPr>
            <w:r>
              <w:rPr>
                <w:rFonts w:ascii="Arial" w:cs="Arial" w:eastAsia="Arial" w:hAnsi="Arial"/>
                <w:sz w:val="16"/>
                <w:szCs w:val="16"/>
                <w:b w:val="1"/>
                <w:bCs w:val="1"/>
                <w:color w:val="auto"/>
                <w:w w:val="97"/>
              </w:rPr>
              <w:t>Three Months Ended</w:t>
            </w:r>
          </w:p>
        </w:tc>
        <w:tc>
          <w:tcPr>
            <w:tcW w:w="0" w:type="dxa"/>
            <w:vAlign w:val="bottom"/>
          </w:tcPr>
          <w:p>
            <w:pPr>
              <w:spacing w:after="0"/>
              <w:rPr>
                <w:sz w:val="1"/>
                <w:szCs w:val="1"/>
                <w:color w:val="auto"/>
              </w:rPr>
            </w:pPr>
          </w:p>
        </w:tc>
      </w:tr>
      <w:tr>
        <w:trPr>
          <w:trHeight w:val="204"/>
        </w:trPr>
        <w:tc>
          <w:tcPr>
            <w:tcW w:w="7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gridSpan w:val="4"/>
          </w:tcPr>
          <w:p>
            <w:pPr>
              <w:jc w:val="center"/>
              <w:ind w:left="582"/>
              <w:spacing w:after="0"/>
              <w:rPr>
                <w:sz w:val="20"/>
                <w:szCs w:val="20"/>
                <w:color w:val="auto"/>
              </w:rPr>
            </w:pPr>
            <w:r>
              <w:rPr>
                <w:rFonts w:ascii="Arial" w:cs="Arial" w:eastAsia="Arial" w:hAnsi="Arial"/>
                <w:sz w:val="16"/>
                <w:szCs w:val="16"/>
                <w:b w:val="1"/>
                <w:bCs w:val="1"/>
                <w:color w:val="auto"/>
                <w:w w:val="97"/>
              </w:rPr>
              <w:t>March 31,</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ind w:right="522"/>
              <w:spacing w:after="0"/>
              <w:rPr>
                <w:sz w:val="20"/>
                <w:szCs w:val="20"/>
                <w:color w:val="auto"/>
              </w:rPr>
            </w:pPr>
            <w:r>
              <w:rPr>
                <w:rFonts w:ascii="Arial" w:cs="Arial" w:eastAsia="Arial" w:hAnsi="Arial"/>
                <w:sz w:val="16"/>
                <w:szCs w:val="16"/>
                <w:b w:val="1"/>
                <w:bCs w:val="1"/>
                <w:color w:val="auto"/>
                <w:w w:val="95"/>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7"/>
          </w:tcPr>
          <w:p>
            <w:pPr>
              <w:jc w:val="center"/>
              <w:ind w:right="460"/>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207"/>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Allowance for credit losses at beginning of period</w:t>
            </w:r>
          </w:p>
        </w:tc>
        <w:tc>
          <w:tcPr>
            <w:tcW w:w="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85,117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8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65,019</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0"/>
              <w:spacing w:after="0"/>
              <w:rPr>
                <w:sz w:val="20"/>
                <w:szCs w:val="20"/>
                <w:color w:val="auto"/>
              </w:rPr>
            </w:pPr>
            <w:r>
              <w:rPr>
                <w:rFonts w:ascii="Arial" w:cs="Arial" w:eastAsia="Arial" w:hAnsi="Arial"/>
                <w:sz w:val="16"/>
                <w:szCs w:val="16"/>
                <w:color w:val="auto"/>
              </w:rPr>
              <w:t>Charge-offs: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real estate</w:t>
            </w:r>
          </w:p>
        </w:tc>
        <w:tc>
          <w:tcPr>
            <w:tcW w:w="30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Construction</w:t>
            </w:r>
          </w:p>
        </w:tc>
        <w:tc>
          <w:tcPr>
            <w:tcW w:w="300" w:type="dxa"/>
            <w:vAlign w:val="bottom"/>
          </w:tcPr>
          <w:p>
            <w:pPr>
              <w:spacing w:after="0"/>
              <w:rPr>
                <w:sz w:val="17"/>
                <w:szCs w:val="17"/>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SBA</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(94 )</w:t>
            </w: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(16 )</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(15 )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Dairy &amp; livestock and agribusiness</w:t>
            </w:r>
          </w:p>
        </w:tc>
        <w:tc>
          <w:tcPr>
            <w:tcW w:w="30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SFR mortgage</w:t>
            </w:r>
          </w:p>
        </w:tc>
        <w:tc>
          <w:tcPr>
            <w:tcW w:w="300" w:type="dxa"/>
            <w:vAlign w:val="bottom"/>
          </w:tcPr>
          <w:p>
            <w:pPr>
              <w:spacing w:after="0"/>
              <w:rPr>
                <w:sz w:val="17"/>
                <w:szCs w:val="17"/>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Consumer and other loans</w:t>
            </w:r>
          </w:p>
        </w:tc>
        <w:tc>
          <w:tcPr>
            <w:tcW w:w="30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60"/>
              <w:spacing w:after="0"/>
              <w:rPr>
                <w:sz w:val="20"/>
                <w:szCs w:val="20"/>
                <w:color w:val="auto"/>
              </w:rPr>
            </w:pPr>
            <w:r>
              <w:rPr>
                <w:rFonts w:ascii="Arial" w:cs="Arial" w:eastAsia="Arial" w:hAnsi="Arial"/>
                <w:sz w:val="16"/>
                <w:szCs w:val="16"/>
                <w:color w:val="auto"/>
              </w:rPr>
              <w:t>Total charge-offs</w:t>
            </w:r>
          </w:p>
        </w:tc>
        <w:tc>
          <w:tcPr>
            <w:tcW w:w="30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(110 )</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(16 )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Recoveries: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Commercial real estate</w:t>
            </w:r>
          </w:p>
        </w:tc>
        <w:tc>
          <w:tcPr>
            <w:tcW w:w="300" w:type="dxa"/>
            <w:vAlign w:val="bottom"/>
          </w:tcPr>
          <w:p>
            <w:pPr>
              <w:spacing w:after="0"/>
              <w:rPr>
                <w:sz w:val="17"/>
                <w:szCs w:val="17"/>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SBA</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and industrial</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Dairy &amp; livestock and agribusiness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SFR mortgage</w:t>
            </w:r>
          </w:p>
        </w:tc>
        <w:tc>
          <w:tcPr>
            <w:tcW w:w="30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Consumer and other loans</w:t>
            </w:r>
          </w:p>
        </w:tc>
        <w:tc>
          <w:tcPr>
            <w:tcW w:w="300" w:type="dxa"/>
            <w:vAlign w:val="bottom"/>
          </w:tcPr>
          <w:p>
            <w:pPr>
              <w:spacing w:after="0"/>
              <w:rPr>
                <w:sz w:val="17"/>
                <w:szCs w:val="17"/>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recoveries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0"/>
              <w:spacing w:after="0"/>
              <w:rPr>
                <w:sz w:val="20"/>
                <w:szCs w:val="20"/>
                <w:color w:val="auto"/>
              </w:rPr>
            </w:pPr>
            <w:r>
              <w:rPr>
                <w:rFonts w:ascii="Arial" w:cs="Arial" w:eastAsia="Arial" w:hAnsi="Arial"/>
                <w:sz w:val="16"/>
                <w:szCs w:val="16"/>
                <w:color w:val="auto"/>
              </w:rPr>
              <w:t>Net (charge-offs) recoveries</w:t>
            </w:r>
          </w:p>
        </w:tc>
        <w:tc>
          <w:tcPr>
            <w:tcW w:w="30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(77 )</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Initial ACL for PCD loans at acquisition</w:t>
            </w:r>
          </w:p>
        </w:tc>
        <w:tc>
          <w:tcPr>
            <w:tcW w:w="30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8,605</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0"/>
              <w:spacing w:after="0"/>
              <w:rPr>
                <w:sz w:val="20"/>
                <w:szCs w:val="20"/>
                <w:color w:val="auto"/>
              </w:rPr>
            </w:pPr>
            <w:r>
              <w:rPr>
                <w:rFonts w:ascii="Arial" w:cs="Arial" w:eastAsia="Arial" w:hAnsi="Arial"/>
                <w:sz w:val="16"/>
                <w:szCs w:val="16"/>
                <w:color w:val="auto"/>
              </w:rPr>
              <w:t>Provision recorded at acquisition</w:t>
            </w:r>
          </w:p>
        </w:tc>
        <w:tc>
          <w:tcPr>
            <w:tcW w:w="300" w:type="dxa"/>
            <w:vAlign w:val="bottom"/>
          </w:tcPr>
          <w:p>
            <w:pPr>
              <w:spacing w:after="0"/>
              <w:rPr>
                <w:sz w:val="17"/>
                <w:szCs w:val="17"/>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4,932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(recapture of) credit losses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(2,432 )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6"/>
                <w:szCs w:val="16"/>
                <w:color w:val="auto"/>
              </w:rPr>
              <w:t>Allowance for credit losses at end of period</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76,119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Summary of reserve for unfunded loan commitments: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180"/>
              <w:spacing w:after="0"/>
              <w:rPr>
                <w:sz w:val="20"/>
                <w:szCs w:val="20"/>
                <w:color w:val="auto"/>
              </w:rPr>
            </w:pPr>
            <w:r>
              <w:rPr>
                <w:rFonts w:ascii="Arial" w:cs="Arial" w:eastAsia="Arial" w:hAnsi="Arial"/>
                <w:sz w:val="16"/>
                <w:szCs w:val="16"/>
                <w:color w:val="auto"/>
              </w:rPr>
              <w:t>Reserve for unfunded loan commitments at beginning of period</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38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unfunded loan commitments</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240" w:type="dxa"/>
            <w:vAlign w:val="bottom"/>
          </w:tcPr>
          <w:p>
            <w:pPr>
              <w:ind w:left="180"/>
              <w:spacing w:after="0"/>
              <w:rPr>
                <w:sz w:val="20"/>
                <w:szCs w:val="20"/>
                <w:color w:val="auto"/>
              </w:rPr>
            </w:pPr>
            <w:r>
              <w:rPr>
                <w:rFonts w:ascii="Arial" w:cs="Arial" w:eastAsia="Arial" w:hAnsi="Arial"/>
                <w:sz w:val="16"/>
                <w:szCs w:val="16"/>
                <w:color w:val="auto"/>
              </w:rPr>
              <w:t>Reserve for unfunded loan commitments at end of period</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40" w:type="dxa"/>
            <w:vAlign w:val="bottom"/>
          </w:tcPr>
          <w:p>
            <w:pPr>
              <w:ind w:left="180"/>
              <w:spacing w:after="0"/>
              <w:rPr>
                <w:sz w:val="20"/>
                <w:szCs w:val="20"/>
                <w:color w:val="auto"/>
              </w:rPr>
            </w:pPr>
            <w:r>
              <w:rPr>
                <w:rFonts w:ascii="Arial" w:cs="Arial" w:eastAsia="Arial" w:hAnsi="Arial"/>
                <w:sz w:val="16"/>
                <w:szCs w:val="16"/>
                <w:color w:val="auto"/>
              </w:rPr>
              <w:t>Reserve for unfunded loan commitments to total unfunded loan</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40" w:type="dxa"/>
            <w:vAlign w:val="bottom"/>
          </w:tcPr>
          <w:p>
            <w:pPr>
              <w:ind w:left="340"/>
              <w:spacing w:after="0"/>
              <w:rPr>
                <w:sz w:val="20"/>
                <w:szCs w:val="20"/>
                <w:color w:val="auto"/>
              </w:rPr>
            </w:pPr>
            <w:r>
              <w:rPr>
                <w:rFonts w:ascii="Arial" w:cs="Arial" w:eastAsia="Arial" w:hAnsi="Arial"/>
                <w:sz w:val="16"/>
                <w:szCs w:val="16"/>
                <w:color w:val="auto"/>
              </w:rPr>
              <w:t>commitments</w:t>
            </w: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0.46 %</w:t>
            </w:r>
          </w:p>
        </w:tc>
        <w:tc>
          <w:tcPr>
            <w:tcW w:w="56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0.44 %</w:t>
            </w:r>
          </w:p>
        </w:tc>
        <w:tc>
          <w:tcPr>
            <w:tcW w:w="0" w:type="dxa"/>
            <w:vAlign w:val="bottom"/>
          </w:tcPr>
          <w:p>
            <w:pPr>
              <w:spacing w:after="0"/>
              <w:rPr>
                <w:sz w:val="1"/>
                <w:szCs w:val="1"/>
                <w:color w:val="auto"/>
              </w:rPr>
            </w:pPr>
          </w:p>
        </w:tc>
      </w:tr>
      <w:tr>
        <w:trPr>
          <w:trHeight w:val="408"/>
        </w:trPr>
        <w:tc>
          <w:tcPr>
            <w:tcW w:w="7240" w:type="dxa"/>
            <w:vAlign w:val="bottom"/>
          </w:tcPr>
          <w:p>
            <w:pPr>
              <w:ind w:left="20"/>
              <w:spacing w:after="0"/>
              <w:rPr>
                <w:sz w:val="20"/>
                <w:szCs w:val="20"/>
                <w:color w:val="auto"/>
              </w:rPr>
            </w:pPr>
            <w:r>
              <w:rPr>
                <w:rFonts w:ascii="Arial" w:cs="Arial" w:eastAsia="Arial" w:hAnsi="Arial"/>
                <w:sz w:val="16"/>
                <w:szCs w:val="16"/>
                <w:color w:val="auto"/>
              </w:rPr>
              <w:t>Amount of total loans at end of period (1)</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8,942,489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38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8,591,684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Average total loans outstanding (1)</w:t>
            </w:r>
          </w:p>
        </w:tc>
        <w:tc>
          <w:tcPr>
            <w:tcW w:w="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8,963,323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8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8,500,436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40" w:type="dxa"/>
            <w:vAlign w:val="bottom"/>
            <w:vMerge w:val="restart"/>
          </w:tcPr>
          <w:p>
            <w:pPr>
              <w:ind w:left="20"/>
              <w:spacing w:after="0"/>
              <w:rPr>
                <w:sz w:val="20"/>
                <w:szCs w:val="20"/>
                <w:color w:val="auto"/>
              </w:rPr>
            </w:pPr>
            <w:r>
              <w:rPr>
                <w:rFonts w:ascii="Arial" w:cs="Arial" w:eastAsia="Arial" w:hAnsi="Arial"/>
                <w:sz w:val="16"/>
                <w:szCs w:val="16"/>
                <w:color w:val="auto"/>
              </w:rPr>
              <w:t>Net (charge-offs) to average total loans</w:t>
            </w:r>
          </w:p>
        </w:tc>
        <w:tc>
          <w:tcPr>
            <w:tcW w:w="300" w:type="dxa"/>
            <w:vAlign w:val="bottom"/>
          </w:tcPr>
          <w:p>
            <w:pPr>
              <w:spacing w:after="0"/>
              <w:rPr>
                <w:sz w:val="17"/>
                <w:szCs w:val="17"/>
                <w:color w:val="auto"/>
              </w:rPr>
            </w:pPr>
          </w:p>
        </w:tc>
        <w:tc>
          <w:tcPr>
            <w:tcW w:w="14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0.00 %</w:t>
            </w:r>
          </w:p>
        </w:tc>
        <w:tc>
          <w:tcPr>
            <w:tcW w:w="56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2"/>
        </w:trPr>
        <w:tc>
          <w:tcPr>
            <w:tcW w:w="7240" w:type="dxa"/>
            <w:vAlign w:val="bottom"/>
          </w:tcPr>
          <w:p>
            <w:pPr>
              <w:ind w:left="20"/>
              <w:spacing w:after="0"/>
              <w:rPr>
                <w:sz w:val="20"/>
                <w:szCs w:val="20"/>
                <w:color w:val="auto"/>
              </w:rPr>
            </w:pPr>
            <w:r>
              <w:rPr>
                <w:rFonts w:ascii="Arial" w:cs="Arial" w:eastAsia="Arial" w:hAnsi="Arial"/>
                <w:sz w:val="16"/>
                <w:szCs w:val="16"/>
                <w:color w:val="auto"/>
              </w:rPr>
              <w:t>Net (charge-offs) to total loans at end of period</w:t>
            </w: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0.00 %</w:t>
            </w:r>
          </w:p>
        </w:tc>
        <w:tc>
          <w:tcPr>
            <w:tcW w:w="56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6"/>
                <w:szCs w:val="16"/>
                <w:color w:val="auto"/>
              </w:rPr>
              <w:t>Allowance for credit losses to average total loans</w:t>
            </w:r>
          </w:p>
        </w:tc>
        <w:tc>
          <w:tcPr>
            <w:tcW w:w="300" w:type="dxa"/>
            <w:vAlign w:val="bottom"/>
          </w:tcPr>
          <w:p>
            <w:pPr>
              <w:spacing w:after="0"/>
              <w:rPr>
                <w:sz w:val="17"/>
                <w:szCs w:val="17"/>
                <w:color w:val="auto"/>
              </w:rPr>
            </w:pPr>
          </w:p>
        </w:tc>
        <w:tc>
          <w:tcPr>
            <w:tcW w:w="142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0.97 %</w:t>
            </w:r>
          </w:p>
        </w:tc>
        <w:tc>
          <w:tcPr>
            <w:tcW w:w="560" w:type="dxa"/>
            <w:vAlign w:val="bottom"/>
          </w:tcPr>
          <w:p>
            <w:pPr>
              <w:spacing w:after="0"/>
              <w:rPr>
                <w:sz w:val="17"/>
                <w:szCs w:val="17"/>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6"/>
                <w:szCs w:val="16"/>
                <w:color w:val="auto"/>
              </w:rPr>
              <w:t>0.90 %</w:t>
            </w:r>
          </w:p>
        </w:tc>
        <w:tc>
          <w:tcPr>
            <w:tcW w:w="0" w:type="dxa"/>
            <w:vAlign w:val="bottom"/>
          </w:tcPr>
          <w:p>
            <w:pPr>
              <w:spacing w:after="0"/>
              <w:rPr>
                <w:sz w:val="1"/>
                <w:szCs w:val="1"/>
                <w:color w:val="auto"/>
              </w:rPr>
            </w:pPr>
          </w:p>
        </w:tc>
      </w:tr>
      <w:tr>
        <w:trPr>
          <w:trHeight w:val="84"/>
        </w:trPr>
        <w:tc>
          <w:tcPr>
            <w:tcW w:w="7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6"/>
                <w:szCs w:val="16"/>
                <w:color w:val="auto"/>
              </w:rPr>
              <w:t>Allowance for credit losses to total loans at end of period</w:t>
            </w: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0.97 %</w:t>
            </w:r>
          </w:p>
        </w:tc>
        <w:tc>
          <w:tcPr>
            <w:tcW w:w="56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0.89 %</w:t>
            </w:r>
          </w:p>
        </w:tc>
        <w:tc>
          <w:tcPr>
            <w:tcW w:w="0" w:type="dxa"/>
            <w:vAlign w:val="bottom"/>
          </w:tcPr>
          <w:p>
            <w:pPr>
              <w:spacing w:after="0"/>
              <w:rPr>
                <w:sz w:val="1"/>
                <w:szCs w:val="1"/>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6"/>
                <w:szCs w:val="16"/>
                <w:color w:val="auto"/>
              </w:rPr>
              <w:t>Net (charge-offs) to allowance for credit losses</w:t>
            </w: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-0.09 %</w:t>
            </w:r>
          </w:p>
        </w:tc>
        <w:tc>
          <w:tcPr>
            <w:tcW w:w="56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6"/>
                <w:szCs w:val="16"/>
                <w:color w:val="auto"/>
              </w:rPr>
              <w:t>Net (charge-offs) to provision for credit losses</w:t>
            </w:r>
          </w:p>
        </w:tc>
        <w:tc>
          <w:tcPr>
            <w:tcW w:w="30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-5.13 %</w:t>
            </w:r>
          </w:p>
        </w:tc>
        <w:tc>
          <w:tcPr>
            <w:tcW w:w="56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-0.20 %</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(1)Net of deferred loan origination fees, costs and discounts (amortized cost).</w:t>
      </w:r>
    </w:p>
    <w:p>
      <w:pPr>
        <w:spacing w:after="0" w:line="367" w:lineRule="exact"/>
        <w:rPr>
          <w:sz w:val="20"/>
          <w:szCs w:val="20"/>
          <w:color w:val="auto"/>
        </w:rPr>
      </w:pPr>
    </w:p>
    <w:p>
      <w:pPr>
        <w:ind w:right="300" w:firstLine="432"/>
        <w:spacing w:after="0" w:line="243" w:lineRule="auto"/>
        <w:rPr>
          <w:sz w:val="20"/>
          <w:szCs w:val="20"/>
          <w:color w:val="auto"/>
        </w:rPr>
      </w:pPr>
      <w:r>
        <w:rPr>
          <w:rFonts w:ascii="Arial" w:cs="Arial" w:eastAsia="Arial" w:hAnsi="Arial"/>
          <w:sz w:val="16"/>
          <w:szCs w:val="16"/>
          <w:color w:val="auto"/>
        </w:rPr>
        <w:t>The Bank’s ACL methodology also produced an allowance of $8.5 million for our off-balance sheet credit exposures as of March 31, 2023, compared with $8.0 million as of December 31, 2022 and March 31, 2022. The year-over-year increase included a $500,000 in provision for unfunded loan commitments in the first quarter of 2023.</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56</w:t>
      </w:r>
    </w:p>
    <w:p>
      <w:pPr>
        <w:sectPr>
          <w:pgSz w:w="11900" w:h="16840" w:orient="portrait"/>
          <w:cols w:equalWidth="0" w:num="1">
            <w:col w:w="10620"/>
          </w:cols>
          <w:pgMar w:left="660" w:top="790" w:right="620" w:bottom="1440" w:gutter="0" w:footer="0" w:header="0"/>
        </w:sectPr>
      </w:pPr>
    </w:p>
    <w:bookmarkStart w:id="55" w:name="page56"/>
    <w:bookmarkEnd w:id="55"/>
    <w:p>
      <w:pPr>
        <w:ind w:right="40" w:firstLine="43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While we believe that the allowance at March 31, 2023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64" w:lineRule="exact"/>
        <w:rPr>
          <w:sz w:val="20"/>
          <w:szCs w:val="20"/>
          <w:color w:val="auto"/>
        </w:rPr>
      </w:pPr>
    </w:p>
    <w:p>
      <w:pPr>
        <w:ind w:right="80" w:firstLine="432"/>
        <w:spacing w:after="0" w:line="239" w:lineRule="auto"/>
        <w:rPr>
          <w:sz w:val="20"/>
          <w:szCs w:val="20"/>
          <w:color w:val="auto"/>
        </w:rPr>
      </w:pPr>
      <w:r>
        <w:rPr>
          <w:rFonts w:ascii="Arial" w:cs="Arial" w:eastAsia="Arial" w:hAnsi="Arial"/>
          <w:sz w:val="16"/>
          <w:szCs w:val="16"/>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Arial" w:cs="Arial" w:eastAsia="Arial" w:hAnsi="Arial"/>
          <w:sz w:val="16"/>
          <w:szCs w:val="16"/>
          <w:i w:val="1"/>
          <w:iCs w:val="1"/>
          <w:color w:val="auto"/>
        </w:rPr>
        <w:t>Risk Management – Credit Risk Management</w:t>
      </w:r>
      <w:r>
        <w:rPr>
          <w:rFonts w:ascii="Arial" w:cs="Arial" w:eastAsia="Arial" w:hAnsi="Arial"/>
          <w:sz w:val="16"/>
          <w:szCs w:val="16"/>
          <w:color w:val="auto"/>
        </w:rPr>
        <w:t>” contained in our Annual Report on Form 10-K for the year ended December 31, 2022.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Deposits</w:t>
      </w:r>
    </w:p>
    <w:p>
      <w:pPr>
        <w:spacing w:after="0" w:line="184" w:lineRule="exact"/>
        <w:rPr>
          <w:sz w:val="20"/>
          <w:szCs w:val="20"/>
          <w:color w:val="auto"/>
        </w:rPr>
      </w:pPr>
    </w:p>
    <w:p>
      <w:pPr>
        <w:ind w:right="240" w:firstLine="432"/>
        <w:spacing w:after="0" w:line="252" w:lineRule="auto"/>
        <w:rPr>
          <w:sz w:val="20"/>
          <w:szCs w:val="20"/>
          <w:color w:val="auto"/>
        </w:rPr>
      </w:pPr>
      <w:r>
        <w:rPr>
          <w:rFonts w:ascii="Arial" w:cs="Arial" w:eastAsia="Arial" w:hAnsi="Arial"/>
          <w:sz w:val="16"/>
          <w:szCs w:val="16"/>
          <w:color w:val="auto"/>
        </w:rPr>
        <w:t>The primary source of funds to support earning assets (loans and investments) is the generation of deposits. We have no brokered deposits with 100% of our deposits being core deposits based on long-term customer relationships.</w:t>
      </w:r>
    </w:p>
    <w:p>
      <w:pPr>
        <w:spacing w:after="0" w:line="154" w:lineRule="exact"/>
        <w:rPr>
          <w:sz w:val="20"/>
          <w:szCs w:val="20"/>
          <w:color w:val="auto"/>
        </w:rPr>
      </w:pPr>
    </w:p>
    <w:p>
      <w:pPr>
        <w:ind w:right="120" w:firstLine="432"/>
        <w:spacing w:after="0" w:line="252" w:lineRule="auto"/>
        <w:rPr>
          <w:sz w:val="20"/>
          <w:szCs w:val="20"/>
          <w:color w:val="auto"/>
        </w:rPr>
      </w:pPr>
      <w:r>
        <w:rPr>
          <w:rFonts w:ascii="Arial" w:cs="Arial" w:eastAsia="Arial" w:hAnsi="Arial"/>
          <w:sz w:val="16"/>
          <w:szCs w:val="16"/>
          <w:color w:val="auto"/>
        </w:rPr>
        <w:t>Total deposits were $12.27 billion at March 31, 2023. This represented a decrease of $564.4 million, or 4.40%, over total deposits of $12.84 billion at December 31, 2022. The composition of deposits is summarized as of the dates presented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gridSpan w:val="3"/>
          </w:tcPr>
          <w:p>
            <w:pPr>
              <w:ind w:left="720"/>
              <w:spacing w:after="0"/>
              <w:rPr>
                <w:sz w:val="20"/>
                <w:szCs w:val="20"/>
                <w:color w:val="auto"/>
              </w:rPr>
            </w:pPr>
            <w:r>
              <w:rPr>
                <w:rFonts w:ascii="Arial" w:cs="Arial" w:eastAsia="Arial" w:hAnsi="Arial"/>
                <w:sz w:val="16"/>
                <w:szCs w:val="16"/>
                <w:b w:val="1"/>
                <w:bCs w:val="1"/>
                <w:color w:val="auto"/>
              </w:rPr>
              <w:t>March 31, 2023</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80" w:type="dxa"/>
            <w:vAlign w:val="bottom"/>
            <w:gridSpan w:val="4"/>
          </w:tcPr>
          <w:p>
            <w:pPr>
              <w:jc w:val="right"/>
              <w:ind w:right="920"/>
              <w:spacing w:after="0"/>
              <w:rPr>
                <w:sz w:val="20"/>
                <w:szCs w:val="20"/>
                <w:color w:val="auto"/>
              </w:rPr>
            </w:pPr>
            <w:r>
              <w:rPr>
                <w:rFonts w:ascii="Arial" w:cs="Arial" w:eastAsia="Arial" w:hAnsi="Arial"/>
                <w:sz w:val="16"/>
                <w:szCs w:val="16"/>
                <w:b w:val="1"/>
                <w:bCs w:val="1"/>
                <w:color w:val="auto"/>
              </w:rPr>
              <w:t>December 31, 2022</w:t>
            </w:r>
          </w:p>
        </w:tc>
      </w:tr>
      <w:tr>
        <w:trPr>
          <w:trHeight w:val="217"/>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ind w:left="220"/>
              <w:spacing w:after="0"/>
              <w:rPr>
                <w:sz w:val="20"/>
                <w:szCs w:val="20"/>
                <w:color w:val="auto"/>
              </w:rPr>
            </w:pPr>
            <w:r>
              <w:rPr>
                <w:rFonts w:ascii="Arial" w:cs="Arial" w:eastAsia="Arial" w:hAnsi="Arial"/>
                <w:sz w:val="16"/>
                <w:szCs w:val="16"/>
                <w:b w:val="1"/>
                <w:bCs w:val="1"/>
                <w:color w:val="auto"/>
              </w:rPr>
              <w:t>Balance</w:t>
            </w:r>
          </w:p>
        </w:tc>
        <w:tc>
          <w:tcPr>
            <w:tcW w:w="132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Percent</w:t>
            </w:r>
          </w:p>
        </w:tc>
        <w:tc>
          <w:tcPr>
            <w:tcW w:w="40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Percent</w:t>
            </w:r>
          </w:p>
        </w:tc>
      </w:tr>
      <w:tr>
        <w:trPr>
          <w:trHeight w:val="188"/>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04"/>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Noninterest-bearing deposits</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7,844,329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63.92%</w:t>
            </w:r>
          </w:p>
        </w:tc>
        <w:tc>
          <w:tcPr>
            <w:tcW w:w="4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8,164,364</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63.60%</w:t>
            </w:r>
          </w:p>
        </w:tc>
        <w:tc>
          <w:tcPr>
            <w:tcW w:w="60" w:type="dxa"/>
            <w:vAlign w:val="bottom"/>
          </w:tcPr>
          <w:p>
            <w:pPr>
              <w:spacing w:after="0"/>
              <w:rPr>
                <w:sz w:val="17"/>
                <w:szCs w:val="17"/>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6"/>
                <w:szCs w:val="16"/>
                <w:color w:val="auto"/>
              </w:rPr>
              <w:t>Interest-bearing deposits</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000" w:type="dxa"/>
            <w:vAlign w:val="bottom"/>
          </w:tcPr>
          <w:p>
            <w:pPr>
              <w:ind w:left="100"/>
              <w:spacing w:after="0"/>
              <w:rPr>
                <w:sz w:val="20"/>
                <w:szCs w:val="20"/>
                <w:color w:val="auto"/>
              </w:rPr>
            </w:pPr>
            <w:r>
              <w:rPr>
                <w:rFonts w:ascii="Arial" w:cs="Arial" w:eastAsia="Arial" w:hAnsi="Arial"/>
                <w:sz w:val="16"/>
                <w:szCs w:val="16"/>
                <w:color w:val="auto"/>
              </w:rPr>
              <w:t>Investment checking</w:t>
            </w:r>
          </w:p>
        </w:tc>
        <w:tc>
          <w:tcPr>
            <w:tcW w:w="320" w:type="dxa"/>
            <w:vAlign w:val="bottom"/>
          </w:tcPr>
          <w:p>
            <w:pPr>
              <w:spacing w:after="0"/>
              <w:rPr>
                <w:sz w:val="17"/>
                <w:szCs w:val="17"/>
                <w:color w:val="auto"/>
              </w:rPr>
            </w:pP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668,947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5.45 %</w:t>
            </w:r>
          </w:p>
        </w:tc>
        <w:tc>
          <w:tcPr>
            <w:tcW w:w="40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723,870</w:t>
            </w:r>
          </w:p>
        </w:tc>
        <w:tc>
          <w:tcPr>
            <w:tcW w:w="1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5.64 %</w:t>
            </w:r>
          </w:p>
        </w:tc>
      </w:tr>
      <w:tr>
        <w:trPr>
          <w:trHeight w:val="204"/>
        </w:trPr>
        <w:tc>
          <w:tcPr>
            <w:tcW w:w="4000" w:type="dxa"/>
            <w:vAlign w:val="bottom"/>
          </w:tcPr>
          <w:p>
            <w:pPr>
              <w:ind w:left="100"/>
              <w:spacing w:after="0"/>
              <w:rPr>
                <w:sz w:val="20"/>
                <w:szCs w:val="20"/>
                <w:color w:val="auto"/>
              </w:rPr>
            </w:pPr>
            <w:r>
              <w:rPr>
                <w:rFonts w:ascii="Arial" w:cs="Arial" w:eastAsia="Arial" w:hAnsi="Arial"/>
                <w:sz w:val="16"/>
                <w:szCs w:val="16"/>
                <w:color w:val="auto"/>
              </w:rPr>
              <w:t>Money market</w:t>
            </w:r>
          </w:p>
        </w:tc>
        <w:tc>
          <w:tcPr>
            <w:tcW w:w="320" w:type="dxa"/>
            <w:vAlign w:val="bottom"/>
          </w:tcPr>
          <w:p>
            <w:pPr>
              <w:spacing w:after="0"/>
              <w:rPr>
                <w:sz w:val="17"/>
                <w:szCs w:val="17"/>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2,925,457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23.84%</w:t>
            </w:r>
          </w:p>
        </w:tc>
        <w:tc>
          <w:tcPr>
            <w:tcW w:w="40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3,070,674</w:t>
            </w:r>
          </w:p>
        </w:tc>
        <w:tc>
          <w:tcPr>
            <w:tcW w:w="1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23.92%</w:t>
            </w:r>
          </w:p>
        </w:tc>
      </w:tr>
      <w:tr>
        <w:trPr>
          <w:trHeight w:val="204"/>
        </w:trPr>
        <w:tc>
          <w:tcPr>
            <w:tcW w:w="4000" w:type="dxa"/>
            <w:vAlign w:val="bottom"/>
          </w:tcPr>
          <w:p>
            <w:pPr>
              <w:ind w:left="100"/>
              <w:spacing w:after="0"/>
              <w:rPr>
                <w:sz w:val="20"/>
                <w:szCs w:val="20"/>
                <w:color w:val="auto"/>
              </w:rPr>
            </w:pPr>
            <w:r>
              <w:rPr>
                <w:rFonts w:ascii="Arial" w:cs="Arial" w:eastAsia="Arial" w:hAnsi="Arial"/>
                <w:sz w:val="16"/>
                <w:szCs w:val="16"/>
                <w:color w:val="auto"/>
              </w:rPr>
              <w:t>Savings</w:t>
            </w:r>
          </w:p>
        </w:tc>
        <w:tc>
          <w:tcPr>
            <w:tcW w:w="320" w:type="dxa"/>
            <w:vAlign w:val="bottom"/>
          </w:tcPr>
          <w:p>
            <w:pPr>
              <w:spacing w:after="0"/>
              <w:rPr>
                <w:sz w:val="17"/>
                <w:szCs w:val="17"/>
                <w:color w:val="auto"/>
              </w:rPr>
            </w:pP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549,194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4.48 %</w:t>
            </w:r>
          </w:p>
        </w:tc>
        <w:tc>
          <w:tcPr>
            <w:tcW w:w="40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582,711</w:t>
            </w:r>
          </w:p>
        </w:tc>
        <w:tc>
          <w:tcPr>
            <w:tcW w:w="1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4.54 %</w:t>
            </w:r>
          </w:p>
        </w:tc>
      </w:tr>
      <w:tr>
        <w:trPr>
          <w:trHeight w:val="205"/>
        </w:trPr>
        <w:tc>
          <w:tcPr>
            <w:tcW w:w="4000" w:type="dxa"/>
            <w:vAlign w:val="bottom"/>
          </w:tcPr>
          <w:p>
            <w:pPr>
              <w:ind w:left="100"/>
              <w:spacing w:after="0"/>
              <w:rPr>
                <w:sz w:val="20"/>
                <w:szCs w:val="20"/>
                <w:color w:val="auto"/>
              </w:rPr>
            </w:pPr>
            <w:r>
              <w:rPr>
                <w:rFonts w:ascii="Arial" w:cs="Arial" w:eastAsia="Arial" w:hAnsi="Arial"/>
                <w:sz w:val="16"/>
                <w:szCs w:val="16"/>
                <w:color w:val="auto"/>
              </w:rPr>
              <w:t>Time deposits</w:t>
            </w:r>
          </w:p>
        </w:tc>
        <w:tc>
          <w:tcPr>
            <w:tcW w:w="320" w:type="dxa"/>
            <w:vAlign w:val="bottom"/>
          </w:tcPr>
          <w:p>
            <w:pPr>
              <w:spacing w:after="0"/>
              <w:rPr>
                <w:sz w:val="17"/>
                <w:szCs w:val="17"/>
                <w:color w:val="auto"/>
              </w:rPr>
            </w:pP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283,943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2.31 %</w:t>
            </w:r>
          </w:p>
        </w:tc>
        <w:tc>
          <w:tcPr>
            <w:tcW w:w="40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294,626</w:t>
            </w:r>
          </w:p>
        </w:tc>
        <w:tc>
          <w:tcPr>
            <w:tcW w:w="1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2.30 %</w:t>
            </w:r>
          </w:p>
        </w:tc>
      </w:tr>
      <w:tr>
        <w:trPr>
          <w:trHeight w:val="249"/>
        </w:trPr>
        <w:tc>
          <w:tcPr>
            <w:tcW w:w="40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Deposits</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12,271,870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100.00 %</w:t>
            </w:r>
          </w:p>
        </w:tc>
        <w:tc>
          <w:tcPr>
            <w:tcW w:w="4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12,836,245</w:t>
            </w:r>
          </w:p>
        </w:tc>
        <w:tc>
          <w:tcPr>
            <w:tcW w:w="180" w:type="dxa"/>
            <w:vAlign w:val="bottom"/>
            <w:shd w:val="clear" w:color="auto" w:fill="CFF0FC"/>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right="320" w:firstLine="432"/>
        <w:spacing w:after="0"/>
        <w:rPr>
          <w:sz w:val="20"/>
          <w:szCs w:val="20"/>
          <w:color w:val="auto"/>
        </w:rPr>
      </w:pPr>
      <w:r>
        <w:rPr>
          <w:rFonts w:ascii="Arial" w:cs="Arial" w:eastAsia="Arial" w:hAnsi="Arial"/>
          <w:sz w:val="16"/>
          <w:szCs w:val="16"/>
          <w:color w:val="auto"/>
        </w:rPr>
        <w:t>The amount of noninterest-bearing deposits in relation to total deposits is an integral element in our strategy of seeking to achieve a low cost of funds. Average noninterest-bearing deposits totaled $8.09 billion on average for the first quarter of 2023, a decrease of $610.2 million, or 7.01%, from noninterest-bearing deposits of $8.70 billion for the fourth quarter of 2022. For the first quarter of 2023, average noninterest-bearing deposits were 63.65% of total deposits, compared to 63.58% for the fourth quarter of 2022.</w:t>
      </w:r>
    </w:p>
    <w:p>
      <w:pPr>
        <w:spacing w:after="0" w:line="164" w:lineRule="exact"/>
        <w:rPr>
          <w:sz w:val="20"/>
          <w:szCs w:val="20"/>
          <w:color w:val="auto"/>
        </w:rPr>
      </w:pPr>
    </w:p>
    <w:p>
      <w:pPr>
        <w:ind w:right="820" w:firstLine="432"/>
        <w:spacing w:after="0" w:line="252" w:lineRule="auto"/>
        <w:rPr>
          <w:sz w:val="20"/>
          <w:szCs w:val="20"/>
          <w:color w:val="auto"/>
        </w:rPr>
      </w:pPr>
      <w:r>
        <w:rPr>
          <w:rFonts w:ascii="Arial" w:cs="Arial" w:eastAsia="Arial" w:hAnsi="Arial"/>
          <w:sz w:val="16"/>
          <w:szCs w:val="16"/>
          <w:color w:val="auto"/>
        </w:rPr>
        <w:t>Savings deposits, which include savings, interest-bearing demand, and money market accounts, totaled $4.43 billion at March 31, 2023, representing a decrease of $244.3 million, or 5.23%, from savings deposits of $4.67 billion at December 31, 2022.</w:t>
      </w:r>
    </w:p>
    <w:p>
      <w:pPr>
        <w:spacing w:after="0" w:line="154" w:lineRule="exact"/>
        <w:rPr>
          <w:sz w:val="20"/>
          <w:szCs w:val="20"/>
          <w:color w:val="auto"/>
        </w:rPr>
      </w:pPr>
    </w:p>
    <w:p>
      <w:pPr>
        <w:ind w:right="440" w:firstLine="432"/>
        <w:spacing w:after="0" w:line="252" w:lineRule="auto"/>
        <w:rPr>
          <w:sz w:val="20"/>
          <w:szCs w:val="20"/>
          <w:color w:val="auto"/>
        </w:rPr>
      </w:pPr>
      <w:r>
        <w:rPr>
          <w:rFonts w:ascii="Arial" w:cs="Arial" w:eastAsia="Arial" w:hAnsi="Arial"/>
          <w:sz w:val="16"/>
          <w:szCs w:val="16"/>
          <w:color w:val="auto"/>
        </w:rPr>
        <w:t>Time deposits totaled $283.9 million at March 31, 2023, representing a decrease of $10.7 million, or 3.63%, from total time deposits of $294.6 million for December 31, 2022.</w:t>
      </w:r>
    </w:p>
    <w:p>
      <w:pPr>
        <w:spacing w:after="0" w:line="154" w:lineRule="exact"/>
        <w:rPr>
          <w:sz w:val="20"/>
          <w:szCs w:val="20"/>
          <w:color w:val="auto"/>
        </w:rPr>
      </w:pPr>
    </w:p>
    <w:p>
      <w:pPr>
        <w:ind w:right="200" w:firstLine="475"/>
        <w:spacing w:after="0"/>
        <w:rPr>
          <w:sz w:val="20"/>
          <w:szCs w:val="20"/>
          <w:color w:val="auto"/>
        </w:rPr>
      </w:pPr>
      <w:r>
        <w:rPr>
          <w:rFonts w:ascii="Arial" w:cs="Arial" w:eastAsia="Arial" w:hAnsi="Arial"/>
          <w:sz w:val="16"/>
          <w:szCs w:val="16"/>
          <w:color w:val="auto"/>
        </w:rPr>
        <w:t>Our deposits are 100% relationship based core deposits and customer repurchase agreements ("repos"). We had zero brokered deposits at the end of the first quarter of 2023 with 77% of our deposits consisting of business deposits and 23% consisting of consumer deposits, primarily the owners and employees of our business customers. The largest percentage of our deposits, 40%, are analyzed business accounts, which represent customer operating accounts that generally utilize a wide array of treasury management products.</w:t>
      </w:r>
    </w:p>
    <w:p>
      <w:pPr>
        <w:spacing w:after="0" w:line="164" w:lineRule="exact"/>
        <w:rPr>
          <w:sz w:val="20"/>
          <w:szCs w:val="20"/>
          <w:color w:val="auto"/>
        </w:rPr>
      </w:pPr>
    </w:p>
    <w:p>
      <w:pPr>
        <w:ind w:right="80" w:firstLine="432"/>
        <w:spacing w:after="0"/>
        <w:rPr>
          <w:sz w:val="20"/>
          <w:szCs w:val="20"/>
          <w:color w:val="auto"/>
        </w:rPr>
      </w:pPr>
      <w:r>
        <w:rPr>
          <w:rFonts w:ascii="Arial" w:cs="Arial" w:eastAsia="Arial" w:hAnsi="Arial"/>
          <w:sz w:val="16"/>
          <w:szCs w:val="16"/>
          <w:color w:val="auto"/>
        </w:rPr>
        <w:t>Our customer deposit relationships represent a diverse set of industries. The industry classification with the largest concentration is manufacturing, which represents 9% of our deposits. Overall, there are 14 different industry classifications that represent 2% or more of our deposits as of March 31, 2023. Our depositors have typically banked with us for many years. As of March 31, 2023, 41% of our deposit relationships have banked with us more than 10 years and 77% of our deposit relationships have been with us for three or more years.</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57</w:t>
      </w:r>
    </w:p>
    <w:p>
      <w:pPr>
        <w:sectPr>
          <w:pgSz w:w="11900" w:h="16840" w:orient="portrait"/>
          <w:cols w:equalWidth="0" w:num="1">
            <w:col w:w="10620"/>
          </w:cols>
          <w:pgMar w:left="660" w:top="790" w:right="620" w:bottom="1440" w:gutter="0" w:footer="0" w:header="0"/>
        </w:sectPr>
      </w:pPr>
    </w:p>
    <w:bookmarkStart w:id="56" w:name="page57"/>
    <w:bookmarkEnd w:id="56"/>
    <w:p>
      <w:pPr>
        <w:ind w:firstLine="432"/>
        <w:spacing w:after="0" w:line="239" w:lineRule="auto"/>
        <w:rPr>
          <w:sz w:val="20"/>
          <w:szCs w:val="20"/>
          <w:color w:val="auto"/>
        </w:rPr>
      </w:pPr>
      <w:r>
        <w:rPr>
          <w:rFonts w:ascii="Arial" w:cs="Arial" w:eastAsia="Arial" w:hAnsi="Arial"/>
          <w:sz w:val="16"/>
          <w:szCs w:val="16"/>
          <w:color w:val="auto"/>
        </w:rPr>
        <w:t>The unprecedented increase in short term interest rates impacted our deposit levels. Total deposits and customer repos were $13.3 billion on average for the first quarter of 2023, a $943 million, or 6.64% decrease compared to the prior quarter and a $1.6 million decrease from the first quarter of 2022. Noninterest bearing deposits averaged $ 8.09 billion, a $610.2 million, or approximately 7.01% decline from the average balance in the fourth quarter and a $628.0 million decrease from the first quarter of 2022. The decrease in average deposits was primarily offset by an $810.5 million increase in average short-term borrowings from the fourth quarter, at an average borrowing cost of 4.81%.</w:t>
      </w:r>
    </w:p>
    <w:p>
      <w:pPr>
        <w:spacing w:after="0" w:line="164" w:lineRule="exact"/>
        <w:rPr>
          <w:sz w:val="20"/>
          <w:szCs w:val="20"/>
          <w:color w:val="auto"/>
        </w:rPr>
      </w:pPr>
    </w:p>
    <w:p>
      <w:pPr>
        <w:ind w:right="100" w:firstLine="432"/>
        <w:spacing w:after="0" w:line="275" w:lineRule="auto"/>
        <w:rPr>
          <w:sz w:val="20"/>
          <w:szCs w:val="20"/>
          <w:color w:val="auto"/>
        </w:rPr>
      </w:pPr>
      <w:r>
        <w:rPr>
          <w:rFonts w:ascii="Arial" w:cs="Arial" w:eastAsia="Arial" w:hAnsi="Arial"/>
          <w:sz w:val="14"/>
          <w:szCs w:val="14"/>
          <w:color w:val="auto"/>
        </w:rPr>
        <w:t>At March 31, 2023, our total deposits and customer repurchase agreements were $12.76 billion, compared with $13.40 billion at December 31, 2022 and $15.09 billion for the same period a year ago. At March 31, 2023, our noninterest bearing deposits were $7.84 billion, compared with $8.16 billion for the prior quarter and $9.11 billion from the year ago quarter. This represents a 3.92% decline from the end of 2022. Higher interest rates have impacted our deposits, both deposits transitioning to liquidity management accounts at CitizensTrust, as well as customers using deposits to pay down their credit lines that have seen rates rise above 7% or 8%. More than $370 million of the $639.6 million decline in deposits and customer repurchase agreements from the end of 2022 were moved into CitizensTrust, where they were invested in higher yielding liquid assets such as treasury notes. Furthermore, deposit levels continue to be impacted by both the burn down due to the overall inflationary environment and the slowdown in the residential real estate market. From the end of the first quarter of 2022 to the end of the first quarter of 2023, we have experienced a decline in deposits of approximately $500 million from customers in real estate related industries, primarily in title and escrow.</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790" w:right="720"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Borrowings</w:t>
      </w:r>
    </w:p>
    <w:p>
      <w:pPr>
        <w:spacing w:after="0" w:line="184" w:lineRule="exact"/>
        <w:rPr>
          <w:sz w:val="20"/>
          <w:szCs w:val="20"/>
          <w:color w:val="auto"/>
        </w:rPr>
      </w:pPr>
    </w:p>
    <w:p>
      <w:pPr>
        <w:ind w:right="60" w:firstLine="432"/>
        <w:spacing w:after="0" w:line="238" w:lineRule="auto"/>
        <w:rPr>
          <w:sz w:val="20"/>
          <w:szCs w:val="20"/>
          <w:color w:val="auto"/>
        </w:rPr>
      </w:pPr>
      <w:r>
        <w:rPr>
          <w:rFonts w:ascii="Arial" w:cs="Arial" w:eastAsia="Arial" w:hAnsi="Arial"/>
          <w:sz w:val="16"/>
          <w:szCs w:val="16"/>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these funds by the Bank for the period concerned. These repurchase agreements are signed with customers who want to invest their excess deposits, above a pre - determined balance in a demand deposit account, in order to earn interest. As of March 31, 2023 and December 31, 2022, total funds borrowed under these agreements were $490.2 million and $565.4 million, respectively, with a weighted average interest rate of 0.12% and 0.10%, for the first quarter of 2023 and fourth quarter of 2022, respectively.</w:t>
      </w:r>
    </w:p>
    <w:p>
      <w:pPr>
        <w:spacing w:after="0" w:line="166" w:lineRule="exact"/>
        <w:rPr>
          <w:sz w:val="20"/>
          <w:szCs w:val="20"/>
          <w:color w:val="auto"/>
        </w:rPr>
      </w:pPr>
    </w:p>
    <w:p>
      <w:pPr>
        <w:ind w:firstLine="432"/>
        <w:spacing w:after="0" w:line="243" w:lineRule="auto"/>
        <w:rPr>
          <w:sz w:val="20"/>
          <w:szCs w:val="20"/>
          <w:color w:val="auto"/>
        </w:rPr>
      </w:pPr>
      <w:r>
        <w:rPr>
          <w:rFonts w:ascii="Arial" w:cs="Arial" w:eastAsia="Arial" w:hAnsi="Arial"/>
          <w:sz w:val="16"/>
          <w:szCs w:val="16"/>
          <w:color w:val="auto"/>
        </w:rPr>
        <w:t>As a result of declining deposit balances, we borrowed on average $971.7 million from the FHLB during the first quarter of 2023. These short-term borrowings peaked at quarter end at $1.4 billion at March 31, 2023. The cost of these borrowings at the end of the first quarter of 2023 was approximately 5%.</w:t>
      </w:r>
    </w:p>
    <w:p>
      <w:pPr>
        <w:spacing w:after="0" w:line="161" w:lineRule="exact"/>
        <w:rPr>
          <w:sz w:val="20"/>
          <w:szCs w:val="20"/>
          <w:color w:val="auto"/>
        </w:rPr>
      </w:pPr>
    </w:p>
    <w:p>
      <w:pPr>
        <w:jc w:val="both"/>
        <w:ind w:right="240" w:firstLine="432"/>
        <w:spacing w:after="0" w:line="243" w:lineRule="auto"/>
        <w:rPr>
          <w:sz w:val="20"/>
          <w:szCs w:val="20"/>
          <w:color w:val="auto"/>
        </w:rPr>
      </w:pPr>
      <w:r>
        <w:rPr>
          <w:rFonts w:ascii="Arial" w:cs="Arial" w:eastAsia="Arial" w:hAnsi="Arial"/>
          <w:sz w:val="16"/>
          <w:szCs w:val="16"/>
          <w:color w:val="auto"/>
        </w:rPr>
        <w:t>Our secured borrowing capacity with the FHLB and FRB totaled $5.78 billion, of which approximately $4.37 billion was available as of March 31, 2023. At March 31, 2023, we had more than $300 million in Fed Funds unsecured lines of credit with other major U.S. banks. These lines of credit are available for overnight borrowings.</w:t>
      </w:r>
    </w:p>
    <w:p>
      <w:pPr>
        <w:spacing w:after="0" w:line="161" w:lineRule="exact"/>
        <w:rPr>
          <w:sz w:val="20"/>
          <w:szCs w:val="20"/>
          <w:color w:val="auto"/>
        </w:rPr>
      </w:pPr>
    </w:p>
    <w:p>
      <w:pPr>
        <w:ind w:right="160" w:firstLine="432"/>
        <w:spacing w:after="0" w:line="252" w:lineRule="auto"/>
        <w:rPr>
          <w:sz w:val="20"/>
          <w:szCs w:val="20"/>
          <w:color w:val="auto"/>
        </w:rPr>
      </w:pPr>
      <w:r>
        <w:rPr>
          <w:rFonts w:ascii="Arial" w:cs="Arial" w:eastAsia="Arial" w:hAnsi="Arial"/>
          <w:sz w:val="16"/>
          <w:szCs w:val="16"/>
          <w:color w:val="auto"/>
        </w:rPr>
        <w:t>At March 31, 2023, $3.55 billion of loans and $ 4.0 billion of investment securities, at carrying value, were pledged to secure public deposits, short and long-term borrowings, and for other purposes as required or permitted by law.</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Aggregate Contractual Obligations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aggregate contractual obligations as of March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Maturity by Period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One Year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Four 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Less Than One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Through</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Over Five</w:t>
            </w:r>
          </w:p>
        </w:tc>
      </w:tr>
      <w:tr>
        <w:trPr>
          <w:trHeight w:val="196"/>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 Years</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Five Years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Years</w:t>
            </w:r>
          </w:p>
        </w:tc>
      </w:tr>
      <w:tr>
        <w:trPr>
          <w:trHeight w:val="189"/>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Deposits (1)</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12,271,870</w:t>
            </w:r>
          </w:p>
        </w:tc>
        <w:tc>
          <w:tcPr>
            <w:tcW w:w="120" w:type="dxa"/>
            <w:vAlign w:val="bottom"/>
            <w:shd w:val="clear" w:color="auto" w:fill="CFF0FC"/>
          </w:tcPr>
          <w:p>
            <w:pPr>
              <w:spacing w:after="0"/>
              <w:rPr>
                <w:sz w:val="16"/>
                <w:szCs w:val="16"/>
                <w:color w:val="auto"/>
              </w:rPr>
            </w:pPr>
          </w:p>
        </w:tc>
        <w:tc>
          <w:tcPr>
            <w:tcW w:w="3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12,249,184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17,563</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4,855</w:t>
            </w:r>
          </w:p>
        </w:tc>
        <w:tc>
          <w:tcPr>
            <w:tcW w:w="10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FF0FC"/>
          </w:tcPr>
          <w:p>
            <w:pPr>
              <w:spacing w:after="0"/>
              <w:rPr>
                <w:sz w:val="16"/>
                <w:szCs w:val="16"/>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Customer repurchase agreements (1)</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490,235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490,235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Borrowings</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1,405,000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1,405,000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22,873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19,969</w:t>
            </w:r>
          </w:p>
        </w:tc>
        <w:tc>
          <w:tcPr>
            <w:tcW w:w="80" w:type="dxa"/>
            <w:vAlign w:val="bottom"/>
          </w:tcPr>
          <w:p>
            <w:pPr>
              <w:spacing w:after="0"/>
              <w:rPr>
                <w:sz w:val="16"/>
                <w:szCs w:val="16"/>
                <w:color w:val="auto"/>
              </w:rPr>
            </w:pP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leases</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26,292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6,996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11,810</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749</w:t>
            </w:r>
          </w:p>
        </w:tc>
        <w:tc>
          <w:tcPr>
            <w:tcW w:w="80" w:type="dxa"/>
            <w:vAlign w:val="bottom"/>
            <w:shd w:val="clear" w:color="auto" w:fill="CFF0FC"/>
          </w:tcPr>
          <w:p>
            <w:pPr>
              <w:spacing w:after="0"/>
              <w:rPr>
                <w:sz w:val="16"/>
                <w:szCs w:val="16"/>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Affordable housing investment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2,747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6,634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6"/>
                <w:szCs w:val="16"/>
                <w:color w:val="auto"/>
              </w:rPr>
            </w:pPr>
          </w:p>
        </w:tc>
      </w:tr>
      <w:tr>
        <w:trPr>
          <w:trHeight w:val="235"/>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14,225,977</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14,154,764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37,159</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12,784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21,270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17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(1)Amounts exclude accrued interest.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Deposits represent noninterest-bearing, money market, savings, NOW, certificates of deposits, and all other deposits held by the Bank.</w:t>
      </w:r>
    </w:p>
    <w:p>
      <w:pPr>
        <w:spacing w:after="0" w:line="176" w:lineRule="exact"/>
        <w:rPr>
          <w:sz w:val="20"/>
          <w:szCs w:val="20"/>
          <w:color w:val="auto"/>
        </w:rPr>
      </w:pPr>
    </w:p>
    <w:p>
      <w:pPr>
        <w:jc w:val="both"/>
        <w:ind w:right="20" w:firstLine="432"/>
        <w:spacing w:after="0" w:line="252" w:lineRule="auto"/>
        <w:rPr>
          <w:sz w:val="20"/>
          <w:szCs w:val="20"/>
          <w:color w:val="auto"/>
        </w:rPr>
      </w:pPr>
      <w:r>
        <w:rPr>
          <w:rFonts w:ascii="Arial" w:cs="Arial" w:eastAsia="Arial" w:hAnsi="Arial"/>
          <w:sz w:val="16"/>
          <w:szCs w:val="16"/>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54" w:lineRule="exact"/>
        <w:rPr>
          <w:sz w:val="20"/>
          <w:szCs w:val="20"/>
          <w:color w:val="auto"/>
        </w:rPr>
      </w:pPr>
    </w:p>
    <w:p>
      <w:pPr>
        <w:ind w:right="20" w:firstLine="432"/>
        <w:spacing w:after="0" w:line="243" w:lineRule="auto"/>
        <w:rPr>
          <w:sz w:val="20"/>
          <w:szCs w:val="20"/>
          <w:color w:val="auto"/>
        </w:rPr>
      </w:pPr>
      <w:r>
        <w:rPr>
          <w:rFonts w:ascii="Arial" w:cs="Arial" w:eastAsia="Arial" w:hAnsi="Arial"/>
          <w:sz w:val="16"/>
          <w:szCs w:val="16"/>
          <w:color w:val="auto"/>
        </w:rPr>
        <w:t>At March 31, 2023, we had $1.4 billion in FHLB short -term borrowings. The combination of seasonal deposit declines, the impact of cash burn on deposits from inflationary pressures, and market conditions that include the availability of higher interest rates on short-term alternatives to deposits, such as money market mutual funds and treasury notes, resulted in the decline in core customer deposits.</w:t>
      </w:r>
    </w:p>
    <w:p>
      <w:pPr>
        <w:spacing w:after="0" w:line="161" w:lineRule="exact"/>
        <w:rPr>
          <w:sz w:val="20"/>
          <w:szCs w:val="20"/>
          <w:color w:val="auto"/>
        </w:rPr>
      </w:pPr>
    </w:p>
    <w:p>
      <w:pPr>
        <w:ind w:right="680" w:firstLine="432"/>
        <w:spacing w:after="0" w:line="252" w:lineRule="auto"/>
        <w:rPr>
          <w:sz w:val="20"/>
          <w:szCs w:val="20"/>
          <w:color w:val="auto"/>
        </w:rPr>
      </w:pPr>
      <w:r>
        <w:rPr>
          <w:rFonts w:ascii="Arial" w:cs="Arial" w:eastAsia="Arial" w:hAnsi="Arial"/>
          <w:sz w:val="16"/>
          <w:szCs w:val="16"/>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48" w:lineRule="exact"/>
        <w:rPr>
          <w:sz w:val="20"/>
          <w:szCs w:val="20"/>
          <w:color w:val="auto"/>
        </w:rPr>
      </w:pPr>
    </w:p>
    <w:p>
      <w:pPr>
        <w:ind w:right="60" w:firstLine="432"/>
        <w:spacing w:after="0" w:line="245" w:lineRule="auto"/>
        <w:rPr>
          <w:sz w:val="20"/>
          <w:szCs w:val="20"/>
          <w:color w:val="auto"/>
        </w:rPr>
      </w:pPr>
      <w:r>
        <w:rPr>
          <w:rFonts w:ascii="Arial" w:cs="Arial" w:eastAsia="Arial" w:hAnsi="Arial"/>
          <w:sz w:val="16"/>
          <w:szCs w:val="16"/>
          <w:color w:val="auto"/>
        </w:rPr>
        <w:t xml:space="preserve">Operating leases represent the total minimum lease payments due under non-cancelable operating leases. Refer to Note 12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of the notes to the Company’s unaudited condensed consolidated financial statements for a more detailed discussion about leases.</w:t>
      </w:r>
    </w:p>
    <w:p>
      <w:pPr>
        <w:jc w:val="center"/>
        <w:spacing w:after="0"/>
        <w:rPr>
          <w:sz w:val="20"/>
          <w:szCs w:val="20"/>
          <w:color w:val="auto"/>
        </w:rPr>
      </w:pPr>
      <w:r>
        <w:rPr>
          <w:rFonts w:ascii="Arial" w:cs="Arial" w:eastAsia="Arial" w:hAnsi="Arial"/>
          <w:sz w:val="16"/>
          <w:szCs w:val="16"/>
          <w:color w:val="auto"/>
        </w:rPr>
        <w:t>59</w:t>
      </w:r>
    </w:p>
    <w:p>
      <w:pPr>
        <w:sectPr>
          <w:pgSz w:w="11900" w:h="16840" w:orient="portrait"/>
          <w:cols w:equalWidth="0" w:num="1">
            <w:col w:w="10580"/>
          </w:cols>
          <w:pgMar w:left="660" w:top="782" w:right="660"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Off-Balance Sheet Arrangements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off-balance sheet items at March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Maturity by Period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One Year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Four 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Less Than One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Through</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After Five</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 Years</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Five Years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 to extend credit:</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40" w:type="dxa"/>
            <w:vAlign w:val="bottom"/>
          </w:tcPr>
          <w:p>
            <w:pPr>
              <w:ind w:left="100"/>
              <w:spacing w:after="0"/>
              <w:rPr>
                <w:sz w:val="20"/>
                <w:szCs w:val="20"/>
                <w:color w:val="auto"/>
              </w:rPr>
            </w:pPr>
            <w:r>
              <w:rPr>
                <w:rFonts w:ascii="Arial" w:cs="Arial" w:eastAsia="Arial" w:hAnsi="Arial"/>
                <w:sz w:val="14"/>
                <w:szCs w:val="14"/>
                <w:color w:val="auto"/>
              </w:rPr>
              <w:t>Commercial real estate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414,717</w:t>
            </w:r>
          </w:p>
        </w:tc>
        <w:tc>
          <w:tcPr>
            <w:tcW w:w="120" w:type="dxa"/>
            <w:vAlign w:val="bottom"/>
          </w:tcPr>
          <w:p>
            <w:pPr>
              <w:spacing w:after="0"/>
              <w:rPr>
                <w:sz w:val="17"/>
                <w:szCs w:val="17"/>
                <w:color w:val="auto"/>
              </w:rPr>
            </w:pP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61,901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181,926</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143,116</w:t>
            </w:r>
          </w:p>
        </w:tc>
        <w:tc>
          <w:tcPr>
            <w:tcW w:w="1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27,774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Construction</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36,454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33,126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SBA</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SBA - PPP</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956,828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748,033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152,159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49,214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vMerge w:val="restart"/>
            <w:shd w:val="clear" w:color="auto" w:fill="CFF0FC"/>
          </w:tcPr>
          <w:p>
            <w:pPr>
              <w:ind w:left="100"/>
              <w:spacing w:after="0"/>
              <w:rPr>
                <w:sz w:val="20"/>
                <w:szCs w:val="20"/>
                <w:color w:val="auto"/>
              </w:rPr>
            </w:pPr>
            <w:r>
              <w:rPr>
                <w:rFonts w:ascii="Arial" w:cs="Arial" w:eastAsia="Arial" w:hAnsi="Arial"/>
                <w:sz w:val="14"/>
                <w:szCs w:val="14"/>
                <w:color w:val="auto"/>
              </w:rPr>
              <w:t>Dairy &amp; livestock and agribusiness (1)</w:t>
            </w:r>
          </w:p>
        </w:tc>
        <w:tc>
          <w:tcPr>
            <w:tcW w:w="2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274,485</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204,823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69,661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14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Municipal lease finance receivables</w:t>
            </w:r>
          </w:p>
        </w:tc>
        <w:tc>
          <w:tcPr>
            <w:tcW w:w="2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SFR Mortgage</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6,720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4,163</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Consumer and other loans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116,638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12,505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9,534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90,917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commitment to extend credit</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1,806,213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1,060,388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417,443</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154,221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174,161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Obligations under letters of credit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50,128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5,777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44,333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1,856,341</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1,066,165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461,776</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154,221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174,179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(1)Total commitments to extend credit to agribusiness were $36.2 million at March 31, 2023.</w:t>
      </w:r>
    </w:p>
    <w:p>
      <w:pPr>
        <w:spacing w:after="0" w:line="188"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As of March 31, 2023, we had commitments to extend credit of approximately $ 1.81 billion, and obligations under letters of credit of $50.1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March 31, 2023 and 2022, the balance in this reserve was $8.5 million and $8.0 million, respectively, and was included in other liabilities. The year-over-year increase included a $500,000 provision for unfunded loan commitments in the first quarter of 2023.</w:t>
      </w:r>
    </w:p>
    <w:p>
      <w:pPr>
        <w:spacing w:after="0" w:line="167" w:lineRule="exact"/>
        <w:rPr>
          <w:sz w:val="20"/>
          <w:szCs w:val="20"/>
          <w:color w:val="auto"/>
        </w:rPr>
      </w:pPr>
    </w:p>
    <w:p>
      <w:pPr>
        <w:ind w:right="80" w:firstLine="432"/>
        <w:spacing w:after="0"/>
        <w:rPr>
          <w:sz w:val="20"/>
          <w:szCs w:val="20"/>
          <w:color w:val="auto"/>
        </w:rPr>
      </w:pPr>
      <w:r>
        <w:rPr>
          <w:rFonts w:ascii="Arial" w:cs="Arial" w:eastAsia="Arial" w:hAnsi="Arial"/>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40" w:orient="portrait"/>
          <w:cols w:equalWidth="0" w:num="1">
            <w:col w:w="10560"/>
          </w:cols>
          <w:pgMar w:left="660" w:top="938" w:right="680"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color w:val="auto"/>
        </w:rPr>
        <w:t>Capital Resources</w:t>
      </w:r>
    </w:p>
    <w:p>
      <w:pPr>
        <w:spacing w:after="0" w:line="184" w:lineRule="exact"/>
        <w:rPr>
          <w:sz w:val="20"/>
          <w:szCs w:val="20"/>
          <w:color w:val="auto"/>
        </w:rPr>
      </w:pPr>
    </w:p>
    <w:p>
      <w:pPr>
        <w:ind w:right="100" w:firstLine="432"/>
        <w:spacing w:after="0"/>
        <w:rPr>
          <w:sz w:val="20"/>
          <w:szCs w:val="20"/>
          <w:color w:val="auto"/>
        </w:rPr>
      </w:pPr>
      <w:r>
        <w:rPr>
          <w:rFonts w:ascii="Arial" w:cs="Arial" w:eastAsia="Arial" w:hAnsi="Arial"/>
          <w:sz w:val="16"/>
          <w:szCs w:val="16"/>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64" w:lineRule="exact"/>
        <w:rPr>
          <w:sz w:val="20"/>
          <w:szCs w:val="20"/>
          <w:color w:val="auto"/>
        </w:rPr>
      </w:pPr>
    </w:p>
    <w:p>
      <w:pPr>
        <w:ind w:right="80" w:firstLine="432"/>
        <w:spacing w:after="0" w:line="239" w:lineRule="auto"/>
        <w:rPr>
          <w:sz w:val="20"/>
          <w:szCs w:val="20"/>
          <w:color w:val="auto"/>
        </w:rPr>
      </w:pPr>
      <w:r>
        <w:rPr>
          <w:rFonts w:ascii="Arial" w:cs="Arial" w:eastAsia="Arial" w:hAnsi="Arial"/>
          <w:sz w:val="16"/>
          <w:szCs w:val="16"/>
          <w:color w:val="auto"/>
        </w:rPr>
        <w:t>Total equity increased $41.3 million, or 2.12%, to $ 1.99 billion at March 31, 2023, compared to total equity of $1.95 billion at December 31, 2022. Increases to equity included $59.3 million in net earnings and a $28.7 million increase in other comprehensive income from the tax effected impact of the increase in market value of available- for-sale securities. Decreases included $28.0 million in cash dividends. During the first quarter of 2023, we repurchased, under our 10b5-1 stock repurchase plan, 791,800 shares of common stock, at an average repurchase price of $23.43, totaling $18.5 million. The 10b5-1 plan expired on March 2, 2023. Our tangible book value per share at March 31, 2023 was $8.64.</w:t>
      </w:r>
    </w:p>
    <w:p>
      <w:pPr>
        <w:spacing w:after="0" w:line="164" w:lineRule="exact"/>
        <w:rPr>
          <w:sz w:val="20"/>
          <w:szCs w:val="20"/>
          <w:color w:val="auto"/>
        </w:rPr>
      </w:pPr>
    </w:p>
    <w:p>
      <w:pPr>
        <w:ind w:right="60" w:firstLine="432"/>
        <w:spacing w:after="0"/>
        <w:rPr>
          <w:sz w:val="20"/>
          <w:szCs w:val="20"/>
          <w:color w:val="auto"/>
        </w:rPr>
      </w:pPr>
      <w:r>
        <w:rPr>
          <w:rFonts w:ascii="Arial" w:cs="Arial" w:eastAsia="Arial" w:hAnsi="Arial"/>
          <w:sz w:val="16"/>
          <w:szCs w:val="16"/>
          <w:color w:val="auto"/>
        </w:rPr>
        <w:t>During the first quarter of 2023, the Board of Directors of CVB declared quarterly cash dividends totaling $0.20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64" w:lineRule="exact"/>
        <w:rPr>
          <w:sz w:val="20"/>
          <w:szCs w:val="20"/>
          <w:color w:val="auto"/>
        </w:rPr>
      </w:pPr>
    </w:p>
    <w:p>
      <w:pPr>
        <w:ind w:right="100" w:firstLine="432"/>
        <w:spacing w:after="0" w:line="238" w:lineRule="auto"/>
        <w:rPr>
          <w:sz w:val="20"/>
          <w:szCs w:val="20"/>
          <w:color w:val="auto"/>
        </w:rPr>
      </w:pPr>
      <w:r>
        <w:rPr>
          <w:rFonts w:ascii="Arial" w:cs="Arial" w:eastAsia="Arial" w:hAnsi="Arial"/>
          <w:sz w:val="16"/>
          <w:szCs w:val="16"/>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During the first quarter of 2022, we executed on the $70 million accelerated stock repurchase program and retired 2,544,298 shares of common stock. We also repurchased, under our 10b5-1 stock repurchase plan, 536,010 shares of common stock, at an average repurchase price of $23.40, totaling $12.5 million. During the first quarter of 2023, we repurchased 791,800 shares at an average price of $23.43. Our 10b5-1 plan expired on March 2, 2023.</w:t>
      </w:r>
    </w:p>
    <w:p>
      <w:pPr>
        <w:spacing w:after="0" w:line="163"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 -based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March 31, 2023, the Bank and the Company exceeded the minimum risk-based capital ratios and leverage ratios required to be considered “well-capitalized” for regulatory purposes. For further information about capital requirements and our capital ratios, see “Item 1. </w:t>
      </w:r>
      <w:r>
        <w:rPr>
          <w:rFonts w:ascii="Arial" w:cs="Arial" w:eastAsia="Arial" w:hAnsi="Arial"/>
          <w:sz w:val="16"/>
          <w:szCs w:val="16"/>
          <w:i w:val="1"/>
          <w:iCs w:val="1"/>
          <w:color w:val="auto"/>
        </w:rPr>
        <w:t>Business – Capital Adequacy Requirements</w:t>
      </w:r>
      <w:r>
        <w:rPr>
          <w:rFonts w:ascii="Arial" w:cs="Arial" w:eastAsia="Arial" w:hAnsi="Arial"/>
          <w:sz w:val="16"/>
          <w:szCs w:val="16"/>
          <w:color w:val="auto"/>
        </w:rPr>
        <w:t>” as described in our Annual Report on Form 10-K for the year ended December 31, 2022.</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presents the Company’s and the Bank’s risk-based and leverage capital ratios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20" w:type="dxa"/>
            <w:vAlign w:val="bottom"/>
            <w:gridSpan w:val="2"/>
          </w:tcPr>
          <w:p>
            <w:pPr>
              <w:ind w:left="600"/>
              <w:spacing w:after="0"/>
              <w:rPr>
                <w:sz w:val="20"/>
                <w:szCs w:val="20"/>
                <w:color w:val="auto"/>
              </w:rPr>
            </w:pPr>
            <w:r>
              <w:rPr>
                <w:rFonts w:ascii="Arial" w:cs="Arial" w:eastAsia="Arial" w:hAnsi="Arial"/>
                <w:sz w:val="14"/>
                <w:szCs w:val="14"/>
                <w:b w:val="1"/>
                <w:bCs w:val="1"/>
                <w:color w:val="auto"/>
              </w:rPr>
              <w:t>March 31, 2023</w:t>
            </w:r>
          </w:p>
        </w:tc>
        <w:tc>
          <w:tcPr>
            <w:tcW w:w="214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 2022</w:t>
            </w:r>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Adequately</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Minimum Required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Well</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CVB Financial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Citizens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CVB Financial</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rPr>
              <w:t>Citizens</w:t>
            </w:r>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Capitalized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Plus Capital</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Capitalized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Corp.</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Business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Corp.</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Business</w:t>
            </w:r>
          </w:p>
        </w:tc>
      </w:tr>
      <w:tr>
        <w:trPr>
          <w:trHeight w:val="160"/>
        </w:trPr>
        <w:tc>
          <w:tcPr>
            <w:tcW w:w="234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 Ratios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Ratios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Conservation Buffer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Ratios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Consolidated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Bank</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Consolidated</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w w:val="99"/>
              </w:rPr>
              <w:t>Bank</w:t>
            </w:r>
          </w:p>
        </w:tc>
      </w:tr>
      <w:tr>
        <w:trPr>
          <w:trHeight w:val="208"/>
        </w:trPr>
        <w:tc>
          <w:tcPr>
            <w:tcW w:w="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2"/>
        </w:trPr>
        <w:tc>
          <w:tcPr>
            <w:tcW w:w="23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Tier 1 leverage capital ratio</w:t>
            </w: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4.00%</w:t>
            </w:r>
          </w:p>
        </w:tc>
        <w:tc>
          <w:tcPr>
            <w:tcW w:w="17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4.00%</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5.00%</w:t>
            </w: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9.69%</w:t>
            </w: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9.61%</w:t>
            </w:r>
          </w:p>
        </w:tc>
        <w:tc>
          <w:tcPr>
            <w:tcW w:w="12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9.53%</w:t>
            </w:r>
          </w:p>
        </w:tc>
        <w:tc>
          <w:tcPr>
            <w:tcW w:w="86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rPr>
              <w:t>9.42%</w:t>
            </w:r>
          </w:p>
        </w:tc>
      </w:tr>
      <w:tr>
        <w:trPr>
          <w:trHeight w:val="189"/>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Common equity Tier 1 capital ratio</w:t>
            </w:r>
          </w:p>
        </w:tc>
        <w:tc>
          <w:tcPr>
            <w:tcW w:w="1100" w:type="dxa"/>
            <w:vAlign w:val="bottom"/>
          </w:tcPr>
          <w:p>
            <w:pPr>
              <w:jc w:val="center"/>
              <w:spacing w:after="0"/>
              <w:rPr>
                <w:sz w:val="20"/>
                <w:szCs w:val="20"/>
                <w:color w:val="auto"/>
              </w:rPr>
            </w:pPr>
            <w:r>
              <w:rPr>
                <w:rFonts w:ascii="Arial" w:cs="Arial" w:eastAsia="Arial" w:hAnsi="Arial"/>
                <w:sz w:val="14"/>
                <w:szCs w:val="14"/>
                <w:color w:val="auto"/>
              </w:rPr>
              <w:t>4.50%</w:t>
            </w:r>
          </w:p>
        </w:tc>
        <w:tc>
          <w:tcPr>
            <w:tcW w:w="1700" w:type="dxa"/>
            <w:vAlign w:val="bottom"/>
          </w:tcPr>
          <w:p>
            <w:pPr>
              <w:jc w:val="center"/>
              <w:spacing w:after="0"/>
              <w:rPr>
                <w:sz w:val="20"/>
                <w:szCs w:val="20"/>
                <w:color w:val="auto"/>
              </w:rPr>
            </w:pPr>
            <w:r>
              <w:rPr>
                <w:rFonts w:ascii="Arial" w:cs="Arial" w:eastAsia="Arial" w:hAnsi="Arial"/>
                <w:sz w:val="14"/>
                <w:szCs w:val="14"/>
                <w:color w:val="auto"/>
              </w:rPr>
              <w:t>7.00%</w:t>
            </w:r>
          </w:p>
        </w:tc>
        <w:tc>
          <w:tcPr>
            <w:tcW w:w="1060" w:type="dxa"/>
            <w:vAlign w:val="bottom"/>
          </w:tcPr>
          <w:p>
            <w:pPr>
              <w:jc w:val="center"/>
              <w:spacing w:after="0"/>
              <w:rPr>
                <w:sz w:val="20"/>
                <w:szCs w:val="20"/>
                <w:color w:val="auto"/>
              </w:rPr>
            </w:pPr>
            <w:r>
              <w:rPr>
                <w:rFonts w:ascii="Arial" w:cs="Arial" w:eastAsia="Arial" w:hAnsi="Arial"/>
                <w:sz w:val="14"/>
                <w:szCs w:val="14"/>
                <w:color w:val="auto"/>
              </w:rPr>
              <w:t>6.50%</w:t>
            </w:r>
          </w:p>
        </w:tc>
        <w:tc>
          <w:tcPr>
            <w:tcW w:w="1260" w:type="dxa"/>
            <w:vAlign w:val="bottom"/>
          </w:tcPr>
          <w:p>
            <w:pPr>
              <w:jc w:val="center"/>
              <w:spacing w:after="0"/>
              <w:rPr>
                <w:sz w:val="20"/>
                <w:szCs w:val="20"/>
                <w:color w:val="auto"/>
              </w:rPr>
            </w:pPr>
            <w:r>
              <w:rPr>
                <w:rFonts w:ascii="Arial" w:cs="Arial" w:eastAsia="Arial" w:hAnsi="Arial"/>
                <w:sz w:val="14"/>
                <w:szCs w:val="14"/>
                <w:color w:val="auto"/>
              </w:rPr>
              <w:t>13.80%</w:t>
            </w:r>
          </w:p>
        </w:tc>
        <w:tc>
          <w:tcPr>
            <w:tcW w:w="960" w:type="dxa"/>
            <w:vAlign w:val="bottom"/>
          </w:tcPr>
          <w:p>
            <w:pPr>
              <w:jc w:val="center"/>
              <w:spacing w:after="0"/>
              <w:rPr>
                <w:sz w:val="20"/>
                <w:szCs w:val="20"/>
                <w:color w:val="auto"/>
              </w:rPr>
            </w:pPr>
            <w:r>
              <w:rPr>
                <w:rFonts w:ascii="Arial" w:cs="Arial" w:eastAsia="Arial" w:hAnsi="Arial"/>
                <w:sz w:val="14"/>
                <w:szCs w:val="14"/>
                <w:color w:val="auto"/>
              </w:rPr>
              <w:t>13.68%</w:t>
            </w:r>
          </w:p>
        </w:tc>
        <w:tc>
          <w:tcPr>
            <w:tcW w:w="1280" w:type="dxa"/>
            <w:vAlign w:val="bottom"/>
          </w:tcPr>
          <w:p>
            <w:pPr>
              <w:jc w:val="center"/>
              <w:spacing w:after="0"/>
              <w:rPr>
                <w:sz w:val="20"/>
                <w:szCs w:val="20"/>
                <w:color w:val="auto"/>
              </w:rPr>
            </w:pPr>
            <w:r>
              <w:rPr>
                <w:rFonts w:ascii="Arial" w:cs="Arial" w:eastAsia="Arial" w:hAnsi="Arial"/>
                <w:sz w:val="14"/>
                <w:szCs w:val="14"/>
                <w:color w:val="auto"/>
              </w:rPr>
              <w:t>13.55%</w:t>
            </w:r>
          </w:p>
        </w:tc>
        <w:tc>
          <w:tcPr>
            <w:tcW w:w="860" w:type="dxa"/>
            <w:vAlign w:val="bottom"/>
          </w:tcPr>
          <w:p>
            <w:pPr>
              <w:jc w:val="center"/>
              <w:spacing w:after="0"/>
              <w:rPr>
                <w:sz w:val="20"/>
                <w:szCs w:val="20"/>
                <w:color w:val="auto"/>
              </w:rPr>
            </w:pPr>
            <w:r>
              <w:rPr>
                <w:rFonts w:ascii="Arial" w:cs="Arial" w:eastAsia="Arial" w:hAnsi="Arial"/>
                <w:sz w:val="14"/>
                <w:szCs w:val="14"/>
                <w:color w:val="auto"/>
              </w:rPr>
              <w:t>13.39%</w:t>
            </w:r>
          </w:p>
        </w:tc>
      </w:tr>
      <w:tr>
        <w:trPr>
          <w:trHeight w:val="195"/>
        </w:trPr>
        <w:tc>
          <w:tcPr>
            <w:tcW w:w="23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Tier 1 risk-based capital ratio</w:t>
            </w: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6.00%</w:t>
            </w:r>
          </w:p>
        </w:tc>
        <w:tc>
          <w:tcPr>
            <w:tcW w:w="17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8.50%</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8.00%</w:t>
            </w:r>
          </w:p>
        </w:tc>
        <w:tc>
          <w:tcPr>
            <w:tcW w:w="12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13.80%</w:t>
            </w: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13.68%</w:t>
            </w:r>
          </w:p>
        </w:tc>
        <w:tc>
          <w:tcPr>
            <w:tcW w:w="12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13.55%</w:t>
            </w:r>
          </w:p>
        </w:tc>
        <w:tc>
          <w:tcPr>
            <w:tcW w:w="8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13.39%</w:t>
            </w:r>
          </w:p>
        </w:tc>
      </w:tr>
      <w:tr>
        <w:trPr>
          <w:trHeight w:val="186"/>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Total risk-based capital ratio</w:t>
            </w:r>
          </w:p>
        </w:tc>
        <w:tc>
          <w:tcPr>
            <w:tcW w:w="1100" w:type="dxa"/>
            <w:vAlign w:val="bottom"/>
          </w:tcPr>
          <w:p>
            <w:pPr>
              <w:jc w:val="center"/>
              <w:spacing w:after="0"/>
              <w:rPr>
                <w:sz w:val="20"/>
                <w:szCs w:val="20"/>
                <w:color w:val="auto"/>
              </w:rPr>
            </w:pPr>
            <w:r>
              <w:rPr>
                <w:rFonts w:ascii="Arial" w:cs="Arial" w:eastAsia="Arial" w:hAnsi="Arial"/>
                <w:sz w:val="14"/>
                <w:szCs w:val="14"/>
                <w:color w:val="auto"/>
              </w:rPr>
              <w:t>8.00%</w:t>
            </w:r>
          </w:p>
        </w:tc>
        <w:tc>
          <w:tcPr>
            <w:tcW w:w="1700" w:type="dxa"/>
            <w:vAlign w:val="bottom"/>
          </w:tcPr>
          <w:p>
            <w:pPr>
              <w:jc w:val="center"/>
              <w:spacing w:after="0"/>
              <w:rPr>
                <w:sz w:val="20"/>
                <w:szCs w:val="20"/>
                <w:color w:val="auto"/>
              </w:rPr>
            </w:pPr>
            <w:r>
              <w:rPr>
                <w:rFonts w:ascii="Arial" w:cs="Arial" w:eastAsia="Arial" w:hAnsi="Arial"/>
                <w:sz w:val="14"/>
                <w:szCs w:val="14"/>
                <w:color w:val="auto"/>
              </w:rPr>
              <w:t>10.50%</w:t>
            </w:r>
          </w:p>
        </w:tc>
        <w:tc>
          <w:tcPr>
            <w:tcW w:w="1060" w:type="dxa"/>
            <w:vAlign w:val="bottom"/>
          </w:tcPr>
          <w:p>
            <w:pPr>
              <w:jc w:val="center"/>
              <w:spacing w:after="0"/>
              <w:rPr>
                <w:sz w:val="20"/>
                <w:szCs w:val="20"/>
                <w:color w:val="auto"/>
              </w:rPr>
            </w:pPr>
            <w:r>
              <w:rPr>
                <w:rFonts w:ascii="Arial" w:cs="Arial" w:eastAsia="Arial" w:hAnsi="Arial"/>
                <w:sz w:val="14"/>
                <w:szCs w:val="14"/>
                <w:color w:val="auto"/>
              </w:rPr>
              <w:t>10.00%</w:t>
            </w:r>
          </w:p>
        </w:tc>
        <w:tc>
          <w:tcPr>
            <w:tcW w:w="1260" w:type="dxa"/>
            <w:vAlign w:val="bottom"/>
          </w:tcPr>
          <w:p>
            <w:pPr>
              <w:jc w:val="center"/>
              <w:spacing w:after="0"/>
              <w:rPr>
                <w:sz w:val="20"/>
                <w:szCs w:val="20"/>
                <w:color w:val="auto"/>
              </w:rPr>
            </w:pPr>
            <w:r>
              <w:rPr>
                <w:rFonts w:ascii="Arial" w:cs="Arial" w:eastAsia="Arial" w:hAnsi="Arial"/>
                <w:sz w:val="14"/>
                <w:szCs w:val="14"/>
                <w:color w:val="auto"/>
              </w:rPr>
              <w:t>14.65%</w:t>
            </w:r>
          </w:p>
        </w:tc>
        <w:tc>
          <w:tcPr>
            <w:tcW w:w="960" w:type="dxa"/>
            <w:vAlign w:val="bottom"/>
          </w:tcPr>
          <w:p>
            <w:pPr>
              <w:jc w:val="center"/>
              <w:spacing w:after="0"/>
              <w:rPr>
                <w:sz w:val="20"/>
                <w:szCs w:val="20"/>
                <w:color w:val="auto"/>
              </w:rPr>
            </w:pPr>
            <w:r>
              <w:rPr>
                <w:rFonts w:ascii="Arial" w:cs="Arial" w:eastAsia="Arial" w:hAnsi="Arial"/>
                <w:sz w:val="14"/>
                <w:szCs w:val="14"/>
                <w:color w:val="auto"/>
              </w:rPr>
              <w:t>14.54%</w:t>
            </w:r>
          </w:p>
        </w:tc>
        <w:tc>
          <w:tcPr>
            <w:tcW w:w="1280" w:type="dxa"/>
            <w:vAlign w:val="bottom"/>
          </w:tcPr>
          <w:p>
            <w:pPr>
              <w:jc w:val="center"/>
              <w:spacing w:after="0"/>
              <w:rPr>
                <w:sz w:val="20"/>
                <w:szCs w:val="20"/>
                <w:color w:val="auto"/>
              </w:rPr>
            </w:pPr>
            <w:r>
              <w:rPr>
                <w:rFonts w:ascii="Arial" w:cs="Arial" w:eastAsia="Arial" w:hAnsi="Arial"/>
                <w:sz w:val="14"/>
                <w:szCs w:val="14"/>
                <w:color w:val="auto"/>
              </w:rPr>
              <w:t>14.37%</w:t>
            </w:r>
          </w:p>
        </w:tc>
        <w:tc>
          <w:tcPr>
            <w:tcW w:w="860" w:type="dxa"/>
            <w:vAlign w:val="bottom"/>
          </w:tcPr>
          <w:p>
            <w:pPr>
              <w:jc w:val="center"/>
              <w:spacing w:after="0"/>
              <w:rPr>
                <w:sz w:val="20"/>
                <w:szCs w:val="20"/>
                <w:color w:val="auto"/>
              </w:rPr>
            </w:pPr>
            <w:r>
              <w:rPr>
                <w:rFonts w:ascii="Arial" w:cs="Arial" w:eastAsia="Arial" w:hAnsi="Arial"/>
                <w:sz w:val="14"/>
                <w:szCs w:val="14"/>
                <w:color w:val="auto"/>
              </w:rPr>
              <w:t>14.22%</w:t>
            </w: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82" w:right="640" w:bottom="1440" w:gutter="0" w:footer="0" w:header="0"/>
        </w:sectPr>
      </w:pPr>
    </w:p>
    <w:bookmarkStart w:id="60" w:name="page61"/>
    <w:bookmarkEnd w:id="60"/>
    <w:p>
      <w:pPr>
        <w:jc w:val="center"/>
        <w:ind w:right="100"/>
        <w:spacing w:after="0"/>
        <w:rPr>
          <w:sz w:val="20"/>
          <w:szCs w:val="20"/>
          <w:color w:val="auto"/>
        </w:rPr>
      </w:pPr>
      <w:r>
        <w:rPr>
          <w:rFonts w:ascii="Arial" w:cs="Arial" w:eastAsia="Arial" w:hAnsi="Arial"/>
          <w:sz w:val="16"/>
          <w:szCs w:val="16"/>
          <w:b w:val="1"/>
          <w:bCs w:val="1"/>
          <w:color w:val="auto"/>
        </w:rPr>
        <w:t>ASSET/LIABILITY AND MARKET RISK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Cash Flow</w:t>
      </w:r>
    </w:p>
    <w:p>
      <w:pPr>
        <w:spacing w:after="0" w:line="184" w:lineRule="exact"/>
        <w:rPr>
          <w:sz w:val="20"/>
          <w:szCs w:val="20"/>
          <w:color w:val="auto"/>
        </w:rPr>
      </w:pPr>
    </w:p>
    <w:p>
      <w:pPr>
        <w:ind w:firstLine="432"/>
        <w:spacing w:after="0"/>
        <w:rPr>
          <w:sz w:val="20"/>
          <w:szCs w:val="20"/>
          <w:color w:val="auto"/>
        </w:rPr>
      </w:pPr>
      <w:r>
        <w:rPr>
          <w:rFonts w:ascii="Arial" w:cs="Arial" w:eastAsia="Arial" w:hAnsi="Arial"/>
          <w:sz w:val="16"/>
          <w:szCs w:val="16"/>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64" w:lineRule="exact"/>
        <w:rPr>
          <w:sz w:val="20"/>
          <w:szCs w:val="20"/>
          <w:color w:val="auto"/>
        </w:rPr>
      </w:pPr>
    </w:p>
    <w:p>
      <w:pPr>
        <w:ind w:firstLine="432"/>
        <w:spacing w:after="0" w:line="238" w:lineRule="auto"/>
        <w:rPr>
          <w:sz w:val="20"/>
          <w:szCs w:val="20"/>
          <w:color w:val="auto"/>
        </w:rPr>
      </w:pPr>
      <w:r>
        <w:rPr>
          <w:rFonts w:ascii="Arial" w:cs="Arial" w:eastAsia="Arial" w:hAnsi="Arial"/>
          <w:sz w:val="16"/>
          <w:szCs w:val="16"/>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63" w:lineRule="exact"/>
        <w:rPr>
          <w:sz w:val="20"/>
          <w:szCs w:val="20"/>
          <w:color w:val="auto"/>
        </w:rPr>
      </w:pPr>
    </w:p>
    <w:p>
      <w:pPr>
        <w:ind w:right="80" w:firstLine="432"/>
        <w:spacing w:after="0" w:line="236" w:lineRule="auto"/>
        <w:rPr>
          <w:sz w:val="20"/>
          <w:szCs w:val="20"/>
          <w:color w:val="auto"/>
        </w:rPr>
      </w:pPr>
      <w:r>
        <w:rPr>
          <w:rFonts w:ascii="Arial" w:cs="Arial" w:eastAsia="Arial" w:hAnsi="Arial"/>
          <w:sz w:val="16"/>
          <w:szCs w:val="16"/>
          <w:color w:val="auto"/>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the Federal Home Loan Bank and the Federal Reserve, although availability under these lines of credit are subject to certain conditions. The Bank has available lines of credit totaling approximately $6 billion, of which $4 billion is secured by pledged loans and another $1.7 billion is secured by investment securities. Those sources of liquidity include $3.5 billion of secured and unused capacity with the Federal Home Loan Bank, approximately $800 million of secured borrowing capacity at the Fed’s discount window, and more than $ 300 million in unsecured lines of credit with correspondent banks. We can also obtain additional liquidity from deposit growth by utilizing state and national wholesale markets, as well as pledging additional securities at the discount window or the Fed’s new Bank Term Funding Program. At March 31, 2023, $1.96 billion of AFS securities were available to pledge under the Fed’s new Bank Term Funding Program.</w:t>
      </w:r>
    </w:p>
    <w:p>
      <w:pPr>
        <w:spacing w:after="0" w:line="170" w:lineRule="exact"/>
        <w:rPr>
          <w:sz w:val="20"/>
          <w:szCs w:val="20"/>
          <w:color w:val="auto"/>
        </w:rPr>
      </w:pPr>
    </w:p>
    <w:p>
      <w:pPr>
        <w:ind w:right="120" w:firstLine="432"/>
        <w:spacing w:after="0" w:line="238" w:lineRule="auto"/>
        <w:rPr>
          <w:sz w:val="20"/>
          <w:szCs w:val="20"/>
          <w:color w:val="auto"/>
        </w:rPr>
      </w:pPr>
      <w:r>
        <w:rPr>
          <w:rFonts w:ascii="Arial" w:cs="Arial" w:eastAsia="Arial" w:hAnsi="Arial"/>
          <w:sz w:val="16"/>
          <w:szCs w:val="16"/>
          <w:color w:val="auto"/>
        </w:rPr>
        <w:t>Our primary sources and uses of funds for the Company are deposits, customer repurchase agreements and loans. Total deposits and customer repos of $12.76 billion at March 31, 2023 decreased $639.6 million, or 4.77%, over total deposits and customer repos of $13.40 billion at December 31, 2022. As a result of declining deposit balances, we borrowed on average $971.7 million from the FHLB during the first quarter of 2023. We had no brokered deposits throughout the quarter. These short-term borrowings peaked at quarter end at $1.4 billion at March 31, 2023. The cost of these borrowings at the end of the first quarter of 2023 was approximately 5%. Our deposit levels and cost of deposits may fluctuate from period-to-period due to a variety of factors, including the stability of our deposit base, prevailing interest rates, and market conditions. At March 31, 2023, our deposits and customer repos that are neither collateralized nor insured were $7.1 billion.</w:t>
      </w:r>
    </w:p>
    <w:p>
      <w:pPr>
        <w:spacing w:after="0" w:line="163" w:lineRule="exact"/>
        <w:rPr>
          <w:sz w:val="20"/>
          <w:szCs w:val="20"/>
          <w:color w:val="auto"/>
        </w:rPr>
      </w:pPr>
    </w:p>
    <w:p>
      <w:pPr>
        <w:ind w:right="20" w:firstLine="432"/>
        <w:spacing w:after="0" w:line="239" w:lineRule="auto"/>
        <w:rPr>
          <w:sz w:val="20"/>
          <w:szCs w:val="20"/>
          <w:color w:val="auto"/>
        </w:rPr>
      </w:pPr>
      <w:r>
        <w:rPr>
          <w:rFonts w:ascii="Arial" w:cs="Arial" w:eastAsia="Arial" w:hAnsi="Arial"/>
          <w:sz w:val="16"/>
          <w:szCs w:val="16"/>
          <w:color w:val="auto"/>
        </w:rPr>
        <w:t>In addition to the increase in short-term borrowing during the first quarter, we shrank our investment portfolio by not reinvesting the cashflows generated by our investments. Our investment portfolio declined by $69 million from the end of the fourth quarter to $5.74 billion dollars, primarily due to a decline in our AFS investment securities. AFS securities totaled $3.20 billion at March 31, 2023, inclusive of a pre-tax net unrealized loss of $459.7 million. The $50.7 million decline in AFS securities reflects principal cash flows, which offset a $40.4 million increase in market interest rates that resulted from a decline in interest rates.</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82" w:right="640" w:bottom="1440" w:gutter="0" w:footer="0" w:header="0"/>
        </w:sectPr>
      </w:pPr>
    </w:p>
    <w:bookmarkStart w:id="61" w:name="page62"/>
    <w:bookmarkEnd w:id="61"/>
    <w:p>
      <w:pPr>
        <w:ind w:right="260" w:firstLine="432"/>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Below is a summary of our average cash position and statement of cash flows for the three months ended March 31, 2023 and 2022. For further details see our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(Unaudited)” under Part I, Item 1 of this report.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ind w:left="620"/>
              <w:spacing w:after="0"/>
              <w:rPr>
                <w:sz w:val="20"/>
                <w:szCs w:val="20"/>
                <w:color w:val="auto"/>
              </w:rPr>
            </w:pPr>
            <w:r>
              <w:rPr>
                <w:rFonts w:ascii="Arial" w:cs="Arial" w:eastAsia="Arial" w:hAnsi="Arial"/>
                <w:sz w:val="16"/>
                <w:szCs w:val="16"/>
                <w:i w:val="1"/>
                <w:iCs w:val="1"/>
                <w:color w:val="auto"/>
              </w:rPr>
              <w:t>Consolidated Summary of Cash Flows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1"/>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7"/>
          </w:tcPr>
          <w:p>
            <w:pPr>
              <w:jc w:val="center"/>
              <w:ind w:right="400"/>
              <w:spacing w:after="0"/>
              <w:rPr>
                <w:sz w:val="20"/>
                <w:szCs w:val="20"/>
                <w:color w:val="auto"/>
              </w:rPr>
            </w:pPr>
            <w:r>
              <w:rPr>
                <w:rFonts w:ascii="Arial" w:cs="Arial" w:eastAsia="Arial" w:hAnsi="Arial"/>
                <w:sz w:val="16"/>
                <w:szCs w:val="16"/>
                <w:b w:val="1"/>
                <w:bCs w:val="1"/>
                <w:color w:val="auto"/>
                <w:w w:val="97"/>
              </w:rPr>
              <w:t>Three Months Ended</w:t>
            </w:r>
          </w:p>
        </w:tc>
      </w:tr>
      <w:tr>
        <w:trPr>
          <w:trHeight w:val="204"/>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4"/>
          </w:tcPr>
          <w:p>
            <w:pPr>
              <w:jc w:val="center"/>
              <w:ind w:left="563"/>
              <w:spacing w:after="0"/>
              <w:rPr>
                <w:sz w:val="20"/>
                <w:szCs w:val="20"/>
                <w:color w:val="auto"/>
              </w:rPr>
            </w:pPr>
            <w:r>
              <w:rPr>
                <w:rFonts w:ascii="Arial" w:cs="Arial" w:eastAsia="Arial" w:hAnsi="Arial"/>
                <w:sz w:val="16"/>
                <w:szCs w:val="16"/>
                <w:b w:val="1"/>
                <w:bCs w:val="1"/>
                <w:color w:val="auto"/>
                <w:w w:val="97"/>
              </w:rPr>
              <w:t>March 31,</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6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40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8"/>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7"/>
          </w:tcPr>
          <w:p>
            <w:pPr>
              <w:jc w:val="center"/>
              <w:ind w:right="380"/>
              <w:spacing w:after="0"/>
              <w:rPr>
                <w:sz w:val="20"/>
                <w:szCs w:val="20"/>
                <w:color w:val="auto"/>
              </w:rPr>
            </w:pPr>
            <w:r>
              <w:rPr>
                <w:rFonts w:ascii="Arial" w:cs="Arial" w:eastAsia="Arial" w:hAnsi="Arial"/>
                <w:sz w:val="14"/>
                <w:szCs w:val="14"/>
                <w:i w:val="1"/>
                <w:iCs w:val="1"/>
                <w:color w:val="auto"/>
              </w:rPr>
              <w:t>(Dollars in thousands)</w:t>
            </w:r>
          </w:p>
        </w:tc>
      </w:tr>
      <w:tr>
        <w:trPr>
          <w:trHeight w:val="210"/>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4"/>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Average cash and cash equivalents</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212,079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1,840,410</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6"/>
                <w:szCs w:val="16"/>
                <w:color w:val="auto"/>
              </w:rPr>
              <w:t>Percentage of total average assets</w:t>
            </w:r>
          </w:p>
        </w:tc>
        <w:tc>
          <w:tcPr>
            <w:tcW w:w="22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6"/>
                <w:szCs w:val="16"/>
                <w:color w:val="auto"/>
              </w:rPr>
              <w:t>1.30 %</w:t>
            </w:r>
          </w:p>
        </w:tc>
        <w:tc>
          <w:tcPr>
            <w:tcW w:w="40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10.59%</w:t>
            </w:r>
          </w:p>
        </w:tc>
      </w:tr>
      <w:tr>
        <w:trPr>
          <w:trHeight w:val="206"/>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70,120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75,112</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8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232,579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(330,307 )</w:t>
            </w:r>
          </w:p>
        </w:tc>
        <w:tc>
          <w:tcPr>
            <w:tcW w:w="60" w:type="dxa"/>
            <w:vAlign w:val="bottom"/>
          </w:tcPr>
          <w:p>
            <w:pPr>
              <w:spacing w:after="0"/>
              <w:rPr>
                <w:sz w:val="17"/>
                <w:szCs w:val="17"/>
                <w:color w:val="auto"/>
              </w:rPr>
            </w:pPr>
          </w:p>
        </w:tc>
      </w:tr>
      <w:tr>
        <w:trPr>
          <w:trHeight w:val="205"/>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(278,626 )</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175,686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78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24,073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(79,509 )</w:t>
            </w:r>
          </w:p>
        </w:tc>
        <w:tc>
          <w:tcPr>
            <w:tcW w:w="6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Average cash and cash equivalents decreased by $1.63 billion, or 88.48%, to $212.1 million for the three months ended March 31, 2023, compared to $1.84 billion for the same period of 2022.</w:t>
      </w:r>
    </w:p>
    <w:p>
      <w:pPr>
        <w:spacing w:after="0" w:line="154" w:lineRule="exact"/>
        <w:rPr>
          <w:sz w:val="20"/>
          <w:szCs w:val="20"/>
          <w:color w:val="auto"/>
        </w:rPr>
      </w:pPr>
    </w:p>
    <w:p>
      <w:pPr>
        <w:ind w:right="100" w:firstLine="432"/>
        <w:spacing w:after="0" w:line="252" w:lineRule="auto"/>
        <w:rPr>
          <w:sz w:val="20"/>
          <w:szCs w:val="20"/>
          <w:color w:val="auto"/>
        </w:rPr>
      </w:pPr>
      <w:r>
        <w:rPr>
          <w:rFonts w:ascii="Arial" w:cs="Arial" w:eastAsia="Arial" w:hAnsi="Arial"/>
          <w:sz w:val="16"/>
          <w:szCs w:val="16"/>
          <w:color w:val="auto"/>
        </w:rPr>
        <w:t>At March 31, 2023, cash and cash equivalents totaled $227.5 million. This represented a decrease of $1.43 billion, or 86.24%, from $1.65 billion at March 31,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Sensitivity Management</w:t>
      </w:r>
    </w:p>
    <w:p>
      <w:pPr>
        <w:spacing w:after="0" w:line="184" w:lineRule="exact"/>
        <w:rPr>
          <w:sz w:val="20"/>
          <w:szCs w:val="20"/>
          <w:color w:val="auto"/>
        </w:rPr>
      </w:pPr>
    </w:p>
    <w:p>
      <w:pPr>
        <w:ind w:right="80" w:firstLine="432"/>
        <w:spacing w:after="0" w:line="275" w:lineRule="auto"/>
        <w:rPr>
          <w:sz w:val="20"/>
          <w:szCs w:val="20"/>
          <w:color w:val="auto"/>
        </w:rPr>
      </w:pPr>
      <w:r>
        <w:rPr>
          <w:rFonts w:ascii="Arial" w:cs="Arial" w:eastAsia="Arial" w:hAnsi="Arial"/>
          <w:sz w:val="14"/>
          <w:szCs w:val="14"/>
          <w:color w:val="auto"/>
        </w:rPr>
        <w:t>During periods of changing interest rates, the ability to re-price interest- 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40" w:lineRule="exact"/>
        <w:rPr>
          <w:sz w:val="20"/>
          <w:szCs w:val="20"/>
          <w:color w:val="auto"/>
        </w:rPr>
      </w:pPr>
    </w:p>
    <w:p>
      <w:pPr>
        <w:ind w:right="120" w:firstLine="432"/>
        <w:spacing w:after="0" w:line="238" w:lineRule="auto"/>
        <w:rPr>
          <w:sz w:val="20"/>
          <w:szCs w:val="20"/>
          <w:color w:val="auto"/>
        </w:rPr>
      </w:pPr>
      <w:r>
        <w:rPr>
          <w:rFonts w:ascii="Arial" w:cs="Arial" w:eastAsia="Arial" w:hAnsi="Arial"/>
          <w:sz w:val="16"/>
          <w:szCs w:val="16"/>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interest rate risk policy measures the sensitivity of our net interest income over both a one-year and two-year cumulative time horizon.</w:t>
      </w:r>
    </w:p>
    <w:p>
      <w:pPr>
        <w:spacing w:after="0" w:line="176" w:lineRule="exact"/>
        <w:rPr>
          <w:sz w:val="20"/>
          <w:szCs w:val="20"/>
          <w:color w:val="auto"/>
        </w:rPr>
      </w:pPr>
    </w:p>
    <w:p>
      <w:pPr>
        <w:ind w:right="100" w:firstLine="432"/>
        <w:spacing w:after="0" w:line="238" w:lineRule="auto"/>
        <w:rPr>
          <w:sz w:val="20"/>
          <w:szCs w:val="20"/>
          <w:color w:val="auto"/>
        </w:rPr>
      </w:pPr>
      <w:r>
        <w:rPr>
          <w:rFonts w:ascii="Arial" w:cs="Arial" w:eastAsia="Arial" w:hAnsi="Arial"/>
          <w:sz w:val="16"/>
          <w:szCs w:val="16"/>
          <w:color w:val="auto"/>
        </w:rPr>
        <w:t>The simulation model estimates the impact of changing interest rates on interest income from all interest- earning assets and interest expense paid on all interest-bearing liabilities reflected on our period end balance sheet. This sensitivity analysis is compared to policy limits, which specify a maximum tolerance level for net interest income exposure over a one-year horizon assuming no balance sheet growth, given a 200 basis point upward and a 200 basis point downward shift in interest</w:t>
      </w:r>
    </w:p>
    <w:p>
      <w:pPr>
        <w:jc w:val="center"/>
        <w:ind w:right="40"/>
        <w:spacing w:after="0"/>
        <w:rPr>
          <w:sz w:val="20"/>
          <w:szCs w:val="20"/>
          <w:color w:val="auto"/>
        </w:rPr>
      </w:pPr>
      <w:r>
        <w:rPr>
          <w:rFonts w:ascii="Arial" w:cs="Arial" w:eastAsia="Arial" w:hAnsi="Arial"/>
          <w:sz w:val="16"/>
          <w:szCs w:val="16"/>
          <w:color w:val="auto"/>
        </w:rPr>
        <w:t>63</w:t>
      </w:r>
    </w:p>
    <w:p>
      <w:pPr>
        <w:sectPr>
          <w:pgSz w:w="11900" w:h="16840" w:orient="portrait"/>
          <w:cols w:equalWidth="0" w:num="1">
            <w:col w:w="10620"/>
          </w:cols>
          <w:pgMar w:left="660" w:top="790" w:right="620" w:bottom="1440" w:gutter="0" w:footer="0" w:header="0"/>
        </w:sectPr>
      </w:pPr>
    </w:p>
    <w:bookmarkStart w:id="62" w:name="page63"/>
    <w:bookmarkEnd w:id="62"/>
    <w:p>
      <w:pPr>
        <w:ind w:right="300"/>
        <w:spacing w:after="0" w:line="252" w:lineRule="auto"/>
        <w:rPr>
          <w:sz w:val="20"/>
          <w:szCs w:val="20"/>
          <w:color w:val="auto"/>
        </w:rPr>
      </w:pPr>
      <w:r>
        <w:rPr>
          <w:rFonts w:ascii="Arial" w:cs="Arial" w:eastAsia="Arial" w:hAnsi="Arial"/>
          <w:sz w:val="16"/>
          <w:szCs w:val="16"/>
          <w:color w:val="auto"/>
        </w:rPr>
        <w:t>rates, depending on the level of current market rates. The simulation model uses a parallel yield curve shift that ramps rates up or down on a pro rata basis over the 12-month and 24-month time horizon.</w:t>
      </w:r>
    </w:p>
    <w:p>
      <w:pPr>
        <w:spacing w:after="0" w:line="154"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The following depicts the Company’s net interest income sensitivity analysis for the periods presented below, when rates are ramped up 200bps or ramped down 200bps over a 12-month time horizon.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380" w:type="dxa"/>
            <w:vAlign w:val="bottom"/>
            <w:gridSpan w:val="3"/>
          </w:tcPr>
          <w:p>
            <w:pPr>
              <w:ind w:left="1200"/>
              <w:spacing w:after="0"/>
              <w:rPr>
                <w:sz w:val="20"/>
                <w:szCs w:val="20"/>
                <w:color w:val="auto"/>
              </w:rPr>
            </w:pPr>
            <w:r>
              <w:rPr>
                <w:rFonts w:ascii="Arial" w:cs="Arial" w:eastAsia="Arial" w:hAnsi="Arial"/>
                <w:sz w:val="16"/>
                <w:szCs w:val="16"/>
                <w:b w:val="1"/>
                <w:bCs w:val="1"/>
                <w:color w:val="auto"/>
              </w:rPr>
              <w:t>Estimated Net Interest Income Sensitivity</w:t>
            </w:r>
          </w:p>
        </w:tc>
        <w:tc>
          <w:tcPr>
            <w:tcW w:w="1600" w:type="dxa"/>
            <w:vAlign w:val="bottom"/>
          </w:tcPr>
          <w:p>
            <w:pPr>
              <w:spacing w:after="0"/>
              <w:rPr>
                <w:sz w:val="17"/>
                <w:szCs w:val="17"/>
                <w:color w:val="auto"/>
              </w:rPr>
            </w:pPr>
          </w:p>
        </w:tc>
      </w:tr>
      <w:tr>
        <w:trPr>
          <w:trHeight w:val="204"/>
        </w:trPr>
        <w:tc>
          <w:tcPr>
            <w:tcW w:w="1940" w:type="dxa"/>
            <w:vAlign w:val="bottom"/>
          </w:tcPr>
          <w:p>
            <w:pPr>
              <w:spacing w:after="0"/>
              <w:rPr>
                <w:sz w:val="17"/>
                <w:szCs w:val="17"/>
                <w:color w:val="auto"/>
              </w:rPr>
            </w:pPr>
          </w:p>
        </w:tc>
        <w:tc>
          <w:tcPr>
            <w:tcW w:w="3340" w:type="dxa"/>
            <w:vAlign w:val="bottom"/>
            <w:gridSpan w:val="2"/>
          </w:tcPr>
          <w:p>
            <w:pPr>
              <w:ind w:left="1140"/>
              <w:spacing w:after="0"/>
              <w:rPr>
                <w:sz w:val="20"/>
                <w:szCs w:val="20"/>
                <w:color w:val="auto"/>
              </w:rPr>
            </w:pPr>
            <w:r>
              <w:rPr>
                <w:rFonts w:ascii="Arial" w:cs="Arial" w:eastAsia="Arial" w:hAnsi="Arial"/>
                <w:sz w:val="16"/>
                <w:szCs w:val="16"/>
                <w:b w:val="1"/>
                <w:bCs w:val="1"/>
                <w:color w:val="auto"/>
              </w:rPr>
              <w:t>March 31, 2023</w:t>
            </w:r>
          </w:p>
        </w:tc>
        <w:tc>
          <w:tcPr>
            <w:tcW w:w="2060" w:type="dxa"/>
            <w:vAlign w:val="bottom"/>
          </w:tcPr>
          <w:p>
            <w:pPr>
              <w:spacing w:after="0"/>
              <w:rPr>
                <w:sz w:val="17"/>
                <w:szCs w:val="17"/>
                <w:color w:val="auto"/>
              </w:rPr>
            </w:pPr>
          </w:p>
        </w:tc>
        <w:tc>
          <w:tcPr>
            <w:tcW w:w="3220" w:type="dxa"/>
            <w:vAlign w:val="bottom"/>
            <w:gridSpan w:val="2"/>
          </w:tcPr>
          <w:p>
            <w:pPr>
              <w:ind w:left="980"/>
              <w:spacing w:after="0"/>
              <w:rPr>
                <w:sz w:val="20"/>
                <w:szCs w:val="20"/>
                <w:color w:val="auto"/>
              </w:rPr>
            </w:pPr>
            <w:r>
              <w:rPr>
                <w:rFonts w:ascii="Arial" w:cs="Arial" w:eastAsia="Arial" w:hAnsi="Arial"/>
                <w:sz w:val="16"/>
                <w:szCs w:val="16"/>
                <w:b w:val="1"/>
                <w:bCs w:val="1"/>
                <w:color w:val="auto"/>
              </w:rPr>
              <w:t>December 31, 2022</w:t>
            </w:r>
          </w:p>
        </w:tc>
      </w:tr>
      <w:tr>
        <w:trPr>
          <w:trHeight w:val="180"/>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24-month Period</w:t>
            </w:r>
          </w:p>
        </w:tc>
        <w:tc>
          <w:tcPr>
            <w:tcW w:w="2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24-month Period</w:t>
            </w:r>
          </w:p>
        </w:tc>
      </w:tr>
      <w:tr>
        <w:trPr>
          <w:trHeight w:val="217"/>
        </w:trPr>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7"/>
              </w:rPr>
              <w:t>Interest Rate Scenario</w:t>
            </w:r>
          </w:p>
        </w:tc>
        <w:tc>
          <w:tcPr>
            <w:tcW w:w="1640" w:type="dxa"/>
            <w:vAlign w:val="bottom"/>
          </w:tcPr>
          <w:p>
            <w:pPr>
              <w:ind w:left="200"/>
              <w:spacing w:after="0"/>
              <w:rPr>
                <w:sz w:val="20"/>
                <w:szCs w:val="20"/>
                <w:color w:val="auto"/>
              </w:rPr>
            </w:pPr>
            <w:r>
              <w:rPr>
                <w:rFonts w:ascii="Arial" w:cs="Arial" w:eastAsia="Arial" w:hAnsi="Arial"/>
                <w:sz w:val="16"/>
                <w:szCs w:val="16"/>
                <w:b w:val="1"/>
                <w:bCs w:val="1"/>
                <w:color w:val="auto"/>
              </w:rPr>
              <w:t>12-month Period</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9"/>
              </w:rPr>
              <w:t>(Cumulative)</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7"/>
              </w:rPr>
              <w:t>Interest Rate Scenario</w:t>
            </w:r>
          </w:p>
        </w:tc>
        <w:tc>
          <w:tcPr>
            <w:tcW w:w="1620" w:type="dxa"/>
            <w:vAlign w:val="bottom"/>
          </w:tcPr>
          <w:p>
            <w:pPr>
              <w:ind w:left="200"/>
              <w:spacing w:after="0"/>
              <w:rPr>
                <w:sz w:val="20"/>
                <w:szCs w:val="20"/>
                <w:color w:val="auto"/>
              </w:rPr>
            </w:pPr>
            <w:r>
              <w:rPr>
                <w:rFonts w:ascii="Arial" w:cs="Arial" w:eastAsia="Arial" w:hAnsi="Arial"/>
                <w:sz w:val="16"/>
                <w:szCs w:val="16"/>
                <w:b w:val="1"/>
                <w:bCs w:val="1"/>
                <w:color w:val="auto"/>
              </w:rPr>
              <w:t>12-month Period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(Cumulative)</w:t>
            </w:r>
          </w:p>
        </w:tc>
      </w:tr>
      <w:tr>
        <w:trPr>
          <w:trHeight w:val="194"/>
        </w:trPr>
        <w:tc>
          <w:tcPr>
            <w:tcW w:w="1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40"/>
        </w:trPr>
        <w:tc>
          <w:tcPr>
            <w:tcW w:w="1940" w:type="dxa"/>
            <w:vAlign w:val="bottom"/>
            <w:shd w:val="clear" w:color="auto" w:fill="CFF0FC"/>
          </w:tcPr>
          <w:p>
            <w:pPr>
              <w:jc w:val="center"/>
              <w:ind w:right="2"/>
              <w:spacing w:after="0"/>
              <w:rPr>
                <w:sz w:val="20"/>
                <w:szCs w:val="20"/>
                <w:color w:val="auto"/>
              </w:rPr>
            </w:pPr>
            <w:r>
              <w:rPr>
                <w:rFonts w:ascii="Arial" w:cs="Arial" w:eastAsia="Arial" w:hAnsi="Arial"/>
                <w:sz w:val="16"/>
                <w:szCs w:val="16"/>
                <w:color w:val="auto"/>
                <w:w w:val="97"/>
              </w:rPr>
              <w:t>+ 200 basis points</w:t>
            </w:r>
          </w:p>
        </w:tc>
        <w:tc>
          <w:tcPr>
            <w:tcW w:w="164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rPr>
              <w:t>0.55%</w:t>
            </w:r>
          </w:p>
        </w:tc>
        <w:tc>
          <w:tcPr>
            <w:tcW w:w="1700" w:type="dxa"/>
            <w:vAlign w:val="bottom"/>
            <w:shd w:val="clear" w:color="auto" w:fill="CFF0FC"/>
          </w:tcPr>
          <w:p>
            <w:pPr>
              <w:jc w:val="right"/>
              <w:ind w:right="562"/>
              <w:spacing w:after="0"/>
              <w:rPr>
                <w:sz w:val="20"/>
                <w:szCs w:val="20"/>
                <w:color w:val="auto"/>
              </w:rPr>
            </w:pPr>
            <w:r>
              <w:rPr>
                <w:rFonts w:ascii="Arial" w:cs="Arial" w:eastAsia="Arial" w:hAnsi="Arial"/>
                <w:sz w:val="16"/>
                <w:szCs w:val="16"/>
                <w:color w:val="auto"/>
              </w:rPr>
              <w:t>2.01%</w:t>
            </w:r>
          </w:p>
        </w:tc>
        <w:tc>
          <w:tcPr>
            <w:tcW w:w="2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+ 200 basis points</w:t>
            </w:r>
          </w:p>
        </w:tc>
        <w:tc>
          <w:tcPr>
            <w:tcW w:w="1620" w:type="dxa"/>
            <w:vAlign w:val="bottom"/>
            <w:shd w:val="clear" w:color="auto" w:fill="CFF0FC"/>
          </w:tcPr>
          <w:p>
            <w:pPr>
              <w:jc w:val="right"/>
              <w:ind w:right="522"/>
              <w:spacing w:after="0"/>
              <w:rPr>
                <w:sz w:val="20"/>
                <w:szCs w:val="20"/>
                <w:color w:val="auto"/>
              </w:rPr>
            </w:pPr>
            <w:r>
              <w:rPr>
                <w:rFonts w:ascii="Arial" w:cs="Arial" w:eastAsia="Arial" w:hAnsi="Arial"/>
                <w:sz w:val="16"/>
                <w:szCs w:val="16"/>
                <w:color w:val="auto"/>
              </w:rPr>
              <w:t>2.32%</w:t>
            </w:r>
          </w:p>
        </w:tc>
        <w:tc>
          <w:tcPr>
            <w:tcW w:w="1600" w:type="dxa"/>
            <w:vAlign w:val="bottom"/>
            <w:shd w:val="clear" w:color="auto" w:fill="CFF0FC"/>
          </w:tcPr>
          <w:p>
            <w:pPr>
              <w:jc w:val="right"/>
              <w:ind w:right="482"/>
              <w:spacing w:after="0"/>
              <w:rPr>
                <w:sz w:val="20"/>
                <w:szCs w:val="20"/>
                <w:color w:val="auto"/>
              </w:rPr>
            </w:pPr>
            <w:r>
              <w:rPr>
                <w:rFonts w:ascii="Arial" w:cs="Arial" w:eastAsia="Arial" w:hAnsi="Arial"/>
                <w:sz w:val="16"/>
                <w:szCs w:val="16"/>
                <w:color w:val="auto"/>
              </w:rPr>
              <w:t>4.96%</w:t>
            </w:r>
          </w:p>
        </w:tc>
      </w:tr>
      <w:tr>
        <w:trPr>
          <w:trHeight w:val="202"/>
        </w:trPr>
        <w:tc>
          <w:tcPr>
            <w:tcW w:w="1940" w:type="dxa"/>
            <w:vAlign w:val="bottom"/>
          </w:tcPr>
          <w:p>
            <w:pPr>
              <w:jc w:val="center"/>
              <w:ind w:right="2"/>
              <w:spacing w:after="0"/>
              <w:rPr>
                <w:sz w:val="20"/>
                <w:szCs w:val="20"/>
                <w:color w:val="auto"/>
              </w:rPr>
            </w:pPr>
            <w:r>
              <w:rPr>
                <w:rFonts w:ascii="Arial" w:cs="Arial" w:eastAsia="Arial" w:hAnsi="Arial"/>
                <w:sz w:val="16"/>
                <w:szCs w:val="16"/>
                <w:color w:val="auto"/>
                <w:w w:val="97"/>
              </w:rPr>
              <w:t>- 200 basis points</w:t>
            </w:r>
          </w:p>
        </w:tc>
        <w:tc>
          <w:tcPr>
            <w:tcW w:w="1640" w:type="dxa"/>
            <w:vAlign w:val="bottom"/>
          </w:tcPr>
          <w:p>
            <w:pPr>
              <w:jc w:val="right"/>
              <w:ind w:right="502"/>
              <w:spacing w:after="0"/>
              <w:rPr>
                <w:sz w:val="20"/>
                <w:szCs w:val="20"/>
                <w:color w:val="auto"/>
              </w:rPr>
            </w:pPr>
            <w:r>
              <w:rPr>
                <w:rFonts w:ascii="Arial" w:cs="Arial" w:eastAsia="Arial" w:hAnsi="Arial"/>
                <w:sz w:val="16"/>
                <w:szCs w:val="16"/>
                <w:color w:val="auto"/>
              </w:rPr>
              <w:t>-0.32%</w:t>
            </w:r>
          </w:p>
        </w:tc>
        <w:tc>
          <w:tcPr>
            <w:tcW w:w="1700" w:type="dxa"/>
            <w:vAlign w:val="bottom"/>
          </w:tcPr>
          <w:p>
            <w:pPr>
              <w:jc w:val="right"/>
              <w:ind w:right="522"/>
              <w:spacing w:after="0"/>
              <w:rPr>
                <w:sz w:val="20"/>
                <w:szCs w:val="20"/>
                <w:color w:val="auto"/>
              </w:rPr>
            </w:pPr>
            <w:r>
              <w:rPr>
                <w:rFonts w:ascii="Arial" w:cs="Arial" w:eastAsia="Arial" w:hAnsi="Arial"/>
                <w:sz w:val="16"/>
                <w:szCs w:val="16"/>
                <w:color w:val="auto"/>
              </w:rPr>
              <w:t>-2.99%</w:t>
            </w:r>
          </w:p>
        </w:tc>
        <w:tc>
          <w:tcPr>
            <w:tcW w:w="2060" w:type="dxa"/>
            <w:vAlign w:val="bottom"/>
          </w:tcPr>
          <w:p>
            <w:pPr>
              <w:jc w:val="center"/>
              <w:spacing w:after="0"/>
              <w:rPr>
                <w:sz w:val="20"/>
                <w:szCs w:val="20"/>
                <w:color w:val="auto"/>
              </w:rPr>
            </w:pPr>
            <w:r>
              <w:rPr>
                <w:rFonts w:ascii="Arial" w:cs="Arial" w:eastAsia="Arial" w:hAnsi="Arial"/>
                <w:sz w:val="16"/>
                <w:szCs w:val="16"/>
                <w:color w:val="auto"/>
                <w:w w:val="97"/>
              </w:rPr>
              <w:t>- 200 basis points</w:t>
            </w:r>
          </w:p>
        </w:tc>
        <w:tc>
          <w:tcPr>
            <w:tcW w:w="1620" w:type="dxa"/>
            <w:vAlign w:val="bottom"/>
          </w:tcPr>
          <w:p>
            <w:pPr>
              <w:jc w:val="right"/>
              <w:ind w:right="482"/>
              <w:spacing w:after="0"/>
              <w:rPr>
                <w:sz w:val="20"/>
                <w:szCs w:val="20"/>
                <w:color w:val="auto"/>
              </w:rPr>
            </w:pPr>
            <w:r>
              <w:rPr>
                <w:rFonts w:ascii="Arial" w:cs="Arial" w:eastAsia="Arial" w:hAnsi="Arial"/>
                <w:sz w:val="16"/>
                <w:szCs w:val="16"/>
                <w:color w:val="auto"/>
              </w:rPr>
              <w:t>-2.28%</w:t>
            </w:r>
          </w:p>
        </w:tc>
        <w:tc>
          <w:tcPr>
            <w:tcW w:w="1600" w:type="dxa"/>
            <w:vAlign w:val="bottom"/>
          </w:tcPr>
          <w:p>
            <w:pPr>
              <w:jc w:val="right"/>
              <w:ind w:right="462"/>
              <w:spacing w:after="0"/>
              <w:rPr>
                <w:sz w:val="20"/>
                <w:szCs w:val="20"/>
                <w:color w:val="auto"/>
              </w:rPr>
            </w:pPr>
            <w:r>
              <w:rPr>
                <w:rFonts w:ascii="Arial" w:cs="Arial" w:eastAsia="Arial" w:hAnsi="Arial"/>
                <w:sz w:val="16"/>
                <w:szCs w:val="16"/>
                <w:color w:val="auto"/>
              </w:rPr>
              <w:t>-6.83%</w:t>
            </w:r>
          </w:p>
        </w:tc>
      </w:tr>
    </w:tbl>
    <w:p>
      <w:pPr>
        <w:spacing w:after="0" w:line="343" w:lineRule="exact"/>
        <w:rPr>
          <w:sz w:val="20"/>
          <w:szCs w:val="20"/>
          <w:color w:val="auto"/>
        </w:rPr>
      </w:pPr>
    </w:p>
    <w:p>
      <w:pPr>
        <w:ind w:right="60" w:firstLine="432"/>
        <w:spacing w:after="0" w:line="237" w:lineRule="auto"/>
        <w:rPr>
          <w:sz w:val="20"/>
          <w:szCs w:val="20"/>
          <w:color w:val="auto"/>
        </w:rPr>
      </w:pPr>
      <w:r>
        <w:rPr>
          <w:rFonts w:ascii="Arial" w:cs="Arial" w:eastAsia="Arial" w:hAnsi="Arial"/>
          <w:sz w:val="16"/>
          <w:szCs w:val="16"/>
          <w:color w:val="auto"/>
        </w:rPr>
        <w:t>Based on our current simulation models, we believe that the interest rate risk profile of the March 31, 2023 balance sheet is slightly asset sensitive over both a one -year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 pricing characteristics and rate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Continued near term declines in deposits due to higher interest rates, that result in higher levels of borrowings, will increase the probability that net interest income decreases in future periods.</w:t>
      </w:r>
    </w:p>
    <w:p>
      <w:pPr>
        <w:spacing w:after="0" w:line="167" w:lineRule="exact"/>
        <w:rPr>
          <w:sz w:val="20"/>
          <w:szCs w:val="20"/>
          <w:color w:val="auto"/>
        </w:rPr>
      </w:pPr>
    </w:p>
    <w:p>
      <w:pPr>
        <w:ind w:right="20" w:firstLine="432"/>
        <w:spacing w:after="0" w:line="237" w:lineRule="auto"/>
        <w:rPr>
          <w:sz w:val="20"/>
          <w:szCs w:val="20"/>
          <w:color w:val="auto"/>
        </w:rPr>
      </w:pPr>
      <w:r>
        <w:rPr>
          <w:rFonts w:ascii="Arial" w:cs="Arial" w:eastAsia="Arial" w:hAnsi="Arial"/>
          <w:sz w:val="16"/>
          <w:szCs w:val="16"/>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 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March 31, 2023 and December 31, 2022, the EVE profile indicates a larger decline in net balance sheet value due to instantaneous downward changes in rates, compared to an increase in rates.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60" w:type="dxa"/>
            <w:vAlign w:val="bottom"/>
          </w:tcPr>
          <w:p>
            <w:pPr>
              <w:spacing w:after="0"/>
              <w:rPr>
                <w:sz w:val="20"/>
                <w:szCs w:val="20"/>
                <w:color w:val="auto"/>
              </w:rPr>
            </w:pPr>
            <w:r>
              <w:rPr>
                <w:rFonts w:ascii="Arial" w:cs="Arial" w:eastAsia="Arial" w:hAnsi="Arial"/>
                <w:sz w:val="16"/>
                <w:szCs w:val="16"/>
                <w:b w:val="1"/>
                <w:bCs w:val="1"/>
                <w:i w:val="1"/>
                <w:iCs w:val="1"/>
                <w:color w:val="auto"/>
              </w:rPr>
              <w:t>Economic Value of Equity Sensitivity</w:t>
            </w:r>
          </w:p>
        </w:tc>
        <w:tc>
          <w:tcPr>
            <w:tcW w:w="342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96"/>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Instantaneous Rate Change</w:t>
            </w:r>
          </w:p>
        </w:tc>
        <w:tc>
          <w:tcPr>
            <w:tcW w:w="3420" w:type="dxa"/>
            <w:vAlign w:val="bottom"/>
          </w:tcPr>
          <w:p>
            <w:pPr>
              <w:jc w:val="center"/>
              <w:ind w:left="422"/>
              <w:spacing w:after="0"/>
              <w:rPr>
                <w:sz w:val="20"/>
                <w:szCs w:val="20"/>
                <w:color w:val="auto"/>
              </w:rPr>
            </w:pPr>
            <w:r>
              <w:rPr>
                <w:rFonts w:ascii="Arial" w:cs="Arial" w:eastAsia="Arial" w:hAnsi="Arial"/>
                <w:sz w:val="16"/>
                <w:szCs w:val="16"/>
                <w:b w:val="1"/>
                <w:bCs w:val="1"/>
                <w:color w:val="auto"/>
                <w:w w:val="98"/>
              </w:rPr>
              <w:t>March 31, 2023</w:t>
            </w:r>
          </w:p>
        </w:tc>
        <w:tc>
          <w:tcPr>
            <w:tcW w:w="2980" w:type="dxa"/>
            <w:vAlign w:val="bottom"/>
          </w:tcPr>
          <w:p>
            <w:pPr>
              <w:ind w:left="880"/>
              <w:spacing w:after="0"/>
              <w:rPr>
                <w:sz w:val="20"/>
                <w:szCs w:val="20"/>
                <w:color w:val="auto"/>
              </w:rPr>
            </w:pPr>
            <w:r>
              <w:rPr>
                <w:rFonts w:ascii="Arial" w:cs="Arial" w:eastAsia="Arial" w:hAnsi="Arial"/>
                <w:sz w:val="16"/>
                <w:szCs w:val="16"/>
                <w:b w:val="1"/>
                <w:bCs w:val="1"/>
                <w:color w:val="auto"/>
              </w:rPr>
              <w:t>December 31, 2022</w:t>
            </w:r>
          </w:p>
        </w:tc>
      </w:tr>
      <w:tr>
        <w:trPr>
          <w:trHeight w:val="397"/>
        </w:trPr>
        <w:tc>
          <w:tcPr>
            <w:tcW w:w="4160" w:type="dxa"/>
            <w:vAlign w:val="bottom"/>
          </w:tcPr>
          <w:p>
            <w:pPr>
              <w:ind w:left="20"/>
              <w:spacing w:after="0"/>
              <w:rPr>
                <w:sz w:val="20"/>
                <w:szCs w:val="20"/>
                <w:color w:val="auto"/>
              </w:rPr>
            </w:pPr>
            <w:r>
              <w:rPr>
                <w:rFonts w:ascii="Arial" w:cs="Arial" w:eastAsia="Arial" w:hAnsi="Arial"/>
                <w:sz w:val="16"/>
                <w:szCs w:val="16"/>
                <w:color w:val="auto"/>
              </w:rPr>
              <w:t>200 bp decrease in interest rates</w:t>
            </w:r>
          </w:p>
        </w:tc>
        <w:tc>
          <w:tcPr>
            <w:tcW w:w="3420" w:type="dxa"/>
            <w:vAlign w:val="bottom"/>
          </w:tcPr>
          <w:p>
            <w:pPr>
              <w:jc w:val="center"/>
              <w:ind w:left="422"/>
              <w:spacing w:after="0"/>
              <w:rPr>
                <w:sz w:val="20"/>
                <w:szCs w:val="20"/>
                <w:color w:val="auto"/>
              </w:rPr>
            </w:pPr>
            <w:r>
              <w:rPr>
                <w:rFonts w:ascii="Arial" w:cs="Arial" w:eastAsia="Arial" w:hAnsi="Arial"/>
                <w:sz w:val="16"/>
                <w:szCs w:val="16"/>
                <w:color w:val="auto"/>
                <w:w w:val="95"/>
              </w:rPr>
              <w:t>-8.2%</w:t>
            </w:r>
          </w:p>
        </w:tc>
        <w:tc>
          <w:tcPr>
            <w:tcW w:w="2980" w:type="dxa"/>
            <w:vAlign w:val="bottom"/>
          </w:tcPr>
          <w:p>
            <w:pPr>
              <w:jc w:val="center"/>
              <w:ind w:left="122"/>
              <w:spacing w:after="0"/>
              <w:rPr>
                <w:sz w:val="20"/>
                <w:szCs w:val="20"/>
                <w:color w:val="auto"/>
              </w:rPr>
            </w:pPr>
            <w:r>
              <w:rPr>
                <w:rFonts w:ascii="Arial" w:cs="Arial" w:eastAsia="Arial" w:hAnsi="Arial"/>
                <w:sz w:val="16"/>
                <w:szCs w:val="16"/>
                <w:color w:val="auto"/>
                <w:w w:val="98"/>
              </w:rPr>
              <w:t>-12.8%</w:t>
            </w:r>
          </w:p>
        </w:tc>
      </w:tr>
      <w:tr>
        <w:trPr>
          <w:trHeight w:val="205"/>
        </w:trPr>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100 bp decrease in interest rates</w:t>
            </w:r>
          </w:p>
        </w:tc>
        <w:tc>
          <w:tcPr>
            <w:tcW w:w="3420" w:type="dxa"/>
            <w:vAlign w:val="bottom"/>
            <w:shd w:val="clear" w:color="auto" w:fill="CFF0FC"/>
          </w:tcPr>
          <w:p>
            <w:pPr>
              <w:jc w:val="center"/>
              <w:ind w:left="422"/>
              <w:spacing w:after="0"/>
              <w:rPr>
                <w:sz w:val="20"/>
                <w:szCs w:val="20"/>
                <w:color w:val="auto"/>
              </w:rPr>
            </w:pPr>
            <w:r>
              <w:rPr>
                <w:rFonts w:ascii="Arial" w:cs="Arial" w:eastAsia="Arial" w:hAnsi="Arial"/>
                <w:sz w:val="16"/>
                <w:szCs w:val="16"/>
                <w:color w:val="auto"/>
                <w:w w:val="95"/>
              </w:rPr>
              <w:t>-1.1%</w:t>
            </w:r>
          </w:p>
        </w:tc>
        <w:tc>
          <w:tcPr>
            <w:tcW w:w="2980" w:type="dxa"/>
            <w:vAlign w:val="bottom"/>
            <w:shd w:val="clear" w:color="auto" w:fill="CFF0FC"/>
          </w:tcPr>
          <w:p>
            <w:pPr>
              <w:jc w:val="center"/>
              <w:ind w:left="102"/>
              <w:spacing w:after="0"/>
              <w:rPr>
                <w:sz w:val="20"/>
                <w:szCs w:val="20"/>
                <w:color w:val="auto"/>
              </w:rPr>
            </w:pPr>
            <w:r>
              <w:rPr>
                <w:rFonts w:ascii="Arial" w:cs="Arial" w:eastAsia="Arial" w:hAnsi="Arial"/>
                <w:sz w:val="16"/>
                <w:szCs w:val="16"/>
                <w:color w:val="auto"/>
                <w:w w:val="95"/>
              </w:rPr>
              <w:t>-4.4%</w:t>
            </w:r>
          </w:p>
        </w:tc>
      </w:tr>
      <w:tr>
        <w:trPr>
          <w:trHeight w:val="203"/>
        </w:trPr>
        <w:tc>
          <w:tcPr>
            <w:tcW w:w="4160" w:type="dxa"/>
            <w:vAlign w:val="bottom"/>
          </w:tcPr>
          <w:p>
            <w:pPr>
              <w:ind w:left="20"/>
              <w:spacing w:after="0"/>
              <w:rPr>
                <w:sz w:val="20"/>
                <w:szCs w:val="20"/>
                <w:color w:val="auto"/>
              </w:rPr>
            </w:pPr>
            <w:r>
              <w:rPr>
                <w:rFonts w:ascii="Arial" w:cs="Arial" w:eastAsia="Arial" w:hAnsi="Arial"/>
                <w:sz w:val="16"/>
                <w:szCs w:val="16"/>
                <w:color w:val="auto"/>
              </w:rPr>
              <w:t>100 bp increase in interest rates</w:t>
            </w:r>
          </w:p>
        </w:tc>
        <w:tc>
          <w:tcPr>
            <w:tcW w:w="3420" w:type="dxa"/>
            <w:vAlign w:val="bottom"/>
          </w:tcPr>
          <w:p>
            <w:pPr>
              <w:jc w:val="center"/>
              <w:ind w:left="422"/>
              <w:spacing w:after="0"/>
              <w:rPr>
                <w:sz w:val="20"/>
                <w:szCs w:val="20"/>
                <w:color w:val="auto"/>
              </w:rPr>
            </w:pPr>
            <w:r>
              <w:rPr>
                <w:rFonts w:ascii="Arial" w:cs="Arial" w:eastAsia="Arial" w:hAnsi="Arial"/>
                <w:sz w:val="16"/>
                <w:szCs w:val="16"/>
                <w:color w:val="auto"/>
                <w:w w:val="95"/>
              </w:rPr>
              <w:t>-0.3%</w:t>
            </w:r>
          </w:p>
        </w:tc>
        <w:tc>
          <w:tcPr>
            <w:tcW w:w="2980" w:type="dxa"/>
            <w:vAlign w:val="bottom"/>
          </w:tcPr>
          <w:p>
            <w:pPr>
              <w:jc w:val="center"/>
              <w:ind w:left="102"/>
              <w:spacing w:after="0"/>
              <w:rPr>
                <w:sz w:val="20"/>
                <w:szCs w:val="20"/>
                <w:color w:val="auto"/>
              </w:rPr>
            </w:pPr>
            <w:r>
              <w:rPr>
                <w:rFonts w:ascii="Arial" w:cs="Arial" w:eastAsia="Arial" w:hAnsi="Arial"/>
                <w:sz w:val="16"/>
                <w:szCs w:val="16"/>
                <w:color w:val="auto"/>
                <w:w w:val="98"/>
              </w:rPr>
              <w:t>1.2%</w:t>
            </w:r>
          </w:p>
        </w:tc>
      </w:tr>
      <w:tr>
        <w:trPr>
          <w:trHeight w:val="205"/>
        </w:trPr>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200 bp increase in interest rates</w:t>
            </w:r>
          </w:p>
        </w:tc>
        <w:tc>
          <w:tcPr>
            <w:tcW w:w="3420" w:type="dxa"/>
            <w:vAlign w:val="bottom"/>
            <w:shd w:val="clear" w:color="auto" w:fill="CFF0FC"/>
          </w:tcPr>
          <w:p>
            <w:pPr>
              <w:jc w:val="center"/>
              <w:ind w:left="422"/>
              <w:spacing w:after="0"/>
              <w:rPr>
                <w:sz w:val="20"/>
                <w:szCs w:val="20"/>
                <w:color w:val="auto"/>
              </w:rPr>
            </w:pPr>
            <w:r>
              <w:rPr>
                <w:rFonts w:ascii="Arial" w:cs="Arial" w:eastAsia="Arial" w:hAnsi="Arial"/>
                <w:sz w:val="16"/>
                <w:szCs w:val="16"/>
                <w:color w:val="auto"/>
                <w:w w:val="95"/>
              </w:rPr>
              <w:t>-1.5%</w:t>
            </w:r>
          </w:p>
        </w:tc>
        <w:tc>
          <w:tcPr>
            <w:tcW w:w="2980" w:type="dxa"/>
            <w:vAlign w:val="bottom"/>
            <w:shd w:val="clear" w:color="auto" w:fill="CFF0FC"/>
          </w:tcPr>
          <w:p>
            <w:pPr>
              <w:jc w:val="center"/>
              <w:ind w:left="102"/>
              <w:spacing w:after="0"/>
              <w:rPr>
                <w:sz w:val="20"/>
                <w:szCs w:val="20"/>
                <w:color w:val="auto"/>
              </w:rPr>
            </w:pPr>
            <w:r>
              <w:rPr>
                <w:rFonts w:ascii="Arial" w:cs="Arial" w:eastAsia="Arial" w:hAnsi="Arial"/>
                <w:sz w:val="16"/>
                <w:szCs w:val="16"/>
                <w:color w:val="auto"/>
                <w:w w:val="98"/>
              </w:rPr>
              <w:t>2.2%</w:t>
            </w: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300 bp increase in interest rates</w:t>
            </w:r>
          </w:p>
        </w:tc>
        <w:tc>
          <w:tcPr>
            <w:tcW w:w="3420" w:type="dxa"/>
            <w:vAlign w:val="bottom"/>
          </w:tcPr>
          <w:p>
            <w:pPr>
              <w:jc w:val="center"/>
              <w:ind w:left="422"/>
              <w:spacing w:after="0"/>
              <w:rPr>
                <w:sz w:val="20"/>
                <w:szCs w:val="20"/>
                <w:color w:val="auto"/>
              </w:rPr>
            </w:pPr>
            <w:r>
              <w:rPr>
                <w:rFonts w:ascii="Arial" w:cs="Arial" w:eastAsia="Arial" w:hAnsi="Arial"/>
                <w:sz w:val="16"/>
                <w:szCs w:val="16"/>
                <w:color w:val="auto"/>
                <w:w w:val="95"/>
              </w:rPr>
              <w:t>-2.5%</w:t>
            </w:r>
          </w:p>
        </w:tc>
        <w:tc>
          <w:tcPr>
            <w:tcW w:w="2980" w:type="dxa"/>
            <w:vAlign w:val="bottom"/>
          </w:tcPr>
          <w:p>
            <w:pPr>
              <w:jc w:val="center"/>
              <w:ind w:left="102"/>
              <w:spacing w:after="0"/>
              <w:rPr>
                <w:sz w:val="20"/>
                <w:szCs w:val="20"/>
                <w:color w:val="auto"/>
              </w:rPr>
            </w:pPr>
            <w:r>
              <w:rPr>
                <w:rFonts w:ascii="Arial" w:cs="Arial" w:eastAsia="Arial" w:hAnsi="Arial"/>
                <w:sz w:val="16"/>
                <w:szCs w:val="16"/>
                <w:color w:val="auto"/>
                <w:w w:val="98"/>
              </w:rPr>
              <w:t>3.8%</w:t>
            </w:r>
          </w:p>
        </w:tc>
      </w:tr>
      <w:tr>
        <w:trPr>
          <w:trHeight w:val="205"/>
        </w:trPr>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400 bp increase in interest rates</w:t>
            </w:r>
          </w:p>
        </w:tc>
        <w:tc>
          <w:tcPr>
            <w:tcW w:w="3420" w:type="dxa"/>
            <w:vAlign w:val="bottom"/>
            <w:shd w:val="clear" w:color="auto" w:fill="CFF0FC"/>
          </w:tcPr>
          <w:p>
            <w:pPr>
              <w:jc w:val="center"/>
              <w:ind w:left="422"/>
              <w:spacing w:after="0"/>
              <w:rPr>
                <w:sz w:val="20"/>
                <w:szCs w:val="20"/>
                <w:color w:val="auto"/>
              </w:rPr>
            </w:pPr>
            <w:r>
              <w:rPr>
                <w:rFonts w:ascii="Arial" w:cs="Arial" w:eastAsia="Arial" w:hAnsi="Arial"/>
                <w:sz w:val="16"/>
                <w:szCs w:val="16"/>
                <w:color w:val="auto"/>
                <w:w w:val="95"/>
              </w:rPr>
              <w:t>-2.8%</w:t>
            </w:r>
          </w:p>
        </w:tc>
        <w:tc>
          <w:tcPr>
            <w:tcW w:w="2980" w:type="dxa"/>
            <w:vAlign w:val="bottom"/>
            <w:shd w:val="clear" w:color="auto" w:fill="CFF0FC"/>
          </w:tcPr>
          <w:p>
            <w:pPr>
              <w:jc w:val="center"/>
              <w:ind w:left="102"/>
              <w:spacing w:after="0"/>
              <w:rPr>
                <w:sz w:val="20"/>
                <w:szCs w:val="20"/>
                <w:color w:val="auto"/>
              </w:rPr>
            </w:pPr>
            <w:r>
              <w:rPr>
                <w:rFonts w:ascii="Arial" w:cs="Arial" w:eastAsia="Arial" w:hAnsi="Arial"/>
                <w:sz w:val="16"/>
                <w:szCs w:val="16"/>
                <w:color w:val="auto"/>
                <w:w w:val="98"/>
              </w:rPr>
              <w:t>5.3%</w:t>
            </w:r>
          </w:p>
        </w:tc>
      </w:tr>
    </w:tbl>
    <w:p>
      <w:pPr>
        <w:spacing w:after="0" w:line="173" w:lineRule="exact"/>
        <w:rPr>
          <w:sz w:val="20"/>
          <w:szCs w:val="20"/>
          <w:color w:val="auto"/>
        </w:rPr>
      </w:pPr>
    </w:p>
    <w:p>
      <w:pPr>
        <w:ind w:right="140" w:firstLine="432"/>
        <w:spacing w:after="0"/>
        <w:rPr>
          <w:sz w:val="20"/>
          <w:szCs w:val="20"/>
          <w:color w:val="auto"/>
        </w:rPr>
      </w:pPr>
      <w:r>
        <w:rPr>
          <w:rFonts w:ascii="Arial" w:cs="Arial" w:eastAsia="Arial" w:hAnsi="Arial"/>
          <w:sz w:val="16"/>
          <w:szCs w:val="16"/>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4" w:lineRule="exact"/>
        <w:rPr>
          <w:sz w:val="20"/>
          <w:szCs w:val="20"/>
          <w:color w:val="auto"/>
        </w:rPr>
      </w:pPr>
    </w:p>
    <w:p>
      <w:pPr>
        <w:ind w:left="80" w:firstLine="432"/>
        <w:spacing w:after="0" w:line="237" w:lineRule="auto"/>
        <w:rPr>
          <w:sz w:val="20"/>
          <w:szCs w:val="20"/>
          <w:color w:val="auto"/>
        </w:rPr>
      </w:pPr>
      <w:r>
        <w:rPr>
          <w:rFonts w:ascii="Arial" w:cs="Arial" w:eastAsia="Arial" w:hAnsi="Arial"/>
          <w:sz w:val="16"/>
          <w:szCs w:val="16"/>
          <w:color w:val="auto"/>
        </w:rPr>
        <w:t>We do not currently have futures, forwards, or option contracts. LIBOR is expected to be completely phased out by June of 2023, as such the Company continues to assess the impacts of this transition and exploring alternatives to use in place of LIBOR. Interest rate swap derivatives and the associated loans that were indexed to LIBOR, have been replaced with one month CME Term SOFR. The Bank will continue to use multiple alternative indices as replacements for LIBOR for newly originated instruments. All remaining financial instruments indexed to LIBOR will be transitioned to a replacement index, primarily CME Term SOFR, prior to June 2023. For further quantitative and qualitative disclosures about market risks in our portfolio, see “</w:t>
      </w:r>
      <w:r>
        <w:rPr>
          <w:rFonts w:ascii="Arial" w:cs="Arial" w:eastAsia="Arial" w:hAnsi="Arial"/>
          <w:sz w:val="16"/>
          <w:szCs w:val="16"/>
          <w:i w:val="1"/>
          <w:iCs w:val="1"/>
          <w:color w:val="auto"/>
        </w:rPr>
        <w:t>Asset/Liability Management and Interest Rate Sensitivity Management</w:t>
      </w:r>
      <w:r>
        <w:rPr>
          <w:rFonts w:ascii="Arial" w:cs="Arial" w:eastAsia="Arial" w:hAnsi="Arial"/>
          <w:sz w:val="16"/>
          <w:szCs w:val="16"/>
          <w:color w:val="auto"/>
        </w:rPr>
        <w:t>” included in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presented elsewhere in this report. This analysis should be read in conjunction with our Annual Report on Form 10-K for the year ended December 31, 2022. Our analysis of market risk and market-sensitive financial information contains forward-looking statements and is subject to the disclosure at the beginning of Part I regarding such forward-looking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4" w:lineRule="exact"/>
        <w:rPr>
          <w:sz w:val="20"/>
          <w:szCs w:val="20"/>
          <w:color w:val="auto"/>
        </w:rPr>
      </w:pPr>
    </w:p>
    <w:p>
      <w:pPr>
        <w:ind w:left="80" w:right="140" w:firstLine="432"/>
        <w:spacing w:after="0"/>
        <w:rPr>
          <w:sz w:val="20"/>
          <w:szCs w:val="20"/>
          <w:color w:val="auto"/>
        </w:rPr>
      </w:pPr>
      <w:r>
        <w:rPr>
          <w:rFonts w:ascii="Arial" w:cs="Arial" w:eastAsia="Arial" w:hAnsi="Arial"/>
          <w:sz w:val="16"/>
          <w:szCs w:val="16"/>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64" w:lineRule="exact"/>
        <w:rPr>
          <w:sz w:val="20"/>
          <w:szCs w:val="20"/>
          <w:color w:val="auto"/>
        </w:rPr>
      </w:pPr>
    </w:p>
    <w:p>
      <w:pPr>
        <w:ind w:left="80" w:firstLine="432"/>
        <w:spacing w:after="0" w:line="252" w:lineRule="auto"/>
        <w:rPr>
          <w:sz w:val="20"/>
          <w:szCs w:val="20"/>
          <w:color w:val="auto"/>
        </w:rPr>
      </w:pPr>
      <w:r>
        <w:rPr>
          <w:rFonts w:ascii="Arial" w:cs="Arial" w:eastAsia="Arial" w:hAnsi="Arial"/>
          <w:sz w:val="16"/>
          <w:szCs w:val="16"/>
          <w:color w:val="auto"/>
        </w:rPr>
        <w:t>During the quarter ended March 31, 2023, there have been no changes in our internal controls over financial reporting that have materially affected or are reasonably likely to materially affect our internal controls over financial reporting.</w:t>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164465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938" w:right="700" w:bottom="1440" w:gutter="0" w:footer="0" w:header="0"/>
        </w:sectPr>
      </w:pPr>
    </w:p>
    <w:bookmarkStart w:id="64" w:name="page65"/>
    <w:bookmarkEnd w:id="64"/>
    <w:p>
      <w:pPr>
        <w:jc w:val="center"/>
        <w:ind w:right="40"/>
        <w:spacing w:after="0"/>
        <w:rPr>
          <w:sz w:val="20"/>
          <w:szCs w:val="20"/>
          <w:color w:val="auto"/>
        </w:rPr>
      </w:pPr>
      <w:r>
        <w:rPr>
          <w:rFonts w:ascii="Arial" w:cs="Arial" w:eastAsia="Arial" w:hAnsi="Arial"/>
          <w:sz w:val="16"/>
          <w:szCs w:val="16"/>
          <w:b w:val="1"/>
          <w:bCs w:val="1"/>
          <w:color w:val="auto"/>
        </w:rPr>
        <w:t>PART II – OTHER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4" w:lineRule="exact"/>
        <w:rPr>
          <w:sz w:val="20"/>
          <w:szCs w:val="20"/>
          <w:color w:val="auto"/>
        </w:rPr>
      </w:pPr>
    </w:p>
    <w:p>
      <w:pPr>
        <w:ind w:left="80" w:right="200" w:firstLine="468"/>
        <w:spacing w:after="0" w:line="239" w:lineRule="auto"/>
        <w:rPr>
          <w:sz w:val="20"/>
          <w:szCs w:val="20"/>
          <w:color w:val="auto"/>
        </w:rPr>
      </w:pPr>
      <w:r>
        <w:rPr>
          <w:rFonts w:ascii="Arial" w:cs="Arial" w:eastAsia="Arial" w:hAnsi="Arial"/>
          <w:sz w:val="16"/>
          <w:szCs w:val="16"/>
          <w:color w:val="auto"/>
        </w:rPr>
        <w:t>The Company and its subsidiaries are parties to various lawsuits and threatened lawsuits in the ordinary and non -ordinary course of business. From time to time, such lawsuits and threatened lawsuits may include, but are not limited to, actions involving securities litigation, employment matters, wage-hour and labor law claims, consumer claims, regulatory compliance claims, data privacy claims, bankruptcy and lender liability claims, and negligence claims, some of which may be styled as “class action” or representative cases. Some of these lawsuits may be similar in nature to other lawsuits pending against the Company’s competitors.</w:t>
      </w:r>
    </w:p>
    <w:p>
      <w:pPr>
        <w:spacing w:after="0" w:line="140" w:lineRule="exact"/>
        <w:rPr>
          <w:sz w:val="20"/>
          <w:szCs w:val="20"/>
          <w:color w:val="auto"/>
        </w:rPr>
      </w:pPr>
    </w:p>
    <w:p>
      <w:pPr>
        <w:ind w:left="80" w:firstLine="468"/>
        <w:spacing w:after="0" w:line="237" w:lineRule="auto"/>
        <w:rPr>
          <w:sz w:val="20"/>
          <w:szCs w:val="20"/>
          <w:color w:val="auto"/>
        </w:rPr>
      </w:pPr>
      <w:r>
        <w:rPr>
          <w:rFonts w:ascii="Arial" w:cs="Arial" w:eastAsia="Arial" w:hAnsi="Arial"/>
          <w:sz w:val="16"/>
          <w:szCs w:val="16"/>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40" w:lineRule="exact"/>
        <w:rPr>
          <w:sz w:val="20"/>
          <w:szCs w:val="20"/>
          <w:color w:val="auto"/>
        </w:rPr>
      </w:pPr>
    </w:p>
    <w:p>
      <w:pPr>
        <w:ind w:left="80" w:right="40" w:firstLine="468"/>
        <w:spacing w:after="0" w:line="239" w:lineRule="auto"/>
        <w:rPr>
          <w:sz w:val="20"/>
          <w:szCs w:val="20"/>
          <w:color w:val="auto"/>
        </w:rPr>
      </w:pPr>
      <w:r>
        <w:rPr>
          <w:rFonts w:ascii="Arial" w:cs="Arial" w:eastAsia="Arial" w:hAnsi="Arial"/>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40" w:lineRule="exact"/>
        <w:rPr>
          <w:sz w:val="20"/>
          <w:szCs w:val="20"/>
          <w:color w:val="auto"/>
        </w:rPr>
      </w:pPr>
    </w:p>
    <w:p>
      <w:pPr>
        <w:ind w:left="80" w:right="100" w:firstLine="468"/>
        <w:spacing w:after="0" w:line="238" w:lineRule="auto"/>
        <w:rPr>
          <w:sz w:val="20"/>
          <w:szCs w:val="20"/>
          <w:color w:val="auto"/>
        </w:rPr>
      </w:pPr>
      <w:r>
        <w:rPr>
          <w:rFonts w:ascii="Arial" w:cs="Arial" w:eastAsia="Arial" w:hAnsi="Arial"/>
          <w:sz w:val="16"/>
          <w:szCs w:val="16"/>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jc w:val="center"/>
        <w:ind w:right="-7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158115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782" w:right="660"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ITEM 1A. RISK FACTORS</w:t>
      </w:r>
    </w:p>
    <w:p>
      <w:pPr>
        <w:spacing w:after="0" w:line="184" w:lineRule="exact"/>
        <w:rPr>
          <w:sz w:val="20"/>
          <w:szCs w:val="20"/>
          <w:color w:val="auto"/>
        </w:rPr>
      </w:pPr>
    </w:p>
    <w:p>
      <w:pPr>
        <w:ind w:left="80" w:right="40" w:firstLine="432"/>
        <w:spacing w:after="0" w:line="239" w:lineRule="auto"/>
        <w:rPr>
          <w:sz w:val="20"/>
          <w:szCs w:val="20"/>
          <w:color w:val="auto"/>
        </w:rPr>
      </w:pPr>
      <w:r>
        <w:rPr>
          <w:rFonts w:ascii="Arial" w:cs="Arial" w:eastAsia="Arial" w:hAnsi="Arial"/>
          <w:sz w:val="16"/>
          <w:szCs w:val="16"/>
          <w:color w:val="auto"/>
        </w:rPr>
        <w:t>Except as discussed below there have been no material changes to the risk factors as previously disclosed in Item 1A. to Part I of our Annual Report on Form 10-K for the year ended December 31, 2022. The materiality of any risks and uncertainties identified in our Forward Looking Statements contained in this report together with those previously disclosed in the Form 10-K and any subsequent Form 10-Q or those that are presently unforeseen could result in significant adverse effects on our financial condition, results of operations and cash flows. See Item 2.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w:t>
      </w:r>
      <w:r>
        <w:rPr>
          <w:rFonts w:ascii="Arial" w:cs="Arial" w:eastAsia="Arial" w:hAnsi="Arial"/>
          <w:sz w:val="16"/>
          <w:szCs w:val="16"/>
          <w:color w:val="auto"/>
        </w:rPr>
        <w:t>” in this Quarterly Report on Form 10-Q.</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Recent negative developments affecting the banking industry could adversely impact our liquidity.</w:t>
      </w:r>
    </w:p>
    <w:p>
      <w:pPr>
        <w:spacing w:after="0" w:line="184" w:lineRule="exact"/>
        <w:rPr>
          <w:sz w:val="20"/>
          <w:szCs w:val="20"/>
          <w:color w:val="auto"/>
        </w:rPr>
      </w:pPr>
    </w:p>
    <w:p>
      <w:pPr>
        <w:ind w:left="80" w:right="100" w:firstLine="432"/>
        <w:spacing w:after="0" w:line="277" w:lineRule="auto"/>
        <w:rPr>
          <w:sz w:val="20"/>
          <w:szCs w:val="20"/>
          <w:color w:val="auto"/>
        </w:rPr>
      </w:pPr>
      <w:r>
        <w:rPr>
          <w:rFonts w:ascii="Arial" w:cs="Arial" w:eastAsia="Arial" w:hAnsi="Arial"/>
          <w:sz w:val="14"/>
          <w:szCs w:val="14"/>
          <w:color w:val="auto"/>
        </w:rPr>
        <w:t>The recent high-profile bank failures involving Silicon Valley Bank and Signature Bank have generated significant market volatility among publicly traded bank holding companies and, in particular, regional community banks like CBB. These market developments have negatively impacted customer confidence in the safety and soundness of smaller regional and community banks. As a result, customers may choose to maintain deposits with larger financial institutions or invest in higher yielding short-term fixed income securities, all of which could materially adversely impact CBB’s liquidity, loan funding capacity, net interest margin, capital and results of operations. While CBB currently has access to substantial borrowing capacity from the Federal Reserve Bank, the Federal Home Loan Bank and credit facilities established with larger banks, there can be no assurance that customer confidence in regional banks and the banking system more broadly will be fully restored or that potential liquidity concerns will recede.</w:t>
      </w:r>
    </w:p>
    <w:p>
      <w:pPr>
        <w:spacing w:after="0" w:line="132" w:lineRule="exact"/>
        <w:rPr>
          <w:sz w:val="20"/>
          <w:szCs w:val="20"/>
          <w:color w:val="auto"/>
        </w:rPr>
      </w:pPr>
    </w:p>
    <w:p>
      <w:pPr>
        <w:ind w:left="80" w:right="200" w:firstLine="432"/>
        <w:spacing w:after="0" w:line="278" w:lineRule="auto"/>
        <w:rPr>
          <w:sz w:val="20"/>
          <w:szCs w:val="20"/>
          <w:color w:val="auto"/>
        </w:rPr>
      </w:pPr>
      <w:r>
        <w:rPr>
          <w:rFonts w:ascii="Arial" w:cs="Arial" w:eastAsia="Arial" w:hAnsi="Arial"/>
          <w:sz w:val="16"/>
          <w:szCs w:val="16"/>
          <w:b w:val="1"/>
          <w:bCs w:val="1"/>
          <w:i w:val="1"/>
          <w:iCs w:val="1"/>
          <w:color w:val="auto"/>
        </w:rPr>
        <w:t>Rising interest rates have decreased the value of the Company’s available for sale and held-to-maturity securities and loan portfolios, and the Company would realize losses if it were required to sell such securities or loans to meet liquidity needs.</w:t>
      </w:r>
    </w:p>
    <w:p>
      <w:pPr>
        <w:spacing w:after="0" w:line="122" w:lineRule="exact"/>
        <w:rPr>
          <w:sz w:val="20"/>
          <w:szCs w:val="20"/>
          <w:color w:val="auto"/>
        </w:rPr>
      </w:pPr>
    </w:p>
    <w:p>
      <w:pPr>
        <w:ind w:left="80" w:right="40" w:firstLine="432"/>
        <w:spacing w:after="0" w:line="274" w:lineRule="auto"/>
        <w:rPr>
          <w:sz w:val="20"/>
          <w:szCs w:val="20"/>
          <w:color w:val="auto"/>
        </w:rPr>
      </w:pPr>
      <w:r>
        <w:rPr>
          <w:rFonts w:ascii="Arial" w:cs="Arial" w:eastAsia="Arial" w:hAnsi="Arial"/>
          <w:sz w:val="14"/>
          <w:szCs w:val="14"/>
          <w:color w:val="auto"/>
        </w:rPr>
        <w:t>As a result of inflationary pressures and the resulting rapid increases in interest rates initiated by the Federal Reserve over the last year, the mark-to-market values of previously issued government and other fixed income securities have declined significantly. These securities make up a majority of the securities portfolio of most banks in the U.S., including the Company’s, resulting in unrealized losses embedded in the available- for-sale and held-to-maturity portion of U.S. banks’ securities and loan portfolios. While the Company does not currently intend to sell these securities or loans, if the Company were required to sell such securities or loans to meet liquidity needs, it could incur losses, which could impair the Company’s capital, financial condition, and results of operations, thereby negatively impacting our profitability. While the Company has taken actions to maximize its funding sources, there is no guarantee that such actions will be successful or sufficient in the event of sudden liquidity needs. Furthermore, while the Federal Reserve Board has announced a Bank Term Funding Program available to eligible depository institutions secured by U.S. treasuries, agency debt and mortgage-backed securities, and other qualifying assets as collateral at par, to mitigate the risk of potential losses on the sale of such instruments, there is no guarantee that such programs will be effective in addressing the Company's liquidity needs as they arise.</w:t>
      </w:r>
    </w:p>
    <w:p>
      <w:pPr>
        <w:spacing w:after="0" w:line="318" w:lineRule="exact"/>
        <w:rPr>
          <w:sz w:val="20"/>
          <w:szCs w:val="20"/>
          <w:color w:val="auto"/>
        </w:rPr>
      </w:pPr>
    </w:p>
    <w:p>
      <w:pPr>
        <w:ind w:left="80" w:firstLine="347"/>
        <w:spacing w:after="0" w:line="352" w:lineRule="auto"/>
        <w:rPr>
          <w:sz w:val="20"/>
          <w:szCs w:val="20"/>
          <w:color w:val="auto"/>
        </w:rPr>
      </w:pPr>
      <w:r>
        <w:rPr>
          <w:rFonts w:ascii="Arial" w:cs="Arial" w:eastAsia="Arial" w:hAnsi="Arial"/>
          <w:sz w:val="14"/>
          <w:szCs w:val="14"/>
          <w:b w:val="1"/>
          <w:bCs w:val="1"/>
          <w:i w:val="1"/>
          <w:iCs w:val="1"/>
          <w:color w:val="auto"/>
        </w:rPr>
        <w:t>If the goodwill that we recorded in connection with business acquisitions becomes impaired, including as a result of recent declines in our stock price, it could require charges to earnings, which would have a negative impact on our financial condition and results of operations.</w:t>
      </w:r>
    </w:p>
    <w:p>
      <w:pPr>
        <w:spacing w:after="0" w:line="76" w:lineRule="exact"/>
        <w:rPr>
          <w:sz w:val="20"/>
          <w:szCs w:val="20"/>
          <w:color w:val="auto"/>
        </w:rPr>
      </w:pPr>
    </w:p>
    <w:p>
      <w:pPr>
        <w:ind w:left="80" w:right="20" w:firstLine="260"/>
        <w:spacing w:after="0" w:line="273" w:lineRule="auto"/>
        <w:rPr>
          <w:sz w:val="20"/>
          <w:szCs w:val="20"/>
          <w:color w:val="auto"/>
        </w:rPr>
      </w:pPr>
      <w:r>
        <w:rPr>
          <w:rFonts w:ascii="Arial" w:cs="Arial" w:eastAsia="Arial" w:hAnsi="Arial"/>
          <w:sz w:val="14"/>
          <w:szCs w:val="14"/>
          <w:color w:val="auto"/>
        </w:rPr>
        <w:t>Goodwill resulting from business combinations represents the excess of the purchase price over the fair value of the net assets of the businesses we acquired. Goodwill has an indefinite useful life and is not amortized, however, it is tested for impairment at least annually, or more frequently, if events and circumstances exist that indicate that the carrying value of the asset might be impaired, including as a result of a decline in our stock price and market capitalization below our stated book value. We determine impairment by comparing the implied fair value of the reporting unit’s goodwill with the carrying amount of that goodwill. Estimates of fair value are determined based on a complex model using, among other things, cash flows, the fair value of our Company as determined by our stock price, and peer company comparisons. Adverse events in the banking sector have caused market volatility and declines in the stock market prices for many community and regional banks, including the Company’s, resulting in a recent decline in the Company’s market capitalization. If management’s estimates of future cash flows are rendered inaccurate, fair value determined could likewise become inaccurate and impairment may not be recognized in a timely manner. If the carrying amount of the reporting unit’s goodwill exceeds the implied fair value of that goodwill, an impairment loss is recognized in an amount equal to that excess. Any such adjustments are reflected in our results of operations in the periods in which they become known. There can be no assurance that our future evaluations of goodwill will not result in findings of impairment and related write-downs, which may have a material adverse effect on our financial condition and results of operations.</w:t>
      </w: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164465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938" w:right="700" w:bottom="1440" w:gutter="0" w:footer="0" w:header="0"/>
        </w:sectPr>
      </w:pPr>
    </w:p>
    <w:bookmarkStart w:id="66" w:name="page67"/>
    <w:bookmarkEnd w:id="66"/>
    <w:p>
      <w:pPr>
        <w:ind w:right="280" w:firstLine="432"/>
        <w:spacing w:after="0" w:line="278" w:lineRule="auto"/>
        <w:rPr>
          <w:sz w:val="20"/>
          <w:szCs w:val="20"/>
          <w:color w:val="auto"/>
        </w:rPr>
      </w:pPr>
      <w:r>
        <w:rPr>
          <w:rFonts w:ascii="Arial" w:cs="Arial" w:eastAsia="Arial" w:hAnsi="Arial"/>
          <w:sz w:val="16"/>
          <w:szCs w:val="16"/>
          <w:b w:val="1"/>
          <w:bCs w:val="1"/>
          <w:i w:val="1"/>
          <w:iCs w:val="1"/>
          <w:color w:val="auto"/>
        </w:rPr>
        <w:t>Any enhanced regulatory examination scrutiny or new regulatory requirements arising from the recent events in the banking industry could increase the Company’s expenses and affect the Company’s operations and acquisition opportunities.</w:t>
      </w:r>
    </w:p>
    <w:p>
      <w:pPr>
        <w:spacing w:after="0" w:line="122" w:lineRule="exact"/>
        <w:rPr>
          <w:sz w:val="20"/>
          <w:szCs w:val="20"/>
          <w:color w:val="auto"/>
        </w:rPr>
      </w:pPr>
    </w:p>
    <w:p>
      <w:pPr>
        <w:ind w:right="80" w:firstLine="432"/>
        <w:spacing w:after="0" w:line="238" w:lineRule="auto"/>
        <w:rPr>
          <w:sz w:val="20"/>
          <w:szCs w:val="20"/>
          <w:color w:val="auto"/>
        </w:rPr>
      </w:pPr>
      <w:r>
        <w:rPr>
          <w:rFonts w:ascii="Arial" w:cs="Arial" w:eastAsia="Arial" w:hAnsi="Arial"/>
          <w:sz w:val="16"/>
          <w:szCs w:val="16"/>
          <w:color w:val="auto"/>
        </w:rPr>
        <w:t>The Company anticipates increased regulatory scrutiny in the course of routine examinations and otherwise, and new regulations directed towards regional banks, designed to address the recent negative developments in the banking industry, all of which could increase the Company’s costs of doing business, result in decreased regulatory support for merger and acquisition activity, and reduce our profitability. Among other things, there may be an increased focus by both regulators and investors on deposit composition, levels of uninsured deposits, and embedded interest rate risk on bank balance sheets. As a primarily commercial bank, CBB has a relatively higher percentage of uninsured deposits compared to larger national banks or smaller community banks with a stronger focus on retail deposits. As a result, CBB could face increased scrutiny or be viewed as higher risk by regulators and the investor community.</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Changes in economic, market and political conditions can adversely affect our operating results and financial condition.</w:t>
      </w:r>
    </w:p>
    <w:p>
      <w:pPr>
        <w:spacing w:after="0" w:line="184" w:lineRule="exact"/>
        <w:rPr>
          <w:sz w:val="20"/>
          <w:szCs w:val="20"/>
          <w:color w:val="auto"/>
        </w:rPr>
      </w:pPr>
    </w:p>
    <w:p>
      <w:pPr>
        <w:ind w:right="20" w:firstLine="432"/>
        <w:spacing w:after="0" w:line="237" w:lineRule="auto"/>
        <w:rPr>
          <w:sz w:val="20"/>
          <w:szCs w:val="20"/>
          <w:color w:val="auto"/>
        </w:rPr>
      </w:pPr>
      <w:r>
        <w:rPr>
          <w:rFonts w:ascii="Arial" w:cs="Arial" w:eastAsia="Arial" w:hAnsi="Arial"/>
          <w:sz w:val="16"/>
          <w:szCs w:val="16"/>
          <w:color w:val="auto"/>
        </w:rPr>
        <w:t>We are subject to macroeconomic and interest rate risk due to domestic and global economic instability that has resulted in higher inflation than the United States has experienced in more than 40 years. The global economic impact from the geopolitical events in Europe that is contributing to rising energy and commodity prices, as well as the on-going supply chain disruptions have resulted in inflationary pressures and increases to prevailing interest rates. The Federal Reserve’s Open Market Committee (“FOMC”) raised the target range for the federal funds rate to 4.75% to 5.00% on March 2, 2023, resulting in a cumulative increase of 4.50% from March of 2022. These recent increases in prevailing interest rates and the expectation that further increases are likely will impact both our customers and many aspects of our business. Higher interest rates will not only impact the interest we receive on loans and investment securities and the amount of interest we pay our depositors, but could also impact our ability to grow loans and deposits. Rising interest rates, higher commodity prices, and supply chain issues and an overall slowdown in economic growth could also impact the fair value of our assets and adversely impact our asset quality.</w:t>
      </w:r>
    </w:p>
    <w:p>
      <w:pPr>
        <w:spacing w:after="0" w:line="157" w:lineRule="exact"/>
        <w:rPr>
          <w:sz w:val="20"/>
          <w:szCs w:val="20"/>
          <w:color w:val="auto"/>
        </w:rPr>
      </w:pPr>
    </w:p>
    <w:p>
      <w:pPr>
        <w:ind w:right="260" w:firstLine="432"/>
        <w:spacing w:after="0" w:line="256" w:lineRule="auto"/>
        <w:rPr>
          <w:sz w:val="20"/>
          <w:szCs w:val="20"/>
          <w:color w:val="auto"/>
        </w:rPr>
      </w:pPr>
      <w:r>
        <w:rPr>
          <w:rFonts w:ascii="Arial" w:cs="Arial" w:eastAsia="Arial" w:hAnsi="Arial"/>
          <w:sz w:val="16"/>
          <w:szCs w:val="16"/>
          <w:b w:val="1"/>
          <w:bCs w:val="1"/>
          <w:i w:val="1"/>
          <w:iCs w:val="1"/>
          <w:color w:val="auto"/>
        </w:rPr>
        <w:t>The occurrence of fraudulent activity, breaches or failures of information security controls or cybersecurity-related incidents to either our information systems or information systems provided by third party vendors could have a material adverse effect on our business, financial condition and results of operations.</w:t>
      </w:r>
    </w:p>
    <w:p>
      <w:pPr>
        <w:spacing w:after="0" w:line="139"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As a financial institution, we are susceptible to fraudulent activity, information security breaches and other cybersecurity-related incidents and attacks that may be committed against us, our customers or our key vendors and business partners, which in turn may result in financial losses or increased costs to us, our customers, or our key vendors and business partners, disclosure or misuse of our information or our customer information, theft or misappropriation of assets (including bank or customer funds), privacy breaches against us or our customers, litigation, regulatory enforcement action, and damage to our reputation. The U.S. government has warned financial institutions of the potential increase in the frequency and severity of malicious cyber-attacks and other activities involving critical infrastructure, specifically including the financial sector, and has encouraged the banking sector to enhance cyber-defenses, and these risks have increased in connection with the current conflict in Europe initiated by Russia against Ukraine. While CBB has taken measures to protect its own and customer funds and confidential information against cyber-attacks, as well as other malicious activities, there can be no assurance that such measures will be successful in thwarting such attacks and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164465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82" w:right="640" w:bottom="1440" w:gutter="0" w:footer="0" w:header="0"/>
        </w:sectPr>
      </w:pPr>
    </w:p>
    <w:bookmarkStart w:id="67" w:name="page68"/>
    <w:bookmarkEnd w:id="67"/>
    <w:p>
      <w:pPr>
        <w:ind w:lef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ITEM 2. UNREGISTERED SALES OF EQUITY SECURITIES AND USE OF PROCEEDS</w:t>
      </w:r>
    </w:p>
    <w:p>
      <w:pPr>
        <w:spacing w:after="0" w:line="184" w:lineRule="exact"/>
        <w:rPr>
          <w:sz w:val="20"/>
          <w:szCs w:val="20"/>
          <w:color w:val="auto"/>
        </w:rPr>
      </w:pPr>
    </w:p>
    <w:p>
      <w:pPr>
        <w:ind w:left="80" w:right="60" w:firstLine="432"/>
        <w:spacing w:after="0" w:line="279" w:lineRule="auto"/>
        <w:rPr>
          <w:sz w:val="20"/>
          <w:szCs w:val="20"/>
          <w:color w:val="auto"/>
        </w:rPr>
      </w:pPr>
      <w:r>
        <w:rPr>
          <w:rFonts w:ascii="Arial" w:cs="Arial" w:eastAsia="Arial" w:hAnsi="Arial"/>
          <w:sz w:val="14"/>
          <w:szCs w:val="14"/>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During the first half of 2022, we executed on the $70 million accelerated stock repurchase program and retired 2,993,551 shares of common stock at an average price of $23.38. During the first quarter of 2023, we repurchased 791,800 shares at an average price of $23.43. Our 10b5-1 plan expired on March 2, 2023. As of March 31, 2023, we had 4,300,059 shares of CVB common stock available for repurchase under the 2022 Repurchase Program.</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w w:val="97"/>
              </w:rPr>
              <w:t>Total Number of Shares Purchased as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Maximum Number of Shares Available</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28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Part of Publicly Announced Plans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ind w:left="40"/>
              <w:spacing w:after="0" w:line="180" w:lineRule="exact"/>
              <w:rPr>
                <w:sz w:val="20"/>
                <w:szCs w:val="20"/>
                <w:color w:val="auto"/>
              </w:rPr>
            </w:pPr>
            <w:r>
              <w:rPr>
                <w:rFonts w:ascii="Arial" w:cs="Arial" w:eastAsia="Arial" w:hAnsi="Arial"/>
                <w:sz w:val="16"/>
                <w:szCs w:val="16"/>
                <w:b w:val="1"/>
                <w:bCs w:val="1"/>
                <w:color w:val="auto"/>
              </w:rPr>
              <w:t>Average Price</w:t>
            </w:r>
          </w:p>
        </w:tc>
        <w:tc>
          <w:tcPr>
            <w:tcW w:w="140" w:type="dxa"/>
            <w:vAlign w:val="bottom"/>
          </w:tcPr>
          <w:p>
            <w:pPr>
              <w:spacing w:after="0"/>
              <w:rPr>
                <w:sz w:val="15"/>
                <w:szCs w:val="15"/>
                <w:color w:val="auto"/>
              </w:rPr>
            </w:pPr>
          </w:p>
        </w:tc>
        <w:tc>
          <w:tcPr>
            <w:tcW w:w="3020" w:type="dxa"/>
            <w:vAlign w:val="bottom"/>
            <w:gridSpan w:val="2"/>
          </w:tcPr>
          <w:p>
            <w:pPr>
              <w:jc w:val="center"/>
              <w:ind w:right="80"/>
              <w:spacing w:after="0" w:line="180" w:lineRule="exact"/>
              <w:rPr>
                <w:sz w:val="20"/>
                <w:szCs w:val="20"/>
                <w:color w:val="auto"/>
              </w:rPr>
            </w:pPr>
            <w:r>
              <w:rPr>
                <w:rFonts w:ascii="Arial" w:cs="Arial" w:eastAsia="Arial" w:hAnsi="Arial"/>
                <w:sz w:val="16"/>
                <w:szCs w:val="16"/>
                <w:b w:val="1"/>
                <w:bCs w:val="1"/>
                <w:color w:val="auto"/>
                <w:w w:val="97"/>
              </w:rPr>
              <w:t>for Repurchase Under the Plans or</w:t>
            </w:r>
          </w:p>
        </w:tc>
        <w:tc>
          <w:tcPr>
            <w:tcW w:w="0" w:type="dxa"/>
            <w:vAlign w:val="bottom"/>
          </w:tcPr>
          <w:p>
            <w:pPr>
              <w:spacing w:after="0"/>
              <w:rPr>
                <w:sz w:val="1"/>
                <w:szCs w:val="1"/>
                <w:color w:val="auto"/>
              </w:rPr>
            </w:pPr>
          </w:p>
        </w:tc>
      </w:tr>
      <w:tr>
        <w:trPr>
          <w:trHeight w:val="217"/>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Period</w:t>
            </w: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w w:val="99"/>
              </w:rPr>
              <w:t>Programs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Paid Per Share</w:t>
            </w:r>
          </w:p>
        </w:tc>
        <w:tc>
          <w:tcPr>
            <w:tcW w:w="140" w:type="dxa"/>
            <w:vAlign w:val="bottom"/>
          </w:tcPr>
          <w:p>
            <w:pPr>
              <w:spacing w:after="0"/>
              <w:rPr>
                <w:sz w:val="18"/>
                <w:szCs w:val="18"/>
                <w:color w:val="auto"/>
              </w:rPr>
            </w:pPr>
          </w:p>
        </w:tc>
        <w:tc>
          <w:tcPr>
            <w:tcW w:w="3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Programs</w:t>
            </w: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January 1 - 31, 2023</w:t>
            </w:r>
          </w:p>
        </w:tc>
        <w:tc>
          <w:tcPr>
            <w:tcW w:w="2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341,057</w:t>
            </w:r>
          </w:p>
        </w:tc>
        <w:tc>
          <w:tcPr>
            <w:tcW w:w="44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23.88</w:t>
            </w:r>
          </w:p>
        </w:tc>
        <w:tc>
          <w:tcPr>
            <w:tcW w:w="100" w:type="dxa"/>
            <w:vAlign w:val="bottom"/>
            <w:shd w:val="clear" w:color="auto" w:fill="CFF0FC"/>
          </w:tcPr>
          <w:p>
            <w:pPr>
              <w:spacing w:after="0"/>
              <w:rPr>
                <w:sz w:val="17"/>
                <w:szCs w:val="17"/>
                <w:color w:val="auto"/>
              </w:rPr>
            </w:pPr>
          </w:p>
        </w:tc>
        <w:tc>
          <w:tcPr>
            <w:tcW w:w="3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4,750,802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2720" w:type="dxa"/>
            <w:vAlign w:val="bottom"/>
            <w:vMerge w:val="continue"/>
            <w:shd w:val="clear" w:color="auto" w:fill="CFF0FC"/>
          </w:tcPr>
          <w:p>
            <w:pPr>
              <w:spacing w:after="0"/>
              <w:rPr>
                <w:sz w:val="7"/>
                <w:szCs w:val="7"/>
                <w:color w:val="auto"/>
              </w:rPr>
            </w:pPr>
          </w:p>
        </w:tc>
        <w:tc>
          <w:tcPr>
            <w:tcW w:w="2860" w:type="dxa"/>
            <w:vAlign w:val="bottom"/>
            <w:vMerge w:val="continue"/>
            <w:shd w:val="clear" w:color="auto" w:fill="CFF0FC"/>
          </w:tcPr>
          <w:p>
            <w:pPr>
              <w:spacing w:after="0"/>
              <w:rPr>
                <w:sz w:val="7"/>
                <w:szCs w:val="7"/>
                <w:color w:val="auto"/>
              </w:rPr>
            </w:pPr>
          </w:p>
        </w:tc>
        <w:tc>
          <w:tcPr>
            <w:tcW w:w="440" w:type="dxa"/>
            <w:vAlign w:val="bottom"/>
            <w:gridSpan w:val="3"/>
            <w:vMerge w:val="continue"/>
            <w:shd w:val="clear" w:color="auto" w:fill="CFF0FC"/>
          </w:tcPr>
          <w:p>
            <w:pPr>
              <w:spacing w:after="0"/>
              <w:rPr>
                <w:sz w:val="7"/>
                <w:szCs w:val="7"/>
                <w:color w:val="auto"/>
              </w:rPr>
            </w:pPr>
          </w:p>
        </w:tc>
        <w:tc>
          <w:tcPr>
            <w:tcW w:w="128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9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February 1 - 28, 2023</w:t>
            </w:r>
          </w:p>
        </w:tc>
        <w:tc>
          <w:tcPr>
            <w:tcW w:w="2860" w:type="dxa"/>
            <w:vAlign w:val="bottom"/>
          </w:tcPr>
          <w:p>
            <w:pPr>
              <w:jc w:val="right"/>
              <w:spacing w:after="0"/>
              <w:rPr>
                <w:sz w:val="20"/>
                <w:szCs w:val="20"/>
                <w:color w:val="auto"/>
              </w:rPr>
            </w:pPr>
            <w:r>
              <w:rPr>
                <w:rFonts w:ascii="Arial" w:cs="Arial" w:eastAsia="Arial" w:hAnsi="Arial"/>
                <w:sz w:val="16"/>
                <w:szCs w:val="16"/>
                <w:color w:val="auto"/>
              </w:rPr>
              <w:t>97,560</w:t>
            </w:r>
          </w:p>
        </w:tc>
        <w:tc>
          <w:tcPr>
            <w:tcW w:w="4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24.01</w:t>
            </w:r>
          </w:p>
        </w:tc>
        <w:tc>
          <w:tcPr>
            <w:tcW w:w="100" w:type="dxa"/>
            <w:vAlign w:val="bottom"/>
          </w:tcPr>
          <w:p>
            <w:pPr>
              <w:spacing w:after="0"/>
              <w:rPr>
                <w:sz w:val="17"/>
                <w:szCs w:val="17"/>
                <w:color w:val="auto"/>
              </w:rPr>
            </w:pPr>
          </w:p>
        </w:tc>
        <w:tc>
          <w:tcPr>
            <w:tcW w:w="3080" w:type="dxa"/>
            <w:vAlign w:val="bottom"/>
            <w:gridSpan w:val="2"/>
          </w:tcPr>
          <w:p>
            <w:pPr>
              <w:jc w:val="right"/>
              <w:spacing w:after="0"/>
              <w:rPr>
                <w:sz w:val="20"/>
                <w:szCs w:val="20"/>
                <w:color w:val="auto"/>
              </w:rPr>
            </w:pPr>
            <w:r>
              <w:rPr>
                <w:rFonts w:ascii="Arial" w:cs="Arial" w:eastAsia="Arial" w:hAnsi="Arial"/>
                <w:sz w:val="16"/>
                <w:szCs w:val="16"/>
                <w:color w:val="auto"/>
              </w:rPr>
              <w:t>4,653,242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March 1 - 31, 2023</w:t>
            </w:r>
          </w:p>
        </w:tc>
        <w:tc>
          <w:tcPr>
            <w:tcW w:w="2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353,183</w:t>
            </w:r>
          </w:p>
        </w:tc>
        <w:tc>
          <w:tcPr>
            <w:tcW w:w="4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22.83</w:t>
            </w:r>
          </w:p>
        </w:tc>
        <w:tc>
          <w:tcPr>
            <w:tcW w:w="100" w:type="dxa"/>
            <w:vAlign w:val="bottom"/>
            <w:shd w:val="clear" w:color="auto" w:fill="CFF0FC"/>
          </w:tcPr>
          <w:p>
            <w:pPr>
              <w:spacing w:after="0"/>
              <w:rPr>
                <w:sz w:val="17"/>
                <w:szCs w:val="17"/>
                <w:color w:val="auto"/>
              </w:rPr>
            </w:pPr>
          </w:p>
        </w:tc>
        <w:tc>
          <w:tcPr>
            <w:tcW w:w="3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4,300,059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20" w:type="dxa"/>
            <w:vAlign w:val="bottom"/>
          </w:tcPr>
          <w:p>
            <w:pPr>
              <w:ind w:left="100"/>
              <w:spacing w:after="0"/>
              <w:rPr>
                <w:sz w:val="20"/>
                <w:szCs w:val="20"/>
                <w:color w:val="auto"/>
              </w:rPr>
            </w:pPr>
            <w:r>
              <w:rPr>
                <w:rFonts w:ascii="Arial" w:cs="Arial" w:eastAsia="Arial" w:hAnsi="Arial"/>
                <w:sz w:val="16"/>
                <w:szCs w:val="16"/>
                <w:color w:val="auto"/>
              </w:rPr>
              <w:t>Total</w:t>
            </w:r>
          </w:p>
        </w:tc>
        <w:tc>
          <w:tcPr>
            <w:tcW w:w="2860" w:type="dxa"/>
            <w:vAlign w:val="bottom"/>
          </w:tcPr>
          <w:p>
            <w:pPr>
              <w:jc w:val="right"/>
              <w:spacing w:after="0"/>
              <w:rPr>
                <w:sz w:val="20"/>
                <w:szCs w:val="20"/>
                <w:color w:val="auto"/>
              </w:rPr>
            </w:pPr>
            <w:r>
              <w:rPr>
                <w:rFonts w:ascii="Arial" w:cs="Arial" w:eastAsia="Arial" w:hAnsi="Arial"/>
                <w:sz w:val="16"/>
                <w:szCs w:val="16"/>
                <w:color w:val="auto"/>
              </w:rPr>
              <w:t>791,800</w:t>
            </w:r>
          </w:p>
        </w:tc>
        <w:tc>
          <w:tcPr>
            <w:tcW w:w="12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23.43</w:t>
            </w:r>
          </w:p>
        </w:tc>
        <w:tc>
          <w:tcPr>
            <w:tcW w:w="100" w:type="dxa"/>
            <w:vAlign w:val="bottom"/>
          </w:tcPr>
          <w:p>
            <w:pPr>
              <w:spacing w:after="0"/>
              <w:rPr>
                <w:sz w:val="17"/>
                <w:szCs w:val="17"/>
                <w:color w:val="auto"/>
              </w:rPr>
            </w:pPr>
          </w:p>
        </w:tc>
        <w:tc>
          <w:tcPr>
            <w:tcW w:w="3080" w:type="dxa"/>
            <w:vAlign w:val="bottom"/>
            <w:gridSpan w:val="2"/>
          </w:tcPr>
          <w:p>
            <w:pPr>
              <w:jc w:val="right"/>
              <w:spacing w:after="0"/>
              <w:rPr>
                <w:sz w:val="20"/>
                <w:szCs w:val="20"/>
                <w:color w:val="auto"/>
              </w:rPr>
            </w:pPr>
            <w:r>
              <w:rPr>
                <w:rFonts w:ascii="Arial" w:cs="Arial" w:eastAsia="Arial" w:hAnsi="Arial"/>
                <w:sz w:val="16"/>
                <w:szCs w:val="16"/>
                <w:color w:val="auto"/>
              </w:rPr>
              <w:t>4,300,059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69</w:t>
      </w:r>
    </w:p>
    <w:p>
      <w:pPr>
        <w:sectPr>
          <w:pgSz w:w="11900" w:h="16840" w:orient="portrait"/>
          <w:cols w:equalWidth="0" w:num="1">
            <w:col w:w="10640"/>
          </w:cols>
          <w:pgMar w:left="580" w:top="782" w:right="68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7"/>
        </w:trPr>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ITEM 6. EXHIBITS</w:t>
            </w:r>
          </w:p>
        </w:tc>
        <w:tc>
          <w:tcPr>
            <w:tcW w:w="668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578"/>
        </w:trPr>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Exhibit No.</w:t>
            </w:r>
          </w:p>
        </w:tc>
        <w:tc>
          <w:tcPr>
            <w:tcW w:w="240" w:type="dxa"/>
            <w:vAlign w:val="bottom"/>
          </w:tcPr>
          <w:p>
            <w:pPr>
              <w:spacing w:after="0"/>
              <w:rPr>
                <w:sz w:val="24"/>
                <w:szCs w:val="24"/>
                <w:color w:val="auto"/>
              </w:rPr>
            </w:pPr>
          </w:p>
        </w:tc>
        <w:tc>
          <w:tcPr>
            <w:tcW w:w="9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56"/>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31.1</w:t>
            </w:r>
          </w:p>
        </w:tc>
        <w:tc>
          <w:tcPr>
            <w:tcW w:w="240" w:type="dxa"/>
            <w:vAlign w:val="bottom"/>
          </w:tcPr>
          <w:p>
            <w:pPr>
              <w:spacing w:after="0"/>
              <w:rPr>
                <w:sz w:val="22"/>
                <w:szCs w:val="22"/>
                <w:color w:val="auto"/>
              </w:rPr>
            </w:pPr>
          </w:p>
        </w:tc>
        <w:tc>
          <w:tcPr>
            <w:tcW w:w="92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Executive Officer pursuant to Section 302 of the Sarbanes-Oxley Act of 2002</w:t>
              </w:r>
            </w:hyperlink>
            <w:r>
              <w:rPr>
                <w:rFonts w:ascii="Arial" w:cs="Arial" w:eastAsia="Arial" w:hAnsi="Arial"/>
                <w:sz w:val="16"/>
                <w:szCs w:val="16"/>
                <w:color w:val="000000"/>
              </w:rPr>
              <w:t>*</w:t>
            </w:r>
          </w:p>
        </w:tc>
      </w:tr>
      <w:tr>
        <w:trPr>
          <w:trHeight w:val="20"/>
        </w:trPr>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80" w:type="dxa"/>
            <w:vAlign w:val="bottom"/>
            <w:shd w:val="clear" w:color="auto" w:fill="0000FF"/>
          </w:tcPr>
          <w:p>
            <w:pPr>
              <w:spacing w:after="0" w:line="20" w:lineRule="exact"/>
              <w:rPr>
                <w:sz w:val="1"/>
                <w:szCs w:val="1"/>
                <w:color w:val="auto"/>
              </w:rPr>
            </w:pPr>
          </w:p>
        </w:tc>
        <w:tc>
          <w:tcPr>
            <w:tcW w:w="2520" w:type="dxa"/>
            <w:vAlign w:val="bottom"/>
            <w:tcBorders>
              <w:left w:val="single" w:sz="8" w:color="0000FF"/>
            </w:tcBorders>
          </w:tcPr>
          <w:p>
            <w:pPr>
              <w:spacing w:after="0" w:line="20" w:lineRule="exact"/>
              <w:rPr>
                <w:sz w:val="1"/>
                <w:szCs w:val="1"/>
                <w:color w:val="auto"/>
              </w:rPr>
            </w:pPr>
          </w:p>
        </w:tc>
      </w:tr>
      <w:tr>
        <w:trPr>
          <w:trHeight w:val="184"/>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31.2</w:t>
            </w:r>
          </w:p>
        </w:tc>
        <w:tc>
          <w:tcPr>
            <w:tcW w:w="240" w:type="dxa"/>
            <w:vAlign w:val="bottom"/>
          </w:tcPr>
          <w:p>
            <w:pPr>
              <w:spacing w:after="0"/>
              <w:rPr>
                <w:sz w:val="16"/>
                <w:szCs w:val="16"/>
                <w:color w:val="auto"/>
              </w:rPr>
            </w:pPr>
          </w:p>
        </w:tc>
        <w:tc>
          <w:tcPr>
            <w:tcW w:w="92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Financial Officer pursuant to Section 302 of the Sarbanes-Oxley Act of 2002</w:t>
              </w:r>
            </w:hyperlink>
            <w:r>
              <w:rPr>
                <w:rFonts w:ascii="Arial" w:cs="Arial" w:eastAsia="Arial" w:hAnsi="Arial"/>
                <w:sz w:val="16"/>
                <w:szCs w:val="16"/>
                <w:color w:val="000000"/>
              </w:rPr>
              <w:t>*</w:t>
            </w:r>
          </w:p>
        </w:tc>
      </w:tr>
      <w:tr>
        <w:trPr>
          <w:trHeight w:val="20"/>
        </w:trPr>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8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4"/>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32.1</w:t>
            </w:r>
          </w:p>
        </w:tc>
        <w:tc>
          <w:tcPr>
            <w:tcW w:w="240" w:type="dxa"/>
            <w:vAlign w:val="bottom"/>
          </w:tcPr>
          <w:p>
            <w:pPr>
              <w:spacing w:after="0"/>
              <w:rPr>
                <w:sz w:val="16"/>
                <w:szCs w:val="16"/>
                <w:color w:val="auto"/>
              </w:rPr>
            </w:pPr>
          </w:p>
        </w:tc>
        <w:tc>
          <w:tcPr>
            <w:tcW w:w="92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Executive Officer pursuant to Section 906 of the Sarbanes-Oxley Act of 2002</w:t>
              </w:r>
            </w:hyperlink>
            <w:r>
              <w:rPr>
                <w:rFonts w:ascii="Arial" w:cs="Arial" w:eastAsia="Arial" w:hAnsi="Arial"/>
                <w:sz w:val="16"/>
                <w:szCs w:val="16"/>
                <w:color w:val="000000"/>
              </w:rPr>
              <w:t>**</w:t>
            </w:r>
          </w:p>
        </w:tc>
      </w:tr>
      <w:tr>
        <w:trPr>
          <w:trHeight w:val="20"/>
        </w:trPr>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80" w:type="dxa"/>
            <w:vAlign w:val="bottom"/>
            <w:shd w:val="clear" w:color="auto" w:fill="0000FF"/>
          </w:tcPr>
          <w:p>
            <w:pPr>
              <w:spacing w:after="0" w:line="20" w:lineRule="exact"/>
              <w:rPr>
                <w:sz w:val="1"/>
                <w:szCs w:val="1"/>
                <w:color w:val="auto"/>
              </w:rPr>
            </w:pPr>
          </w:p>
        </w:tc>
        <w:tc>
          <w:tcPr>
            <w:tcW w:w="2520" w:type="dxa"/>
            <w:vAlign w:val="bottom"/>
            <w:tcBorders>
              <w:left w:val="single" w:sz="8" w:color="0000FF"/>
            </w:tcBorders>
          </w:tcPr>
          <w:p>
            <w:pPr>
              <w:spacing w:after="0" w:line="20" w:lineRule="exact"/>
              <w:rPr>
                <w:sz w:val="1"/>
                <w:szCs w:val="1"/>
                <w:color w:val="auto"/>
              </w:rPr>
            </w:pPr>
          </w:p>
        </w:tc>
      </w:tr>
      <w:tr>
        <w:trPr>
          <w:trHeight w:val="184"/>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32.2</w:t>
            </w:r>
          </w:p>
        </w:tc>
        <w:tc>
          <w:tcPr>
            <w:tcW w:w="240" w:type="dxa"/>
            <w:vAlign w:val="bottom"/>
          </w:tcPr>
          <w:p>
            <w:pPr>
              <w:spacing w:after="0"/>
              <w:rPr>
                <w:sz w:val="16"/>
                <w:szCs w:val="16"/>
                <w:color w:val="auto"/>
              </w:rPr>
            </w:pPr>
          </w:p>
        </w:tc>
        <w:tc>
          <w:tcPr>
            <w:tcW w:w="92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Financial Officer pursuant to Section 906 of the Sarbanes-Oxley Act of 2002</w:t>
              </w:r>
            </w:hyperlink>
            <w:r>
              <w:rPr>
                <w:rFonts w:ascii="Arial" w:cs="Arial" w:eastAsia="Arial" w:hAnsi="Arial"/>
                <w:sz w:val="16"/>
                <w:szCs w:val="16"/>
                <w:color w:val="000000"/>
              </w:rPr>
              <w:t>**</w:t>
            </w:r>
          </w:p>
        </w:tc>
      </w:tr>
      <w:tr>
        <w:trPr>
          <w:trHeight w:val="20"/>
        </w:trPr>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68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01"/>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rPr>
              <w:t>101.INS</w:t>
            </w:r>
          </w:p>
        </w:tc>
        <w:tc>
          <w:tcPr>
            <w:tcW w:w="9200" w:type="dxa"/>
            <w:vAlign w:val="bottom"/>
            <w:gridSpan w:val="2"/>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197"/>
        </w:trPr>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0" w:type="dxa"/>
            <w:vAlign w:val="bottom"/>
            <w:gridSpan w:val="2"/>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101.SCH</w:t>
            </w:r>
          </w:p>
        </w:tc>
        <w:tc>
          <w:tcPr>
            <w:tcW w:w="9200" w:type="dxa"/>
            <w:vAlign w:val="bottom"/>
            <w:gridSpan w:val="2"/>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101.CAL</w:t>
            </w:r>
          </w:p>
        </w:tc>
        <w:tc>
          <w:tcPr>
            <w:tcW w:w="9200" w:type="dxa"/>
            <w:vAlign w:val="bottom"/>
            <w:gridSpan w:val="2"/>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101.DEF</w:t>
            </w:r>
          </w:p>
        </w:tc>
        <w:tc>
          <w:tcPr>
            <w:tcW w:w="9200" w:type="dxa"/>
            <w:vAlign w:val="bottom"/>
            <w:gridSpan w:val="2"/>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101.LAB</w:t>
            </w:r>
          </w:p>
        </w:tc>
        <w:tc>
          <w:tcPr>
            <w:tcW w:w="9200" w:type="dxa"/>
            <w:vAlign w:val="bottom"/>
            <w:gridSpan w:val="2"/>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101.PRE</w:t>
            </w:r>
          </w:p>
        </w:tc>
        <w:tc>
          <w:tcPr>
            <w:tcW w:w="9200" w:type="dxa"/>
            <w:vAlign w:val="bottom"/>
            <w:gridSpan w:val="2"/>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7" w:lineRule="exact"/>
        <w:rPr>
          <w:sz w:val="20"/>
          <w:szCs w:val="20"/>
          <w:color w:val="auto"/>
        </w:rPr>
      </w:pPr>
    </w:p>
    <w:p>
      <w:pPr>
        <w:ind w:left="1440" w:right="240" w:hanging="922"/>
        <w:spacing w:after="0" w:line="252" w:lineRule="auto"/>
        <w:tabs>
          <w:tab w:leader="none" w:pos="1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 ended March 31, 2023, has been formatted in Inline XBRL.</w:t>
      </w:r>
    </w:p>
    <w:p>
      <w:pPr>
        <w:spacing w:after="0" w:line="272"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Filed herewith</w:t>
      </w:r>
    </w:p>
    <w:p>
      <w:pPr>
        <w:spacing w:after="0" w:line="18" w:lineRule="exact"/>
        <w:rPr>
          <w:rFonts w:ascii="Arial" w:cs="Arial" w:eastAsia="Arial" w:hAnsi="Arial"/>
          <w:sz w:val="16"/>
          <w:szCs w:val="16"/>
          <w:color w:val="auto"/>
        </w:rPr>
      </w:pPr>
    </w:p>
    <w:p>
      <w:pPr>
        <w:ind w:left="1660" w:hanging="1259"/>
        <w:spacing w:after="0"/>
        <w:tabs>
          <w:tab w:leader="none" w:pos="1660" w:val="left"/>
        </w:tabs>
        <w:numPr>
          <w:ilvl w:val="0"/>
          <w:numId w:val="12"/>
        </w:numPr>
        <w:rPr>
          <w:rFonts w:ascii="Arial" w:cs="Arial" w:eastAsia="Arial" w:hAnsi="Arial"/>
          <w:sz w:val="16"/>
          <w:szCs w:val="16"/>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-300355</wp:posOffset>
            </wp:positionV>
            <wp:extent cx="224091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40915" cy="7620"/>
                    </a:xfrm>
                    <a:prstGeom prst="rect">
                      <a:avLst/>
                    </a:prstGeom>
                    <a:noFill/>
                  </pic:spPr>
                </pic:pic>
              </a:graphicData>
            </a:graphic>
          </wp:anchor>
        </w:drawing>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164465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782" w:right="680"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SIGNATURES</w:t>
      </w:r>
    </w:p>
    <w:p>
      <w:pPr>
        <w:spacing w:after="0" w:line="364" w:lineRule="exact"/>
        <w:rPr>
          <w:sz w:val="20"/>
          <w:szCs w:val="20"/>
          <w:color w:val="auto"/>
        </w:rPr>
      </w:pPr>
    </w:p>
    <w:p>
      <w:pPr>
        <w:ind w:left="80" w:firstLine="432"/>
        <w:spacing w:after="0" w:line="25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34" w:lineRule="exact"/>
        <w:rPr>
          <w:sz w:val="20"/>
          <w:szCs w:val="20"/>
          <w:color w:val="auto"/>
        </w:rPr>
      </w:pPr>
    </w:p>
    <w:p>
      <w:pPr>
        <w:ind w:left="5540"/>
        <w:spacing w:after="0"/>
        <w:rPr>
          <w:sz w:val="20"/>
          <w:szCs w:val="20"/>
          <w:color w:val="auto"/>
        </w:rPr>
      </w:pPr>
      <w:r>
        <w:rPr>
          <w:rFonts w:ascii="Arial" w:cs="Arial" w:eastAsia="Arial" w:hAnsi="Arial"/>
          <w:sz w:val="16"/>
          <w:szCs w:val="16"/>
          <w:u w:val="single" w:color="auto"/>
          <w:color w:val="auto"/>
        </w:rPr>
        <w:t>CVB FINANCIAL CORP.</w:t>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(Registrant)</w:t>
      </w:r>
    </w:p>
    <w:p>
      <w:pPr>
        <w:ind w:left="80"/>
        <w:spacing w:after="0"/>
        <w:rPr>
          <w:sz w:val="20"/>
          <w:szCs w:val="20"/>
          <w:color w:val="auto"/>
        </w:rPr>
      </w:pPr>
      <w:r>
        <w:rPr>
          <w:rFonts w:ascii="Arial" w:cs="Arial" w:eastAsia="Arial" w:hAnsi="Arial"/>
          <w:sz w:val="16"/>
          <w:szCs w:val="16"/>
          <w:color w:val="auto"/>
        </w:rPr>
        <w:t>Date: May 10, 2023</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6"/>
          <w:szCs w:val="16"/>
          <w:u w:val="single" w:color="auto"/>
          <w:color w:val="auto"/>
        </w:rPr>
        <w:t>/s/ E. Allen Nicholson</w:t>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E. Allen Nicholson</w:t>
      </w:r>
    </w:p>
    <w:p>
      <w:pPr>
        <w:ind w:left="5540"/>
        <w:spacing w:after="0" w:line="234" w:lineRule="auto"/>
        <w:rPr>
          <w:sz w:val="20"/>
          <w:szCs w:val="20"/>
          <w:color w:val="auto"/>
        </w:rPr>
      </w:pPr>
      <w:r>
        <w:rPr>
          <w:rFonts w:ascii="Arial" w:cs="Arial" w:eastAsia="Arial" w:hAnsi="Arial"/>
          <w:sz w:val="16"/>
          <w:szCs w:val="16"/>
          <w:color w:val="auto"/>
        </w:rPr>
        <w:t>Executive Vice President and Chief Financial Officer</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164465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580" w:top="782" w:right="860"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Exhibit 31.1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 David A. Brager, certify that: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1.I have reviewed this quarterly report on Form 10-Q of CVB Financial Corp.;</w:t>
      </w:r>
    </w:p>
    <w:p>
      <w:pPr>
        <w:spacing w:after="0" w:line="188" w:lineRule="exact"/>
        <w:rPr>
          <w:sz w:val="20"/>
          <w:szCs w:val="20"/>
          <w:color w:val="auto"/>
        </w:rPr>
      </w:pPr>
    </w:p>
    <w:p>
      <w:pPr>
        <w:jc w:val="both"/>
        <w:ind w:left="360" w:right="18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left="360" w:right="12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jc w:val="both"/>
        <w:ind w:left="360" w:right="260"/>
        <w:spacing w:after="0" w:line="243"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sz w:val="20"/>
          <w:szCs w:val="20"/>
          <w:color w:val="auto"/>
        </w:rPr>
      </w:pPr>
    </w:p>
    <w:p>
      <w:pPr>
        <w:ind w:left="1060" w:right="180"/>
        <w:spacing w:after="0" w:line="243"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sz w:val="20"/>
          <w:szCs w:val="20"/>
          <w:color w:val="auto"/>
        </w:rPr>
      </w:pPr>
    </w:p>
    <w:p>
      <w:pPr>
        <w:jc w:val="both"/>
        <w:ind w:left="1060" w:right="40"/>
        <w:spacing w:after="0" w:line="243"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sz w:val="20"/>
          <w:szCs w:val="20"/>
          <w:color w:val="auto"/>
        </w:rPr>
      </w:pPr>
    </w:p>
    <w:p>
      <w:pPr>
        <w:ind w:left="1060"/>
        <w:spacing w:after="0" w:line="322" w:lineRule="auto"/>
        <w:rPr>
          <w:sz w:val="20"/>
          <w:szCs w:val="20"/>
          <w:color w:val="auto"/>
        </w:rPr>
      </w:pPr>
      <w:r>
        <w:rPr>
          <w:rFonts w:ascii="Arial" w:cs="Arial" w:eastAsia="Arial" w:hAnsi="Arial"/>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sz w:val="20"/>
          <w:szCs w:val="20"/>
          <w:color w:val="auto"/>
        </w:rPr>
      </w:pPr>
    </w:p>
    <w:p>
      <w:pPr>
        <w:ind w:left="1060" w:right="140"/>
        <w:spacing w:after="0" w:line="243"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sz w:val="20"/>
          <w:szCs w:val="20"/>
          <w:color w:val="auto"/>
        </w:rPr>
      </w:pPr>
    </w:p>
    <w:p>
      <w:pPr>
        <w:ind w:left="1060" w:right="420"/>
        <w:spacing w:after="0" w:line="322" w:lineRule="auto"/>
        <w:rPr>
          <w:sz w:val="20"/>
          <w:szCs w:val="20"/>
          <w:color w:val="auto"/>
        </w:rPr>
      </w:pPr>
      <w:r>
        <w:rPr>
          <w:rFonts w:ascii="Arial" w:cs="Arial" w:eastAsia="Arial" w:hAnsi="Arial"/>
          <w:sz w:val="14"/>
          <w:szCs w:val="14"/>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sz w:val="20"/>
          <w:szCs w:val="20"/>
          <w:color w:val="auto"/>
        </w:rPr>
      </w:pPr>
    </w:p>
    <w:p>
      <w:pPr>
        <w:ind w:left="1060" w:right="60"/>
        <w:spacing w:after="0" w:line="252"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0" w:lineRule="exact"/>
        <w:rPr>
          <w:sz w:val="20"/>
          <w:szCs w:val="20"/>
          <w:color w:val="auto"/>
        </w:rPr>
      </w:pPr>
    </w:p>
    <w:p>
      <w:pPr>
        <w:ind w:left="640" w:right="2880" w:hanging="6361"/>
        <w:spacing w:after="0" w:line="249" w:lineRule="auto"/>
        <w:tabs>
          <w:tab w:leader="none" w:pos="620" w:val="left"/>
        </w:tabs>
        <w:rPr>
          <w:sz w:val="20"/>
          <w:szCs w:val="20"/>
          <w:color w:val="auto"/>
        </w:rPr>
      </w:pPr>
      <w:r>
        <w:rPr>
          <w:rFonts w:ascii="Arial" w:cs="Arial" w:eastAsia="Arial" w:hAnsi="Arial"/>
          <w:sz w:val="16"/>
          <w:szCs w:val="16"/>
          <w:color w:val="auto"/>
        </w:rPr>
        <w:t>Date:</w:t>
        <w:tab/>
        <w:t xml:space="preserve">May 10, 2023 By: </w:t>
      </w:r>
      <w:r>
        <w:rPr>
          <w:rFonts w:ascii="Arial" w:cs="Arial" w:eastAsia="Arial" w:hAnsi="Arial"/>
          <w:sz w:val="16"/>
          <w:szCs w:val="16"/>
          <w:u w:val="single" w:color="auto"/>
          <w:color w:val="auto"/>
        </w:rPr>
        <w:t>/s/ David A. Brager</w:t>
      </w:r>
      <w:r>
        <w:rPr>
          <w:rFonts w:ascii="Arial" w:cs="Arial" w:eastAsia="Arial" w:hAnsi="Arial"/>
          <w:sz w:val="16"/>
          <w:szCs w:val="16"/>
          <w:color w:val="auto"/>
        </w:rPr>
        <w:t xml:space="preserve"> David A. Brager</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Exhibit 31.2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 E. Allen Nicholson, certify that: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1.I have reviewed this quarterly report on Form 10-Q of CVB Financial Corp.;</w:t>
      </w:r>
    </w:p>
    <w:p>
      <w:pPr>
        <w:spacing w:after="0" w:line="188" w:lineRule="exact"/>
        <w:rPr>
          <w:sz w:val="20"/>
          <w:szCs w:val="20"/>
          <w:color w:val="auto"/>
        </w:rPr>
      </w:pPr>
    </w:p>
    <w:p>
      <w:pPr>
        <w:jc w:val="both"/>
        <w:ind w:left="360" w:right="18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left="360" w:right="12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jc w:val="both"/>
        <w:ind w:left="360" w:right="260"/>
        <w:spacing w:after="0" w:line="243"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sz w:val="20"/>
          <w:szCs w:val="20"/>
          <w:color w:val="auto"/>
        </w:rPr>
      </w:pPr>
    </w:p>
    <w:p>
      <w:pPr>
        <w:ind w:left="1060" w:right="180"/>
        <w:spacing w:after="0" w:line="243"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sz w:val="20"/>
          <w:szCs w:val="20"/>
          <w:color w:val="auto"/>
        </w:rPr>
      </w:pPr>
    </w:p>
    <w:p>
      <w:pPr>
        <w:jc w:val="both"/>
        <w:ind w:left="1060" w:right="40"/>
        <w:spacing w:after="0" w:line="243"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sz w:val="20"/>
          <w:szCs w:val="20"/>
          <w:color w:val="auto"/>
        </w:rPr>
      </w:pPr>
    </w:p>
    <w:p>
      <w:pPr>
        <w:ind w:left="1060"/>
        <w:spacing w:after="0" w:line="322" w:lineRule="auto"/>
        <w:rPr>
          <w:sz w:val="20"/>
          <w:szCs w:val="20"/>
          <w:color w:val="auto"/>
        </w:rPr>
      </w:pPr>
      <w:r>
        <w:rPr>
          <w:rFonts w:ascii="Arial" w:cs="Arial" w:eastAsia="Arial" w:hAnsi="Arial"/>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sz w:val="20"/>
          <w:szCs w:val="20"/>
          <w:color w:val="auto"/>
        </w:rPr>
      </w:pPr>
    </w:p>
    <w:p>
      <w:pPr>
        <w:ind w:left="1060" w:right="140"/>
        <w:spacing w:after="0" w:line="243"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060" w:right="420"/>
        <w:spacing w:after="0" w:line="322" w:lineRule="auto"/>
        <w:rPr>
          <w:sz w:val="20"/>
          <w:szCs w:val="20"/>
          <w:color w:val="auto"/>
        </w:rPr>
      </w:pPr>
      <w:r>
        <w:rPr>
          <w:rFonts w:ascii="Arial" w:cs="Arial" w:eastAsia="Arial" w:hAnsi="Arial"/>
          <w:sz w:val="14"/>
          <w:szCs w:val="14"/>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sz w:val="20"/>
          <w:szCs w:val="20"/>
          <w:color w:val="auto"/>
        </w:rPr>
      </w:pPr>
    </w:p>
    <w:p>
      <w:pPr>
        <w:ind w:left="1060" w:right="60"/>
        <w:spacing w:after="0" w:line="252"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620" w:val="left"/>
          <w:tab w:leader="none" w:pos="5840" w:val="left"/>
          <w:tab w:leader="none" w:pos="6360" w:val="left"/>
        </w:tabs>
        <w:rPr>
          <w:sz w:val="20"/>
          <w:szCs w:val="20"/>
          <w:color w:val="auto"/>
        </w:rPr>
      </w:pPr>
      <w:r>
        <w:rPr>
          <w:rFonts w:ascii="Arial" w:cs="Arial" w:eastAsia="Arial" w:hAnsi="Arial"/>
          <w:sz w:val="16"/>
          <w:szCs w:val="16"/>
          <w:color w:val="auto"/>
        </w:rPr>
        <w:t>Date:</w:t>
        <w:tab/>
        <w:t>May 10,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/s/ E. Allen Nicholson</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E. Allen Nicholson</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Exhibit 32.1</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18 U.S.C. SECTION 1350,</w:t>
      </w:r>
    </w:p>
    <w:p>
      <w:pPr>
        <w:spacing w:after="0" w:line="234"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SECTION 906 OF THE SARBANES-OXLEY ACT OF 2002</w:t>
      </w:r>
    </w:p>
    <w:p>
      <w:pPr>
        <w:spacing w:after="0" w:line="166" w:lineRule="exact"/>
        <w:rPr>
          <w:sz w:val="20"/>
          <w:szCs w:val="20"/>
          <w:color w:val="auto"/>
        </w:rPr>
      </w:pPr>
    </w:p>
    <w:p>
      <w:pPr>
        <w:jc w:val="both"/>
        <w:ind w:right="40" w:firstLine="348"/>
        <w:spacing w:after="0" w:line="295" w:lineRule="auto"/>
        <w:rPr>
          <w:sz w:val="20"/>
          <w:szCs w:val="20"/>
          <w:color w:val="auto"/>
        </w:rPr>
      </w:pPr>
      <w:r>
        <w:rPr>
          <w:rFonts w:ascii="Arial" w:cs="Arial" w:eastAsia="Arial" w:hAnsi="Arial"/>
          <w:sz w:val="14"/>
          <w:szCs w:val="14"/>
          <w:color w:val="auto"/>
        </w:rPr>
        <w:t>In connection with the Quarterly Report of CVB Financial Corp. (the “Company”) on Form 10-Q for the period ended March 31, 2023, as filed with the Securities and Exchange Commission on the date hereof (the “Report”), I, David A. Brager, President and Chief Executive Officer of the Company, certify, pursuant to 18 U.S.C. § 1350, as adopted pursuant to § 906 of the Sarbanes-Oxley Act of 2002, to the best of my knowledge that: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5" w:lineRule="exact"/>
        <w:rPr>
          <w:sz w:val="20"/>
          <w:szCs w:val="20"/>
          <w:color w:val="auto"/>
        </w:rPr>
      </w:pPr>
    </w:p>
    <w:p>
      <w:pPr>
        <w:ind w:left="640" w:right="2720" w:hanging="6361"/>
        <w:spacing w:after="0" w:line="249" w:lineRule="auto"/>
        <w:tabs>
          <w:tab w:leader="none" w:pos="620" w:val="left"/>
        </w:tabs>
        <w:rPr>
          <w:sz w:val="20"/>
          <w:szCs w:val="20"/>
          <w:color w:val="auto"/>
        </w:rPr>
      </w:pPr>
      <w:r>
        <w:rPr>
          <w:rFonts w:ascii="Arial" w:cs="Arial" w:eastAsia="Arial" w:hAnsi="Arial"/>
          <w:sz w:val="16"/>
          <w:szCs w:val="16"/>
          <w:color w:val="auto"/>
        </w:rPr>
        <w:t>Date:</w:t>
        <w:tab/>
        <w:t xml:space="preserve">May 10, 2023 By: </w:t>
      </w:r>
      <w:r>
        <w:rPr>
          <w:rFonts w:ascii="Arial" w:cs="Arial" w:eastAsia="Arial" w:hAnsi="Arial"/>
          <w:sz w:val="16"/>
          <w:szCs w:val="16"/>
          <w:u w:val="single" w:color="auto"/>
          <w:color w:val="auto"/>
        </w:rPr>
        <w:t>/s/ David A. Brager</w:t>
      </w:r>
      <w:r>
        <w:rPr>
          <w:rFonts w:ascii="Arial" w:cs="Arial" w:eastAsia="Arial" w:hAnsi="Arial"/>
          <w:sz w:val="16"/>
          <w:szCs w:val="16"/>
          <w:color w:val="auto"/>
        </w:rPr>
        <w:t xml:space="preserve"> David A. Brager</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60" w:top="734" w:right="840"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Exhibit 32.2</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18 U.S.C. SECTION 1350,</w:t>
      </w:r>
    </w:p>
    <w:p>
      <w:pPr>
        <w:spacing w:after="0" w:line="234"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SECTION 906 OF THE SARBANES-OXLEY ACT OF 2002</w:t>
      </w:r>
    </w:p>
    <w:p>
      <w:pPr>
        <w:spacing w:after="0" w:line="166" w:lineRule="exact"/>
        <w:rPr>
          <w:sz w:val="20"/>
          <w:szCs w:val="20"/>
          <w:color w:val="auto"/>
        </w:rPr>
      </w:pPr>
    </w:p>
    <w:p>
      <w:pPr>
        <w:ind w:right="60" w:firstLine="348"/>
        <w:spacing w:after="0" w:line="243" w:lineRule="auto"/>
        <w:rPr>
          <w:sz w:val="20"/>
          <w:szCs w:val="20"/>
          <w:color w:val="auto"/>
        </w:rPr>
      </w:pPr>
      <w:r>
        <w:rPr>
          <w:rFonts w:ascii="Arial" w:cs="Arial" w:eastAsia="Arial" w:hAnsi="Arial"/>
          <w:sz w:val="16"/>
          <w:szCs w:val="16"/>
          <w:color w:val="auto"/>
        </w:rPr>
        <w:t>In connection with the Quarterly Report of CVB Financial Corp. (the “Company”) on Form 10 -Q for the period ended March 31, 2023,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20" w:val="left"/>
          <w:tab w:leader="none" w:pos="5840" w:val="left"/>
          <w:tab w:leader="none" w:pos="6360" w:val="left"/>
        </w:tabs>
        <w:rPr>
          <w:sz w:val="20"/>
          <w:szCs w:val="20"/>
          <w:color w:val="auto"/>
        </w:rPr>
      </w:pPr>
      <w:r>
        <w:rPr>
          <w:rFonts w:ascii="Arial" w:cs="Arial" w:eastAsia="Arial" w:hAnsi="Arial"/>
          <w:sz w:val="16"/>
          <w:szCs w:val="16"/>
          <w:color w:val="auto"/>
        </w:rPr>
        <w:t>Date:</w:t>
        <w:tab/>
        <w:t>May 10,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/s/ E. Allen Nicholson</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E. Allen Nicholson</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60" w:top="734" w:right="840" w:bottom="1440" w:gutter="0" w:footer="0" w:header="0"/>
        </w:sectPr>
      </w:pPr>
    </w:p>
    <w:bookmarkStart w:id="74" w:name="page75"/>
    <w:bookmarkEnd w:id="7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6"/>
    </w:lvl>
  </w:abstractNum>
  <w:abstractNum w:abstractNumId="6">
    <w:nsid w:val="12200854"/>
    <w:multiLevelType w:val="hybridMultilevel"/>
    <w:lvl w:ilvl="0">
      <w:lvlJc w:val="left"/>
      <w:lvlText w:val="%1."/>
      <w:numFmt w:val="decimal"/>
      <w:start w:val="7"/>
    </w:lvl>
  </w:abstractNum>
  <w:abstractNum w:abstractNumId="7">
    <w:nsid w:val="4DB127F8"/>
    <w:multiLevelType w:val="hybridMultilevel"/>
    <w:lvl w:ilvl="0">
      <w:lvlJc w:val="left"/>
      <w:lvlText w:val="%1."/>
      <w:numFmt w:val="decimal"/>
      <w:start w:val="8"/>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
      <w:numFmt w:val="bullet"/>
      <w:start w:val="1"/>
    </w:lvl>
    <w:lvl w:ilvl="1">
      <w:lvlJc w:val="left"/>
      <w:lvlText w:val="%2"/>
      <w:numFmt w:val="decimal"/>
      <w:start w:val="104"/>
    </w:lvl>
  </w:abstractNum>
  <w:abstractNum w:abstractNumId="11">
    <w:nsid w:val="66EF438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2023-05-10T13:04:53Z</dcterms:created>
  <dcterms:modified xsi:type="dcterms:W3CDTF">2023-05-10T13:04:53Z</dcterms:modified>
</cp:coreProperties>
</file>