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 C. 20549</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85" w:lineRule="exact"/>
        <w:rPr>
          <w:sz w:val="24"/>
          <w:szCs w:val="24"/>
          <w:color w:val="auto"/>
        </w:rPr>
      </w:pPr>
    </w:p>
    <w:p>
      <w:pPr>
        <w:ind w:left="1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June 30, 2023</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19"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7"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For the transition period from _____ to _____</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000-10140</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CVB FINANCIAL CORP.</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40" w:orient="portrait"/>
          <w:cols w:equalWidth="0" w:num="1">
            <w:col w:w="10560"/>
          </w:cols>
          <w:pgMar w:left="660" w:top="1078" w:right="680" w:bottom="1440" w:gutter="0" w:footer="0" w:header="0"/>
        </w:sectPr>
      </w:pPr>
    </w:p>
    <w:p>
      <w:pPr>
        <w:spacing w:after="0" w:line="181"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California</w:t>
      </w:r>
    </w:p>
    <w:p>
      <w:pPr>
        <w:spacing w:after="0" w:line="41" w:lineRule="exact"/>
        <w:rPr>
          <w:sz w:val="24"/>
          <w:szCs w:val="24"/>
          <w:color w:val="auto"/>
        </w:rPr>
      </w:pPr>
    </w:p>
    <w:p>
      <w:pPr>
        <w:ind w:left="1000"/>
        <w:spacing w:after="0"/>
        <w:rPr>
          <w:sz w:val="20"/>
          <w:szCs w:val="20"/>
          <w:color w:val="auto"/>
        </w:rPr>
      </w:pPr>
      <w:r>
        <w:rPr>
          <w:rFonts w:ascii="Arial" w:cs="Arial" w:eastAsia="Arial" w:hAnsi="Arial"/>
          <w:sz w:val="14"/>
          <w:szCs w:val="14"/>
          <w:color w:val="auto"/>
        </w:rPr>
        <w:t>(State or other jurisdiction of</w:t>
      </w:r>
    </w:p>
    <w:p>
      <w:pPr>
        <w:spacing w:after="0" w:line="15" w:lineRule="exact"/>
        <w:rPr>
          <w:sz w:val="24"/>
          <w:szCs w:val="24"/>
          <w:color w:val="auto"/>
        </w:rPr>
      </w:pPr>
    </w:p>
    <w:p>
      <w:pPr>
        <w:ind w:left="9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1320"/>
        <w:spacing w:after="0"/>
        <w:rPr>
          <w:sz w:val="20"/>
          <w:szCs w:val="20"/>
          <w:color w:val="auto"/>
        </w:rPr>
      </w:pPr>
      <w:r>
        <w:rPr>
          <w:rFonts w:ascii="Arial" w:cs="Arial" w:eastAsia="Arial" w:hAnsi="Arial"/>
          <w:sz w:val="14"/>
          <w:szCs w:val="14"/>
          <w:b w:val="1"/>
          <w:bCs w:val="1"/>
          <w:color w:val="auto"/>
        </w:rPr>
        <w:t>95-3629339</w:t>
      </w:r>
    </w:p>
    <w:p>
      <w:pPr>
        <w:spacing w:after="0" w:line="41"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(I.R.S. Employer</w:t>
      </w:r>
    </w:p>
    <w:p>
      <w:pPr>
        <w:spacing w:after="0" w:line="15"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40" w:orient="portrait"/>
          <w:cols w:equalWidth="0" w:num="2">
            <w:col w:w="7400" w:space="720"/>
            <w:col w:w="2440"/>
          </w:cols>
          <w:pgMar w:left="660" w:top="1078" w:right="680" w:bottom="1440" w:gutter="0" w:footer="0" w:header="0"/>
          <w:type w:val="continuous"/>
        </w:sectPr>
      </w:pPr>
    </w:p>
    <w:p>
      <w:pPr>
        <w:spacing w:after="0" w:line="65" w:lineRule="exact"/>
        <w:rPr>
          <w:sz w:val="24"/>
          <w:szCs w:val="24"/>
          <w:color w:val="auto"/>
        </w:rPr>
      </w:pPr>
    </w:p>
    <w:p>
      <w:pPr>
        <w:jc w:val="center"/>
        <w:ind w:right="3960"/>
        <w:spacing w:after="0"/>
        <w:rPr>
          <w:sz w:val="20"/>
          <w:szCs w:val="20"/>
          <w:color w:val="auto"/>
        </w:rPr>
      </w:pPr>
      <w:r>
        <w:rPr>
          <w:rFonts w:ascii="Arial" w:cs="Arial" w:eastAsia="Arial" w:hAnsi="Arial"/>
          <w:sz w:val="14"/>
          <w:szCs w:val="14"/>
          <w:b w:val="1"/>
          <w:bCs w:val="1"/>
          <w:color w:val="auto"/>
        </w:rPr>
        <w:t>701 North Haven Ave., Suite 350</w:t>
      </w:r>
    </w:p>
    <w:p>
      <w:pPr>
        <w:spacing w:after="0" w:line="41" w:lineRule="exact"/>
        <w:rPr>
          <w:sz w:val="24"/>
          <w:szCs w:val="24"/>
          <w:color w:val="auto"/>
        </w:rPr>
      </w:pPr>
    </w:p>
    <w:p>
      <w:pPr>
        <w:jc w:val="center"/>
        <w:ind w:right="3940"/>
        <w:spacing w:after="0"/>
        <w:rPr>
          <w:sz w:val="20"/>
          <w:szCs w:val="20"/>
          <w:color w:val="auto"/>
        </w:rPr>
      </w:pPr>
      <w:r>
        <w:rPr>
          <w:rFonts w:ascii="Arial" w:cs="Arial" w:eastAsia="Arial" w:hAnsi="Arial"/>
          <w:sz w:val="14"/>
          <w:szCs w:val="14"/>
          <w:b w:val="1"/>
          <w:bCs w:val="1"/>
          <w:color w:val="auto"/>
        </w:rPr>
        <w:t>Ontario, California</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91764</w:t>
      </w:r>
    </w:p>
    <w:p>
      <w:pPr>
        <w:spacing w:after="0" w:line="41" w:lineRule="exact"/>
        <w:rPr>
          <w:sz w:val="24"/>
          <w:szCs w:val="24"/>
          <w:color w:val="auto"/>
        </w:rPr>
      </w:pPr>
    </w:p>
    <w:p>
      <w:pPr>
        <w:sectPr>
          <w:pgSz w:w="11900" w:h="16840" w:orient="portrait"/>
          <w:cols w:equalWidth="0" w:num="2">
            <w:col w:w="7760" w:space="720"/>
            <w:col w:w="2080"/>
          </w:cols>
          <w:pgMar w:left="660" w:top="1078" w:right="680" w:bottom="1440" w:gutter="0" w:footer="0" w:header="0"/>
          <w:type w:val="continuous"/>
        </w:sectPr>
      </w:pPr>
    </w:p>
    <w:p>
      <w:pPr>
        <w:ind w:left="68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40" w:orient="portrait"/>
          <w:cols w:equalWidth="0" w:num="2">
            <w:col w:w="7620" w:space="720"/>
            <w:col w:w="2220"/>
          </w:cols>
          <w:pgMar w:left="660" w:top="1078" w:right="680" w:bottom="1440" w:gutter="0" w:footer="0" w:header="0"/>
          <w:type w:val="continuous"/>
        </w:sectPr>
      </w:pP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(909) 980-4030</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including area code)</w:t>
      </w:r>
    </w:p>
    <w:p>
      <w:pPr>
        <w:spacing w:after="0" w:line="18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40" w:orient="portrait"/>
          <w:cols w:equalWidth="0" w:num="1">
            <w:col w:w="10560"/>
          </w:cols>
          <w:pgMar w:left="660" w:top="1078" w:right="680" w:bottom="1440" w:gutter="0" w:footer="0" w:header="0"/>
          <w:type w:val="continuous"/>
        </w:sectPr>
      </w:pPr>
    </w:p>
    <w:p>
      <w:pPr>
        <w:spacing w:after="0" w:line="43"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1" w:lineRule="exact"/>
        <w:rPr>
          <w:sz w:val="24"/>
          <w:szCs w:val="24"/>
          <w:color w:val="auto"/>
        </w:rPr>
      </w:pPr>
    </w:p>
    <w:p>
      <w:pPr>
        <w:sectPr>
          <w:pgSz w:w="11900" w:h="16840" w:orient="portrait"/>
          <w:cols w:equalWidth="0" w:num="3">
            <w:col w:w="3480" w:space="720"/>
            <w:col w:w="1960" w:space="720"/>
            <w:col w:w="3680"/>
          </w:cols>
          <w:pgMar w:left="660" w:top="1078" w:right="680" w:bottom="1440" w:gutter="0" w:footer="0" w:header="0"/>
          <w:type w:val="continuous"/>
        </w:sectPr>
      </w:pPr>
    </w:p>
    <w:p>
      <w:pPr>
        <w:ind w:left="820"/>
        <w:spacing w:after="0"/>
        <w:rPr>
          <w:sz w:val="20"/>
          <w:szCs w:val="20"/>
          <w:color w:val="auto"/>
        </w:rPr>
      </w:pPr>
      <w:r>
        <w:rPr>
          <w:rFonts w:ascii="Arial" w:cs="Arial" w:eastAsia="Arial" w:hAnsi="Arial"/>
          <w:sz w:val="14"/>
          <w:szCs w:val="14"/>
          <w:color w:val="auto"/>
        </w:rPr>
        <w:t>Common Stock, No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CVBF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187" w:lineRule="exact"/>
        <w:rPr>
          <w:sz w:val="24"/>
          <w:szCs w:val="24"/>
          <w:color w:val="auto"/>
        </w:rPr>
      </w:pPr>
    </w:p>
    <w:p>
      <w:pPr>
        <w:sectPr>
          <w:pgSz w:w="11900" w:h="16840" w:orient="portrait"/>
          <w:cols w:equalWidth="0" w:num="3">
            <w:col w:w="3880" w:space="720"/>
            <w:col w:w="1980" w:space="720"/>
            <w:col w:w="3260"/>
          </w:cols>
          <w:pgMar w:left="660" w:top="1078" w:right="680" w:bottom="1440" w:gutter="0" w:footer="0" w:header="0"/>
          <w:type w:val="continuous"/>
        </w:sectPr>
      </w:pPr>
    </w:p>
    <w:p>
      <w:pPr>
        <w:ind w:right="80"/>
        <w:spacing w:after="0" w:line="268"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5"/>
          <w:szCs w:val="15"/>
          <w:color w:val="auto"/>
        </w:rPr>
        <w:t>Yes No</w:t>
      </w:r>
    </w:p>
    <w:p>
      <w:pPr>
        <w:spacing w:after="0" w:line="132"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5"/>
          <w:szCs w:val="15"/>
          <w:color w:val="auto"/>
        </w:rPr>
        <w:t>Yes No</w:t>
      </w:r>
    </w:p>
    <w:p>
      <w:pPr>
        <w:spacing w:after="0" w:line="120" w:lineRule="exact"/>
        <w:rPr>
          <w:sz w:val="24"/>
          <w:szCs w:val="24"/>
          <w:color w:val="auto"/>
        </w:rPr>
      </w:pPr>
    </w:p>
    <w:p>
      <w:pPr>
        <w:ind w:right="16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ectPr>
          <w:pgSz w:w="11900" w:h="16840" w:orient="portrait"/>
          <w:cols w:equalWidth="0" w:num="1">
            <w:col w:w="10560"/>
          </w:cols>
          <w:pgMar w:left="660" w:top="1078" w:right="680" w:bottom="1440" w:gutter="0" w:footer="0" w:header="0"/>
          <w:type w:val="continuous"/>
        </w:sectPr>
      </w:pPr>
    </w:p>
    <w:p>
      <w:pPr>
        <w:spacing w:after="0" w:line="173" w:lineRule="exact"/>
        <w:rPr>
          <w:sz w:val="24"/>
          <w:szCs w:val="24"/>
          <w:color w:val="auto"/>
        </w:rPr>
      </w:pPr>
    </w:p>
    <w:p>
      <w:pPr>
        <w:ind w:left="1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31" w:lineRule="exact"/>
        <w:rPr>
          <w:sz w:val="24"/>
          <w:szCs w:val="24"/>
          <w:color w:val="auto"/>
        </w:rPr>
      </w:pPr>
    </w:p>
    <w:p>
      <w:pPr>
        <w:sectPr>
          <w:pgSz w:w="11900" w:h="16840" w:orient="portrait"/>
          <w:cols w:equalWidth="0" w:num="2">
            <w:col w:w="6780" w:space="720"/>
            <w:col w:w="3060"/>
          </w:cols>
          <w:pgMar w:left="660" w:top="1078" w:right="680"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31" w:lineRule="exact"/>
        <w:rPr>
          <w:sz w:val="24"/>
          <w:szCs w:val="24"/>
          <w:color w:val="auto"/>
        </w:rPr>
      </w:pPr>
    </w:p>
    <w:p>
      <w:pPr>
        <w:sectPr>
          <w:pgSz w:w="11900" w:h="16840" w:orient="portrait"/>
          <w:cols w:equalWidth="0" w:num="2">
            <w:col w:w="6780" w:space="720"/>
            <w:col w:w="3060"/>
          </w:cols>
          <w:pgMar w:left="660" w:top="1078" w:right="680"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Emerging growth company</w:t>
      </w:r>
    </w:p>
    <w:p>
      <w:pPr>
        <w:sectPr>
          <w:pgSz w:w="11900" w:h="16840" w:orient="portrait"/>
          <w:cols w:equalWidth="0" w:num="1">
            <w:col w:w="10560"/>
          </w:cols>
          <w:pgMar w:left="660" w:top="1078" w:right="680" w:bottom="1440" w:gutter="0" w:footer="0" w:header="0"/>
          <w:type w:val="continuous"/>
        </w:sectPr>
      </w:pPr>
    </w:p>
    <w:p>
      <w:pPr>
        <w:spacing w:after="0" w:line="187" w:lineRule="exact"/>
        <w:rPr>
          <w:sz w:val="24"/>
          <w:szCs w:val="24"/>
          <w:color w:val="auto"/>
        </w:rPr>
      </w:pPr>
    </w:p>
    <w:p>
      <w:pPr>
        <w:ind w:right="180"/>
        <w:spacing w:after="0" w:line="282"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7" w:lineRule="exact"/>
        <w:rPr>
          <w:sz w:val="24"/>
          <w:szCs w:val="24"/>
          <w:color w:val="auto"/>
        </w:rPr>
      </w:pPr>
    </w:p>
    <w:p>
      <w:pPr>
        <w:spacing w:after="0"/>
        <w:tabs>
          <w:tab w:leader="none" w:pos="420" w:val="left"/>
        </w:tabs>
        <w:rPr>
          <w:sz w:val="20"/>
          <w:szCs w:val="20"/>
          <w:color w:val="auto"/>
        </w:rPr>
      </w:pPr>
      <w:r>
        <w:rPr>
          <w:rFonts w:ascii="Arial" w:cs="Arial" w:eastAsia="Arial" w:hAnsi="Arial"/>
          <w:sz w:val="14"/>
          <w:szCs w:val="14"/>
          <w:color w:val="auto"/>
        </w:rPr>
        <w:t>Yes</w:t>
        <w:tab/>
        <w:t>No</w:t>
      </w:r>
    </w:p>
    <w:p>
      <w:pPr>
        <w:spacing w:after="0" w:line="165"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of common stock of the registrant: 139,344,143 outstanding as of July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172085</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78" w:right="68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PART I –</w:t>
            </w:r>
          </w:p>
        </w:tc>
        <w:tc>
          <w:tcPr>
            <w:tcW w:w="3020" w:type="dxa"/>
            <w:vAlign w:val="bottom"/>
            <w:tcBorders>
              <w:bottom w:val="single" w:sz="8" w:color="0000FF"/>
            </w:tcBorders>
            <w:gridSpan w:val="11"/>
          </w:tcPr>
          <w:p>
            <w:pPr>
              <w:spacing w:after="0"/>
              <w:rPr>
                <w:rFonts w:ascii="Arial" w:cs="Arial" w:eastAsia="Arial" w:hAnsi="Arial"/>
                <w:sz w:val="16"/>
                <w:szCs w:val="16"/>
                <w:color w:val="0000FF"/>
                <w:w w:val="97"/>
              </w:rPr>
            </w:pPr>
            <w:hyperlink w:anchor="page3">
              <w:r>
                <w:rPr>
                  <w:rFonts w:ascii="Arial" w:cs="Arial" w:eastAsia="Arial" w:hAnsi="Arial"/>
                  <w:sz w:val="16"/>
                  <w:szCs w:val="16"/>
                  <w:color w:val="0000FF"/>
                  <w:w w:val="97"/>
                </w:rPr>
                <w:t>FINANCIAL INFORMATION (UNAUDITED)</w:t>
              </w:r>
            </w:hyperlink>
          </w:p>
        </w:tc>
        <w:tc>
          <w:tcPr>
            <w:tcW w:w="4940" w:type="dxa"/>
            <w:vAlign w:val="bottom"/>
            <w:gridSpan w:val="7"/>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1.</w:t>
            </w:r>
          </w:p>
        </w:tc>
        <w:tc>
          <w:tcPr>
            <w:tcW w:w="7960" w:type="dxa"/>
            <w:vAlign w:val="bottom"/>
            <w:gridSpan w:val="18"/>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CONDENSED CONSOLIDATED FINANCIAL STATEMENTS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2.</w:t>
            </w:r>
          </w:p>
        </w:tc>
        <w:tc>
          <w:tcPr>
            <w:tcW w:w="5420" w:type="dxa"/>
            <w:vAlign w:val="bottom"/>
            <w:tcBorders>
              <w:bottom w:val="single" w:sz="8" w:color="0000FF"/>
            </w:tcBorders>
            <w:gridSpan w:val="16"/>
          </w:tcPr>
          <w:p>
            <w:pPr>
              <w:spacing w:after="0" w:line="172" w:lineRule="exact"/>
              <w:rPr>
                <w:rFonts w:ascii="Arial" w:cs="Arial" w:eastAsia="Arial" w:hAnsi="Arial"/>
                <w:sz w:val="16"/>
                <w:szCs w:val="16"/>
                <w:color w:val="0000FF"/>
                <w:w w:val="97"/>
              </w:rPr>
            </w:pPr>
            <w:hyperlink w:anchor="page9">
              <w:r>
                <w:rPr>
                  <w:rFonts w:ascii="Arial" w:cs="Arial" w:eastAsia="Arial" w:hAnsi="Arial"/>
                  <w:sz w:val="16"/>
                  <w:szCs w:val="16"/>
                  <w:color w:val="0000FF"/>
                  <w:w w:val="97"/>
                </w:rPr>
                <w:t>NOTES TO THE CONDENSED CONSOLIDATED FINANCIAL STATEMENTS</w:t>
              </w:r>
            </w:hyperlink>
          </w:p>
        </w:tc>
        <w:tc>
          <w:tcPr>
            <w:tcW w:w="2540" w:type="dxa"/>
            <w:vAlign w:val="bottom"/>
            <w:gridSpan w:val="2"/>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tcBorders>
              <w:bottom w:val="single" w:sz="8" w:color="0000FF"/>
            </w:tcBorders>
            <w:gridSpan w:val="18"/>
          </w:tcPr>
          <w:p>
            <w:pPr>
              <w:spacing w:after="0" w:line="172" w:lineRule="exact"/>
              <w:rPr>
                <w:rFonts w:ascii="Arial" w:cs="Arial" w:eastAsia="Arial" w:hAnsi="Arial"/>
                <w:sz w:val="16"/>
                <w:szCs w:val="16"/>
                <w:color w:val="0000FF"/>
                <w:w w:val="97"/>
              </w:rPr>
            </w:pPr>
            <w:hyperlink w:anchor="page40">
              <w:r>
                <w:rPr>
                  <w:rFonts w:ascii="Arial" w:cs="Arial" w:eastAsia="Arial" w:hAnsi="Arial"/>
                  <w:sz w:val="16"/>
                  <w:szCs w:val="16"/>
                  <w:color w:val="0000FF"/>
                  <w:w w:val="97"/>
                </w:rPr>
                <w:t>MANAGEMENT’S DISCUSSION AND ANALYSIS OF FINANCIAL CONDITION AND RESULTS OF OPERATIONS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80" w:type="dxa"/>
            <w:vAlign w:val="bottom"/>
            <w:tcBorders>
              <w:bottom w:val="single" w:sz="8" w:color="0000FF"/>
            </w:tcBorders>
            <w:gridSpan w:val="8"/>
          </w:tcPr>
          <w:p>
            <w:pPr>
              <w:spacing w:after="0" w:line="172" w:lineRule="exact"/>
              <w:rPr>
                <w:rFonts w:ascii="Arial" w:cs="Arial" w:eastAsia="Arial" w:hAnsi="Arial"/>
                <w:sz w:val="16"/>
                <w:szCs w:val="16"/>
                <w:color w:val="0000FF"/>
                <w:w w:val="97"/>
              </w:rPr>
            </w:pPr>
            <w:hyperlink w:anchor="page40">
              <w:r>
                <w:rPr>
                  <w:rFonts w:ascii="Arial" w:cs="Arial" w:eastAsia="Arial" w:hAnsi="Arial"/>
                  <w:sz w:val="16"/>
                  <w:szCs w:val="16"/>
                  <w:color w:val="0000FF"/>
                  <w:w w:val="97"/>
                </w:rPr>
                <w:t>CRITICAL ACCOUNTING POLICIES</w:t>
              </w:r>
            </w:hyperlink>
          </w:p>
        </w:tc>
        <w:tc>
          <w:tcPr>
            <w:tcW w:w="5380" w:type="dxa"/>
            <w:vAlign w:val="bottom"/>
            <w:gridSpan w:val="10"/>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41">
              <w:r>
                <w:rPr>
                  <w:rFonts w:ascii="Arial" w:cs="Arial" w:eastAsia="Arial" w:hAnsi="Arial"/>
                  <w:sz w:val="16"/>
                  <w:szCs w:val="16"/>
                  <w:color w:val="0000FF"/>
                </w:rPr>
                <w:t>OVERVIEW</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Borders>
              <w:bottom w:val="single" w:sz="8" w:color="0000FF"/>
            </w:tcBorders>
            <w:gridSpan w:val="12"/>
          </w:tcPr>
          <w:p>
            <w:pPr>
              <w:spacing w:after="0" w:line="172" w:lineRule="exact"/>
              <w:rPr>
                <w:rFonts w:ascii="Arial" w:cs="Arial" w:eastAsia="Arial" w:hAnsi="Arial"/>
                <w:sz w:val="16"/>
                <w:szCs w:val="16"/>
                <w:color w:val="0000FF"/>
                <w:w w:val="97"/>
              </w:rPr>
            </w:pPr>
            <w:hyperlink w:anchor="page44">
              <w:r>
                <w:rPr>
                  <w:rFonts w:ascii="Arial" w:cs="Arial" w:eastAsia="Arial" w:hAnsi="Arial"/>
                  <w:sz w:val="16"/>
                  <w:szCs w:val="16"/>
                  <w:color w:val="0000FF"/>
                  <w:w w:val="97"/>
                </w:rPr>
                <w:t>ANALYSIS OF THE RESULTS OF OPERATIONS</w:t>
              </w:r>
            </w:hyperlink>
          </w:p>
        </w:tc>
        <w:tc>
          <w:tcPr>
            <w:tcW w:w="4480" w:type="dxa"/>
            <w:vAlign w:val="bottom"/>
            <w:gridSpan w:val="6"/>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55">
              <w:r>
                <w:rPr>
                  <w:rFonts w:ascii="Arial" w:cs="Arial" w:eastAsia="Arial" w:hAnsi="Arial"/>
                  <w:sz w:val="16"/>
                  <w:szCs w:val="16"/>
                  <w:color w:val="0000FF"/>
                </w:rPr>
                <w:t>ANALYSIS OF FINANCIAL CONDITION</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3.</w:t>
            </w:r>
          </w:p>
        </w:tc>
        <w:tc>
          <w:tcPr>
            <w:tcW w:w="7960" w:type="dxa"/>
            <w:vAlign w:val="bottom"/>
            <w:gridSpan w:val="18"/>
          </w:tcPr>
          <w:p>
            <w:pPr>
              <w:spacing w:after="0" w:line="172" w:lineRule="exact"/>
              <w:rPr>
                <w:rFonts w:ascii="Arial" w:cs="Arial" w:eastAsia="Arial" w:hAnsi="Arial"/>
                <w:sz w:val="16"/>
                <w:szCs w:val="16"/>
                <w:color w:val="0000FF"/>
              </w:rPr>
            </w:pPr>
            <w:hyperlink w:anchor="page70">
              <w:r>
                <w:rPr>
                  <w:rFonts w:ascii="Arial" w:cs="Arial" w:eastAsia="Arial" w:hAnsi="Arial"/>
                  <w:sz w:val="16"/>
                  <w:szCs w:val="16"/>
                  <w:color w:val="0000FF"/>
                </w:rPr>
                <w:t>ASSET/LIABILITY AND MARKET RISK MANAGEMENT</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73">
              <w:r>
                <w:rPr>
                  <w:rFonts w:ascii="Arial" w:cs="Arial" w:eastAsia="Arial" w:hAnsi="Arial"/>
                  <w:sz w:val="16"/>
                  <w:szCs w:val="16"/>
                  <w:color w:val="0000FF"/>
                </w:rPr>
                <w:t>QUANTITATIVE AND QUALITATIVE DISCLOSURES ABOUT MARKET RISK</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4.</w:t>
            </w:r>
          </w:p>
        </w:tc>
        <w:tc>
          <w:tcPr>
            <w:tcW w:w="5400" w:type="dxa"/>
            <w:vAlign w:val="bottom"/>
            <w:tcBorders>
              <w:top w:val="single" w:sz="8" w:color="0000FF"/>
            </w:tcBorders>
            <w:gridSpan w:val="15"/>
          </w:tcPr>
          <w:p>
            <w:pPr>
              <w:spacing w:after="0" w:line="172" w:lineRule="exact"/>
              <w:rPr>
                <w:rFonts w:ascii="Arial" w:cs="Arial" w:eastAsia="Arial" w:hAnsi="Arial"/>
                <w:sz w:val="16"/>
                <w:szCs w:val="16"/>
                <w:color w:val="0000FF"/>
              </w:rPr>
            </w:pPr>
            <w:hyperlink w:anchor="page73">
              <w:r>
                <w:rPr>
                  <w:rFonts w:ascii="Arial" w:cs="Arial" w:eastAsia="Arial" w:hAnsi="Arial"/>
                  <w:sz w:val="16"/>
                  <w:szCs w:val="16"/>
                  <w:color w:val="0000FF"/>
                </w:rPr>
                <w:t>CONTROLS AND PROCEDURES</w:t>
              </w:r>
            </w:hyperlink>
          </w:p>
        </w:tc>
        <w:tc>
          <w:tcPr>
            <w:tcW w:w="2560" w:type="dxa"/>
            <w:vAlign w:val="bottom"/>
            <w:gridSpan w:val="3"/>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72"/>
        </w:trPr>
        <w:tc>
          <w:tcPr>
            <w:tcW w:w="1500" w:type="dxa"/>
            <w:vAlign w:val="bottom"/>
            <w:gridSpan w:val="3"/>
          </w:tcPr>
          <w:p>
            <w:pPr>
              <w:ind w:left="20"/>
              <w:spacing w:after="0" w:line="172" w:lineRule="exact"/>
              <w:rPr>
                <w:sz w:val="20"/>
                <w:szCs w:val="20"/>
                <w:color w:val="auto"/>
              </w:rPr>
            </w:pPr>
            <w:r>
              <w:rPr>
                <w:rFonts w:ascii="Arial" w:cs="Arial" w:eastAsia="Arial" w:hAnsi="Arial"/>
                <w:sz w:val="16"/>
                <w:szCs w:val="16"/>
                <w:b w:val="1"/>
                <w:bCs w:val="1"/>
                <w:color w:val="auto"/>
              </w:rPr>
              <w:t>PART II –</w:t>
            </w:r>
          </w:p>
        </w:tc>
        <w:tc>
          <w:tcPr>
            <w:tcW w:w="2380" w:type="dxa"/>
            <w:vAlign w:val="bottom"/>
            <w:tcBorders>
              <w:top w:val="single" w:sz="8" w:color="0000FF"/>
            </w:tcBorders>
            <w:gridSpan w:val="7"/>
          </w:tcPr>
          <w:p>
            <w:pPr>
              <w:spacing w:after="0" w:line="172" w:lineRule="exact"/>
              <w:rPr>
                <w:rFonts w:ascii="Arial" w:cs="Arial" w:eastAsia="Arial" w:hAnsi="Arial"/>
                <w:sz w:val="16"/>
                <w:szCs w:val="16"/>
                <w:color w:val="0000FF"/>
              </w:rPr>
            </w:pPr>
            <w:hyperlink w:anchor="page74">
              <w:r>
                <w:rPr>
                  <w:rFonts w:ascii="Arial" w:cs="Arial" w:eastAsia="Arial" w:hAnsi="Arial"/>
                  <w:sz w:val="16"/>
                  <w:szCs w:val="16"/>
                  <w:color w:val="0000FF"/>
                </w:rPr>
                <w:t>OTHER INFORMATION</w:t>
              </w:r>
            </w:hyperlink>
          </w:p>
        </w:tc>
        <w:tc>
          <w:tcPr>
            <w:tcW w:w="5580" w:type="dxa"/>
            <w:vAlign w:val="bottom"/>
            <w:gridSpan w:val="11"/>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1.</w:t>
            </w:r>
          </w:p>
        </w:tc>
        <w:tc>
          <w:tcPr>
            <w:tcW w:w="7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74">
              <w:r>
                <w:rPr>
                  <w:rFonts w:ascii="Arial" w:cs="Arial" w:eastAsia="Arial" w:hAnsi="Arial"/>
                  <w:sz w:val="16"/>
                  <w:szCs w:val="16"/>
                  <w:color w:val="0000FF"/>
                </w:rPr>
                <w:t>LEGAL PROCEEDINGS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1A.</w:t>
            </w:r>
          </w:p>
        </w:tc>
        <w:tc>
          <w:tcPr>
            <w:tcW w:w="1700" w:type="dxa"/>
            <w:vAlign w:val="bottom"/>
            <w:tcBorders>
              <w:top w:val="single" w:sz="8" w:color="0000FF"/>
            </w:tcBorders>
            <w:gridSpan w:val="5"/>
          </w:tcPr>
          <w:p>
            <w:pPr>
              <w:spacing w:after="0" w:line="172" w:lineRule="exact"/>
              <w:rPr>
                <w:rFonts w:ascii="Arial" w:cs="Arial" w:eastAsia="Arial" w:hAnsi="Arial"/>
                <w:sz w:val="16"/>
                <w:szCs w:val="16"/>
                <w:color w:val="0000FF"/>
              </w:rPr>
            </w:pPr>
            <w:hyperlink w:anchor="page74">
              <w:r>
                <w:rPr>
                  <w:rFonts w:ascii="Arial" w:cs="Arial" w:eastAsia="Arial" w:hAnsi="Arial"/>
                  <w:sz w:val="16"/>
                  <w:szCs w:val="16"/>
                  <w:color w:val="0000FF"/>
                </w:rPr>
                <w:t>RISK FACTORS</w:t>
              </w:r>
            </w:hyperlink>
          </w:p>
        </w:tc>
        <w:tc>
          <w:tcPr>
            <w:tcW w:w="6260" w:type="dxa"/>
            <w:vAlign w:val="bottom"/>
            <w:gridSpan w:val="13"/>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gridSpan w:val="2"/>
          </w:tcPr>
          <w:p>
            <w:pPr>
              <w:ind w:left="160"/>
              <w:spacing w:after="0" w:line="171" w:lineRule="exact"/>
              <w:rPr>
                <w:sz w:val="20"/>
                <w:szCs w:val="20"/>
                <w:color w:val="auto"/>
              </w:rPr>
            </w:pPr>
            <w:r>
              <w:rPr>
                <w:rFonts w:ascii="Arial" w:cs="Arial" w:eastAsia="Arial" w:hAnsi="Arial"/>
                <w:sz w:val="16"/>
                <w:szCs w:val="16"/>
                <w:b w:val="1"/>
                <w:bCs w:val="1"/>
                <w:color w:val="auto"/>
              </w:rPr>
              <w:t>ITEM 2.</w:t>
            </w:r>
          </w:p>
        </w:tc>
        <w:tc>
          <w:tcPr>
            <w:tcW w:w="7960" w:type="dxa"/>
            <w:vAlign w:val="bottom"/>
            <w:gridSpan w:val="18"/>
          </w:tcPr>
          <w:p>
            <w:pPr>
              <w:spacing w:after="0" w:line="171" w:lineRule="exact"/>
              <w:rPr>
                <w:rFonts w:ascii="Arial" w:cs="Arial" w:eastAsia="Arial" w:hAnsi="Arial"/>
                <w:sz w:val="16"/>
                <w:szCs w:val="16"/>
                <w:color w:val="0000FF"/>
              </w:rPr>
            </w:pPr>
            <w:hyperlink w:anchor="page76">
              <w:r>
                <w:rPr>
                  <w:rFonts w:ascii="Arial" w:cs="Arial" w:eastAsia="Arial" w:hAnsi="Arial"/>
                  <w:sz w:val="16"/>
                  <w:szCs w:val="16"/>
                  <w:color w:val="0000FF"/>
                </w:rPr>
                <w:t>UNREGISTERED SALES OF EQUITY SECURITIES AND USE OF PROCEEDS</w:t>
              </w:r>
            </w:hyperlink>
          </w:p>
        </w:tc>
        <w:tc>
          <w:tcPr>
            <w:tcW w:w="1120" w:type="dxa"/>
            <w:vAlign w:val="bottom"/>
            <w:gridSpan w:val="2"/>
          </w:tcPr>
          <w:p>
            <w:pPr>
              <w:jc w:val="right"/>
              <w:spacing w:after="0" w:line="171"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3.</w:t>
            </w:r>
          </w:p>
        </w:tc>
        <w:tc>
          <w:tcPr>
            <w:tcW w:w="2940" w:type="dxa"/>
            <w:vAlign w:val="bottom"/>
            <w:tcBorders>
              <w:top w:val="single" w:sz="8" w:color="0000FF"/>
              <w:bottom w:val="single" w:sz="8" w:color="0000FF"/>
            </w:tcBorders>
            <w:gridSpan w:val="10"/>
          </w:tcPr>
          <w:p>
            <w:pPr>
              <w:spacing w:after="0" w:line="172" w:lineRule="exact"/>
              <w:rPr>
                <w:rFonts w:ascii="Arial" w:cs="Arial" w:eastAsia="Arial" w:hAnsi="Arial"/>
                <w:sz w:val="16"/>
                <w:szCs w:val="16"/>
                <w:color w:val="0000FF"/>
                <w:w w:val="97"/>
              </w:rPr>
            </w:pPr>
            <w:hyperlink w:anchor="page76">
              <w:r>
                <w:rPr>
                  <w:rFonts w:ascii="Arial" w:cs="Arial" w:eastAsia="Arial" w:hAnsi="Arial"/>
                  <w:sz w:val="16"/>
                  <w:szCs w:val="16"/>
                  <w:color w:val="0000FF"/>
                  <w:w w:val="97"/>
                </w:rPr>
                <w:t>DEFAULTS UPON SENIOR SECURITIES</w:t>
              </w:r>
            </w:hyperlink>
          </w:p>
        </w:tc>
        <w:tc>
          <w:tcPr>
            <w:tcW w:w="2620" w:type="dxa"/>
            <w:vAlign w:val="bottom"/>
            <w:tcBorders>
              <w:top w:val="single" w:sz="8" w:color="0000FF"/>
            </w:tcBorders>
            <w:gridSpan w:val="7"/>
          </w:tcPr>
          <w:p>
            <w:pPr>
              <w:spacing w:after="0"/>
              <w:rPr>
                <w:sz w:val="14"/>
                <w:szCs w:val="14"/>
                <w:color w:val="auto"/>
              </w:rPr>
            </w:pPr>
          </w:p>
        </w:tc>
        <w:tc>
          <w:tcPr>
            <w:tcW w:w="2400" w:type="dxa"/>
            <w:vAlign w:val="bottom"/>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4.</w:t>
            </w:r>
          </w:p>
        </w:tc>
        <w:tc>
          <w:tcPr>
            <w:tcW w:w="7960" w:type="dxa"/>
            <w:vAlign w:val="bottom"/>
            <w:gridSpan w:val="18"/>
          </w:tcPr>
          <w:p>
            <w:pPr>
              <w:spacing w:after="0" w:line="172" w:lineRule="exact"/>
              <w:rPr>
                <w:rFonts w:ascii="Arial" w:cs="Arial" w:eastAsia="Arial" w:hAnsi="Arial"/>
                <w:sz w:val="16"/>
                <w:szCs w:val="16"/>
                <w:color w:val="0000FF"/>
              </w:rPr>
            </w:pPr>
            <w:hyperlink w:anchor="page76">
              <w:r>
                <w:rPr>
                  <w:rFonts w:ascii="Arial" w:cs="Arial" w:eastAsia="Arial" w:hAnsi="Arial"/>
                  <w:sz w:val="16"/>
                  <w:szCs w:val="16"/>
                  <w:color w:val="0000FF"/>
                </w:rPr>
                <w:t>MINE SAFETY DISCLOSURES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5.</w:t>
            </w:r>
          </w:p>
        </w:tc>
        <w:tc>
          <w:tcPr>
            <w:tcW w:w="2200" w:type="dxa"/>
            <w:vAlign w:val="bottom"/>
            <w:tcBorders>
              <w:top w:val="single" w:sz="8" w:color="0000FF"/>
            </w:tcBorders>
            <w:gridSpan w:val="6"/>
          </w:tcPr>
          <w:p>
            <w:pPr>
              <w:spacing w:after="0" w:line="172" w:lineRule="exact"/>
              <w:rPr>
                <w:rFonts w:ascii="Arial" w:cs="Arial" w:eastAsia="Arial" w:hAnsi="Arial"/>
                <w:sz w:val="16"/>
                <w:szCs w:val="16"/>
                <w:color w:val="0000FF"/>
              </w:rPr>
            </w:pPr>
            <w:hyperlink w:anchor="page77">
              <w:r>
                <w:rPr>
                  <w:rFonts w:ascii="Arial" w:cs="Arial" w:eastAsia="Arial" w:hAnsi="Arial"/>
                  <w:sz w:val="16"/>
                  <w:szCs w:val="16"/>
                  <w:color w:val="0000FF"/>
                </w:rPr>
                <w:t>OTHER INFORMATION</w:t>
              </w:r>
            </w:hyperlink>
          </w:p>
        </w:tc>
        <w:tc>
          <w:tcPr>
            <w:tcW w:w="5760" w:type="dxa"/>
            <w:vAlign w:val="bottom"/>
            <w:gridSpan w:val="12"/>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6.</w:t>
            </w:r>
          </w:p>
        </w:tc>
        <w:tc>
          <w:tcPr>
            <w:tcW w:w="1680" w:type="dxa"/>
            <w:vAlign w:val="bottom"/>
            <w:tcBorders>
              <w:top w:val="single" w:sz="8" w:color="0000FF"/>
            </w:tcBorders>
            <w:gridSpan w:val="4"/>
          </w:tcPr>
          <w:p>
            <w:pPr>
              <w:spacing w:after="0" w:line="172" w:lineRule="exact"/>
              <w:rPr>
                <w:rFonts w:ascii="Arial" w:cs="Arial" w:eastAsia="Arial" w:hAnsi="Arial"/>
                <w:sz w:val="16"/>
                <w:szCs w:val="16"/>
                <w:color w:val="0000FF"/>
              </w:rPr>
            </w:pPr>
            <w:hyperlink w:anchor="page78">
              <w:r>
                <w:rPr>
                  <w:rFonts w:ascii="Arial" w:cs="Arial" w:eastAsia="Arial" w:hAnsi="Arial"/>
                  <w:sz w:val="16"/>
                  <w:szCs w:val="16"/>
                  <w:color w:val="0000FF"/>
                </w:rPr>
                <w:t>EXHIBITS</w:t>
              </w:r>
            </w:hyperlink>
          </w:p>
        </w:tc>
        <w:tc>
          <w:tcPr>
            <w:tcW w:w="6280" w:type="dxa"/>
            <w:vAlign w:val="bottom"/>
            <w:gridSpan w:val="14"/>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72"/>
        </w:trPr>
        <w:tc>
          <w:tcPr>
            <w:tcW w:w="1500" w:type="dxa"/>
            <w:vAlign w:val="bottom"/>
            <w:gridSpan w:val="3"/>
          </w:tcPr>
          <w:p>
            <w:pPr>
              <w:ind w:left="20"/>
              <w:spacing w:after="0" w:line="172" w:lineRule="exact"/>
              <w:rPr>
                <w:rFonts w:ascii="Arial" w:cs="Arial" w:eastAsia="Arial" w:hAnsi="Arial"/>
                <w:sz w:val="16"/>
                <w:szCs w:val="16"/>
                <w:b w:val="1"/>
                <w:bCs w:val="1"/>
                <w:color w:val="0000FF"/>
              </w:rPr>
            </w:pPr>
            <w:hyperlink w:anchor="page79">
              <w:r>
                <w:rPr>
                  <w:rFonts w:ascii="Arial" w:cs="Arial" w:eastAsia="Arial" w:hAnsi="Arial"/>
                  <w:sz w:val="16"/>
                  <w:szCs w:val="16"/>
                  <w:b w:val="1"/>
                  <w:bCs w:val="1"/>
                  <w:color w:val="0000FF"/>
                </w:rPr>
                <w:t>SIGNATURES</w:t>
              </w:r>
            </w:hyperlink>
          </w:p>
        </w:tc>
        <w:tc>
          <w:tcPr>
            <w:tcW w:w="7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3900" w:type="dxa"/>
            <w:vAlign w:val="bottom"/>
            <w:gridSpan w:val="13"/>
          </w:tcPr>
          <w:p>
            <w:pPr>
              <w:ind w:left="3740"/>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1020" w:type="dxa"/>
            <w:vAlign w:val="bottom"/>
            <w:tcBorders>
              <w:bottom w:val="single" w:sz="8" w:color="EEEEEE"/>
            </w:tcBorders>
          </w:tcPr>
          <w:p>
            <w:pPr>
              <w:spacing w:after="0"/>
              <w:rPr>
                <w:sz w:val="8"/>
                <w:szCs w:val="8"/>
                <w:color w:val="auto"/>
              </w:rPr>
            </w:pPr>
          </w:p>
        </w:tc>
        <w:tc>
          <w:tcPr>
            <w:tcW w:w="460" w:type="dxa"/>
            <w:vAlign w:val="bottom"/>
            <w:tcBorders>
              <w:bottom w:val="single" w:sz="8" w:color="EEEEEE"/>
            </w:tcBorders>
          </w:tcPr>
          <w:p>
            <w:pPr>
              <w:spacing w:after="0"/>
              <w:rPr>
                <w:sz w:val="8"/>
                <w:szCs w:val="8"/>
                <w:color w:val="auto"/>
              </w:rPr>
            </w:pPr>
          </w:p>
        </w:tc>
        <w:tc>
          <w:tcPr>
            <w:tcW w:w="72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5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50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46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11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2400" w:type="dxa"/>
            <w:vAlign w:val="bottom"/>
            <w:tcBorders>
              <w:bottom w:val="single" w:sz="8" w:color="EEEEEE"/>
            </w:tcBorders>
          </w:tcPr>
          <w:p>
            <w:pPr>
              <w:spacing w:after="0"/>
              <w:rPr>
                <w:sz w:val="8"/>
                <w:szCs w:val="8"/>
                <w:color w:val="auto"/>
              </w:rPr>
            </w:pPr>
          </w:p>
        </w:tc>
        <w:tc>
          <w:tcPr>
            <w:tcW w:w="1100" w:type="dxa"/>
            <w:vAlign w:val="bottom"/>
            <w:tcBorders>
              <w:bottom w:val="single" w:sz="8" w:color="EEEEEE"/>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4" w:right="66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PART I – FINANCIAL INFORMATION (UNAUDITED)</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GENERAL</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Cautionary Note Regarding Forward-Looking Statements</w:t>
      </w:r>
    </w:p>
    <w:p>
      <w:pPr>
        <w:spacing w:after="0" w:line="179" w:lineRule="exact"/>
        <w:rPr>
          <w:sz w:val="20"/>
          <w:szCs w:val="20"/>
          <w:color w:val="auto"/>
        </w:rPr>
      </w:pPr>
    </w:p>
    <w:p>
      <w:pPr>
        <w:ind w:left="80" w:right="20" w:firstLine="432"/>
        <w:spacing w:after="0" w:line="254" w:lineRule="auto"/>
        <w:rPr>
          <w:sz w:val="20"/>
          <w:szCs w:val="20"/>
          <w:color w:val="auto"/>
        </w:rPr>
      </w:pPr>
      <w:r>
        <w:rPr>
          <w:rFonts w:ascii="Arial" w:cs="Arial" w:eastAsia="Arial" w:hAnsi="Arial"/>
          <w:sz w:val="14"/>
          <w:szCs w:val="14"/>
          <w:i w:val="1"/>
          <w:iCs w:val="1"/>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growth and retention, yields and returns, loan diversification and credit management, stockholder value creation, tax rates, the impact of economic developments,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42" w:lineRule="exact"/>
        <w:rPr>
          <w:sz w:val="20"/>
          <w:szCs w:val="20"/>
          <w:color w:val="auto"/>
        </w:rPr>
      </w:pPr>
    </w:p>
    <w:p>
      <w:pPr>
        <w:ind w:left="80" w:firstLine="432"/>
        <w:spacing w:after="0" w:line="252" w:lineRule="auto"/>
        <w:rPr>
          <w:sz w:val="20"/>
          <w:szCs w:val="20"/>
          <w:color w:val="auto"/>
        </w:rPr>
      </w:pPr>
      <w:r>
        <w:rPr>
          <w:rFonts w:ascii="Arial" w:cs="Arial" w:eastAsia="Arial" w:hAnsi="Arial"/>
          <w:sz w:val="14"/>
          <w:szCs w:val="14"/>
          <w:i w:val="1"/>
          <w:iCs w:val="1"/>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and key personnel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 of our nonperforming assets and charge -offs;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or to access government or private lending facilities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credit quality, business operations and employees, as well as the impact on general economic and financial market conditions; cybersecurity and fraud threats and the cost of defending against them, including the costs of compliance with potential legislation to combat cybersecurity at a state, national, or global level; our ability to recruit and retain key executives, board members and other employees, and changes in employment laws and regulations; unanticipated regulatory or legal proceedings or outcomes; and our ability to manage the risks involved in the foregoing.</w:t>
      </w:r>
    </w:p>
    <w:p>
      <w:pPr>
        <w:spacing w:after="0" w:line="313" w:lineRule="exact"/>
        <w:rPr>
          <w:sz w:val="20"/>
          <w:szCs w:val="20"/>
          <w:color w:val="auto"/>
        </w:rPr>
      </w:pPr>
    </w:p>
    <w:p>
      <w:pPr>
        <w:ind w:left="80" w:right="200" w:firstLine="432"/>
        <w:spacing w:after="0" w:line="288" w:lineRule="auto"/>
        <w:rPr>
          <w:sz w:val="20"/>
          <w:szCs w:val="20"/>
          <w:color w:val="auto"/>
        </w:rPr>
      </w:pPr>
      <w:r>
        <w:rPr>
          <w:rFonts w:ascii="Arial" w:cs="Arial" w:eastAsia="Arial" w:hAnsi="Arial"/>
          <w:sz w:val="14"/>
          <w:szCs w:val="14"/>
          <w:i w:val="1"/>
          <w:iCs w:val="1"/>
          <w:color w:val="auto"/>
        </w:rPr>
        <w:t>Additional factors that could cause actual results to differ materially from those expressed in the forward-looking statements are discussed in the Company's 2022 Annual Report on Form 10-K filed with the SEC and available at the SEC’s Internet site (http://www.sec.gov).</w:t>
      </w:r>
    </w:p>
    <w:p>
      <w:pPr>
        <w:spacing w:after="0" w:line="118" w:lineRule="exact"/>
        <w:rPr>
          <w:sz w:val="20"/>
          <w:szCs w:val="20"/>
          <w:color w:val="auto"/>
        </w:rPr>
      </w:pPr>
    </w:p>
    <w:p>
      <w:pPr>
        <w:ind w:left="80" w:right="120" w:firstLine="432"/>
        <w:spacing w:after="0" w:line="257" w:lineRule="auto"/>
        <w:rPr>
          <w:sz w:val="20"/>
          <w:szCs w:val="20"/>
          <w:color w:val="auto"/>
        </w:rPr>
      </w:pPr>
      <w:r>
        <w:rPr>
          <w:rFonts w:ascii="Arial" w:cs="Arial" w:eastAsia="Arial" w:hAnsi="Arial"/>
          <w:sz w:val="14"/>
          <w:szCs w:val="14"/>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r>
        <w:rPr>
          <w:rFonts w:ascii="Arial" w:cs="Arial" w:eastAsia="Arial" w:hAnsi="Arial"/>
          <w:sz w:val="15"/>
          <w:szCs w:val="15"/>
          <w:i w:val="1"/>
          <w:iCs w:val="1"/>
          <w:color w:val="auto"/>
        </w:rPr>
        <w:t>.</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43815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782" w:right="680"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ITEM 1. CONDENSED CONSOLIDATED FINANCIAL STATEMENTS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CVB FINANCIAL CORP.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CONDENSED CONSOLIDATED BALANCE SHEETS</w:t>
      </w:r>
    </w:p>
    <w:p>
      <w:pPr>
        <w:jc w:val="center"/>
        <w:ind w:right="-99"/>
        <w:spacing w:after="0"/>
        <w:rPr>
          <w:sz w:val="20"/>
          <w:szCs w:val="20"/>
          <w:color w:val="auto"/>
        </w:rPr>
      </w:pPr>
      <w:r>
        <w:rPr>
          <w:rFonts w:ascii="Arial" w:cs="Arial" w:eastAsia="Arial" w:hAnsi="Arial"/>
          <w:sz w:val="14"/>
          <w:szCs w:val="14"/>
          <w:i w:val="1"/>
          <w:iCs w:val="1"/>
          <w:color w:val="auto"/>
        </w:rPr>
        <w:t>(Dollars in thousands, except share amounts)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(Unaudited)</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7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7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8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Cash and due from banks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231,316</w:t>
            </w:r>
          </w:p>
        </w:tc>
        <w:tc>
          <w:tcPr>
            <w:tcW w:w="10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158,236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vMerge w:val="restart"/>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 Federal Reserve</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387,039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45,225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7260" w:type="dxa"/>
            <w:vAlign w:val="bottom"/>
            <w:vMerge w:val="continue"/>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30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420"/>
              <w:spacing w:after="0"/>
              <w:rPr>
                <w:sz w:val="20"/>
                <w:szCs w:val="20"/>
                <w:color w:val="auto"/>
              </w:rPr>
            </w:pPr>
            <w:r>
              <w:rPr>
                <w:rFonts w:ascii="Arial" w:cs="Arial" w:eastAsia="Arial" w:hAnsi="Arial"/>
                <w:sz w:val="16"/>
                <w:szCs w:val="16"/>
                <w:color w:val="auto"/>
              </w:rPr>
              <w:t>Total cash and cash equivalents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618,355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203,461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 depository institutions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30,478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260" w:type="dxa"/>
            <w:vAlign w:val="bottom"/>
          </w:tcPr>
          <w:p>
            <w:pPr>
              <w:ind w:left="180"/>
              <w:spacing w:after="0"/>
              <w:rPr>
                <w:sz w:val="20"/>
                <w:szCs w:val="20"/>
                <w:color w:val="auto"/>
              </w:rPr>
            </w:pPr>
            <w:r>
              <w:rPr>
                <w:rFonts w:ascii="Arial" w:cs="Arial" w:eastAsia="Arial" w:hAnsi="Arial"/>
                <w:sz w:val="16"/>
                <w:szCs w:val="16"/>
                <w:color w:val="auto"/>
              </w:rPr>
              <w:t>Investment securities available-for-sale, at fair value (with amortized cost of</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300"/>
              <w:spacing w:after="0"/>
              <w:rPr>
                <w:sz w:val="20"/>
                <w:szCs w:val="20"/>
                <w:color w:val="auto"/>
              </w:rPr>
            </w:pPr>
            <w:r>
              <w:rPr>
                <w:rFonts w:ascii="Arial" w:cs="Arial" w:eastAsia="Arial" w:hAnsi="Arial"/>
                <w:sz w:val="16"/>
                <w:szCs w:val="16"/>
                <w:color w:val="auto"/>
              </w:rPr>
              <w:t>$3,576,937 at June 30, 2023, and $3,755,297 at December 31, 2022)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3,068,151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3,255,211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 held-to-maturity (with fair value of $2,108,653 at June 30, 2023, and</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$2,155,587 at December 31, 2022)</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2,512,707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2,554,301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420"/>
              <w:spacing w:after="0"/>
              <w:rPr>
                <w:sz w:val="20"/>
                <w:szCs w:val="20"/>
                <w:color w:val="auto"/>
              </w:rPr>
            </w:pPr>
            <w:r>
              <w:rPr>
                <w:rFonts w:ascii="Arial" w:cs="Arial" w:eastAsia="Arial" w:hAnsi="Arial"/>
                <w:sz w:val="16"/>
                <w:szCs w:val="16"/>
                <w:color w:val="auto"/>
              </w:rPr>
              <w:t>Total investment securities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5,580,858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5,809,512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in stock of Federal Home Loan Bank (FHLB)</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29,484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Loans and lease finance receivables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8,907,397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9,079,392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Allowance for credit losses</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(86,967 )</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(85,117 )</w:t>
            </w:r>
          </w:p>
        </w:tc>
        <w:tc>
          <w:tcPr>
            <w:tcW w:w="0" w:type="dxa"/>
            <w:vAlign w:val="bottom"/>
          </w:tcPr>
          <w:p>
            <w:pPr>
              <w:spacing w:after="0"/>
              <w:rPr>
                <w:sz w:val="1"/>
                <w:szCs w:val="1"/>
                <w:color w:val="auto"/>
              </w:rPr>
            </w:pPr>
          </w:p>
        </w:tc>
      </w:tr>
      <w:tr>
        <w:trPr>
          <w:trHeight w:val="203"/>
        </w:trPr>
        <w:tc>
          <w:tcPr>
            <w:tcW w:w="7260" w:type="dxa"/>
            <w:vAlign w:val="bottom"/>
          </w:tcPr>
          <w:p>
            <w:pPr>
              <w:ind w:left="660"/>
              <w:spacing w:after="0"/>
              <w:rPr>
                <w:sz w:val="20"/>
                <w:szCs w:val="20"/>
                <w:color w:val="auto"/>
              </w:rPr>
            </w:pPr>
            <w:r>
              <w:rPr>
                <w:rFonts w:ascii="Arial" w:cs="Arial" w:eastAsia="Arial" w:hAnsi="Arial"/>
                <w:sz w:val="16"/>
                <w:szCs w:val="16"/>
                <w:color w:val="auto"/>
              </w:rPr>
              <w:t>Net loans and lease finance receivables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8,820,430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8,994,275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Premises and equipment, net</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45,518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46,698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Bank owned life insurance (BOLI)</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257,348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255,528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Accrued interest receivable</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46,545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Intangibles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765,822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765,822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146,977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186,684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124,426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60" w:type="dxa"/>
            <w:vAlign w:val="bottom"/>
          </w:tcPr>
          <w:p>
            <w:pPr>
              <w:ind w:left="5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16,484,544</w:t>
            </w:r>
          </w:p>
        </w:tc>
        <w:tc>
          <w:tcPr>
            <w:tcW w:w="10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16,476,540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Deposits: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420"/>
              <w:spacing w:after="0"/>
              <w:rPr>
                <w:sz w:val="20"/>
                <w:szCs w:val="20"/>
                <w:color w:val="auto"/>
              </w:rPr>
            </w:pPr>
            <w:r>
              <w:rPr>
                <w:rFonts w:ascii="Arial" w:cs="Arial" w:eastAsia="Arial" w:hAnsi="Arial"/>
                <w:sz w:val="16"/>
                <w:szCs w:val="16"/>
                <w:color w:val="auto"/>
              </w:rPr>
              <w:t>Noninterest-bearing</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7,878,810</w:t>
            </w:r>
          </w:p>
        </w:tc>
        <w:tc>
          <w:tcPr>
            <w:tcW w:w="10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8,164,364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vMerge w:val="restart"/>
            <w:shd w:val="clear" w:color="auto" w:fill="CFF0FC"/>
          </w:tcPr>
          <w:p>
            <w:pPr>
              <w:ind w:left="420"/>
              <w:spacing w:after="0"/>
              <w:rPr>
                <w:sz w:val="20"/>
                <w:szCs w:val="20"/>
                <w:color w:val="auto"/>
              </w:rPr>
            </w:pPr>
            <w:r>
              <w:rPr>
                <w:rFonts w:ascii="Arial" w:cs="Arial" w:eastAsia="Arial" w:hAnsi="Arial"/>
                <w:sz w:val="16"/>
                <w:szCs w:val="16"/>
                <w:color w:val="auto"/>
              </w:rPr>
              <w:t>Interest-bearing</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4,518,711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4,671,881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26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260" w:type="dxa"/>
            <w:vAlign w:val="bottom"/>
          </w:tcPr>
          <w:p>
            <w:pPr>
              <w:ind w:left="580"/>
              <w:spacing w:after="0"/>
              <w:rPr>
                <w:sz w:val="20"/>
                <w:szCs w:val="20"/>
                <w:color w:val="auto"/>
              </w:rPr>
            </w:pPr>
            <w:r>
              <w:rPr>
                <w:rFonts w:ascii="Arial" w:cs="Arial" w:eastAsia="Arial" w:hAnsi="Arial"/>
                <w:sz w:val="16"/>
                <w:szCs w:val="16"/>
                <w:b w:val="1"/>
                <w:bCs w:val="1"/>
                <w:color w:val="auto"/>
              </w:rPr>
              <w:t>Total deposits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12,397,521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12,836,245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Customer repurchase agreements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452,373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565,431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60"/>
              <w:spacing w:after="0"/>
              <w:rPr>
                <w:sz w:val="20"/>
                <w:szCs w:val="20"/>
                <w:color w:val="auto"/>
              </w:rPr>
            </w:pPr>
            <w:r>
              <w:rPr>
                <w:rFonts w:ascii="Arial" w:cs="Arial" w:eastAsia="Arial" w:hAnsi="Arial"/>
                <w:sz w:val="16"/>
                <w:szCs w:val="16"/>
                <w:color w:val="auto"/>
              </w:rPr>
              <w:t>Other borrowings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1,495,000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compensation</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23,095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6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115,188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109,255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14,483,177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14,528,023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260" w:type="dxa"/>
            <w:vAlign w:val="bottom"/>
          </w:tcPr>
          <w:p>
            <w:pPr>
              <w:ind w:left="260"/>
              <w:spacing w:after="0"/>
              <w:rPr>
                <w:sz w:val="20"/>
                <w:szCs w:val="20"/>
                <w:color w:val="auto"/>
              </w:rPr>
            </w:pPr>
            <w:r>
              <w:rPr>
                <w:rFonts w:ascii="Arial" w:cs="Arial" w:eastAsia="Arial" w:hAnsi="Arial"/>
                <w:sz w:val="16"/>
                <w:szCs w:val="16"/>
                <w:color w:val="auto"/>
              </w:rPr>
              <w:t>Common stock, authorized, 225,000,000 shares without par; issued and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60" w:type="dxa"/>
            <w:vAlign w:val="bottom"/>
          </w:tcPr>
          <w:p>
            <w:pPr>
              <w:ind w:left="300"/>
              <w:spacing w:after="0"/>
              <w:rPr>
                <w:sz w:val="20"/>
                <w:szCs w:val="20"/>
                <w:color w:val="auto"/>
              </w:rPr>
            </w:pPr>
            <w:r>
              <w:rPr>
                <w:rFonts w:ascii="Arial" w:cs="Arial" w:eastAsia="Arial" w:hAnsi="Arial"/>
                <w:sz w:val="16"/>
                <w:szCs w:val="16"/>
                <w:color w:val="auto"/>
              </w:rPr>
              <w:t>outstanding 139,343,284 at June 30, 2023, and 139,818,703 at December 31, 2022</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1,284,150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1,300,466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1,062,093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1,002,847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60"/>
              <w:spacing w:after="0"/>
              <w:rPr>
                <w:sz w:val="20"/>
                <w:szCs w:val="20"/>
                <w:color w:val="auto"/>
              </w:rPr>
            </w:pPr>
            <w:r>
              <w:rPr>
                <w:rFonts w:ascii="Arial" w:cs="Arial" w:eastAsia="Arial" w:hAnsi="Arial"/>
                <w:sz w:val="16"/>
                <w:szCs w:val="16"/>
                <w:color w:val="auto"/>
              </w:rPr>
              <w:t>Accumulated other comprehensive loss, net of tax</w:t>
            </w:r>
          </w:p>
        </w:tc>
        <w:tc>
          <w:tcPr>
            <w:tcW w:w="2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(344,876 )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(354,796 )</w:t>
            </w:r>
          </w:p>
        </w:tc>
        <w:tc>
          <w:tcPr>
            <w:tcW w:w="0" w:type="dxa"/>
            <w:vAlign w:val="bottom"/>
          </w:tcPr>
          <w:p>
            <w:pPr>
              <w:spacing w:after="0"/>
              <w:rPr>
                <w:sz w:val="1"/>
                <w:szCs w:val="1"/>
                <w:color w:val="auto"/>
              </w:rPr>
            </w:pPr>
          </w:p>
        </w:tc>
      </w:tr>
      <w:tr>
        <w:trPr>
          <w:trHeight w:val="205"/>
        </w:trPr>
        <w:tc>
          <w:tcPr>
            <w:tcW w:w="726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2,001,367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1,948,517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60" w:type="dxa"/>
            <w:vAlign w:val="bottom"/>
          </w:tcPr>
          <w:p>
            <w:pPr>
              <w:ind w:left="82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16,484,544</w:t>
            </w:r>
          </w:p>
        </w:tc>
        <w:tc>
          <w:tcPr>
            <w:tcW w:w="10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16,476,540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w:t>
      </w:r>
    </w:p>
    <w:p>
      <w:pPr>
        <w:sectPr>
          <w:pgSz w:w="11900" w:h="16840" w:orient="portrait"/>
          <w:cols w:equalWidth="0" w:num="1">
            <w:col w:w="10640"/>
          </w:cols>
          <w:pgMar w:left="580" w:top="782" w:right="68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CVB FINANCIAL CORP.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EARNINGS AND COMPREHENSIVE INCOME</w:t>
      </w:r>
    </w:p>
    <w:p>
      <w:pPr>
        <w:jc w:val="center"/>
        <w:ind w:right="-19"/>
        <w:spacing w:after="0"/>
        <w:rPr>
          <w:sz w:val="20"/>
          <w:szCs w:val="20"/>
          <w:color w:val="auto"/>
        </w:rPr>
      </w:pPr>
      <w:r>
        <w:rPr>
          <w:rFonts w:ascii="Arial" w:cs="Arial" w:eastAsia="Arial" w:hAnsi="Arial"/>
          <w:sz w:val="14"/>
          <w:szCs w:val="14"/>
          <w:i w:val="1"/>
          <w:iCs w:val="1"/>
          <w:color w:val="auto"/>
        </w:rPr>
        <w:t>(Dollars 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w w:val="96"/>
              </w:rPr>
              <w:t>Six Months Ended</w:t>
            </w:r>
          </w:p>
        </w:tc>
        <w:tc>
          <w:tcPr>
            <w:tcW w:w="0" w:type="dxa"/>
            <w:vAlign w:val="bottom"/>
          </w:tcPr>
          <w:p>
            <w:pPr>
              <w:spacing w:after="0"/>
              <w:rPr>
                <w:sz w:val="1"/>
                <w:szCs w:val="1"/>
                <w:color w:val="auto"/>
              </w:rPr>
            </w:pPr>
          </w:p>
        </w:tc>
      </w:tr>
      <w:tr>
        <w:trPr>
          <w:trHeight w:val="204"/>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07"/>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2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0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0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80" w:type="dxa"/>
            <w:vAlign w:val="bottom"/>
          </w:tcPr>
          <w:p>
            <w:pPr>
              <w:ind w:left="180"/>
              <w:spacing w:after="0"/>
              <w:rPr>
                <w:sz w:val="20"/>
                <w:szCs w:val="20"/>
                <w:color w:val="auto"/>
              </w:rPr>
            </w:pPr>
            <w:r>
              <w:rPr>
                <w:rFonts w:ascii="Arial" w:cs="Arial" w:eastAsia="Arial" w:hAnsi="Arial"/>
                <w:sz w:val="16"/>
                <w:szCs w:val="16"/>
                <w:b w:val="1"/>
                <w:bCs w:val="1"/>
                <w:color w:val="auto"/>
              </w:rPr>
              <w:t>Loans and leases, including fees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110,990</w:t>
            </w:r>
          </w:p>
        </w:tc>
        <w:tc>
          <w:tcPr>
            <w:tcW w:w="12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92,770</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219,384</w:t>
            </w:r>
          </w:p>
        </w:tc>
        <w:tc>
          <w:tcPr>
            <w:tcW w:w="8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182,231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40"/>
              <w:spacing w:after="0"/>
              <w:rPr>
                <w:sz w:val="20"/>
                <w:szCs w:val="20"/>
                <w:color w:val="auto"/>
              </w:rPr>
            </w:pPr>
            <w:r>
              <w:rPr>
                <w:rFonts w:ascii="Arial" w:cs="Arial" w:eastAsia="Arial" w:hAnsi="Arial"/>
                <w:sz w:val="16"/>
                <w:szCs w:val="16"/>
                <w:color w:val="auto"/>
              </w:rPr>
              <w:t>Investment securities available-for-sale</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38,952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29,874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Investment securities held-to-maturity</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27,696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80" w:type="dxa"/>
            <w:vAlign w:val="bottom"/>
          </w:tcPr>
          <w:p>
            <w:pPr>
              <w:ind w:left="500"/>
              <w:spacing w:after="0"/>
              <w:rPr>
                <w:sz w:val="20"/>
                <w:szCs w:val="20"/>
                <w:color w:val="auto"/>
              </w:rPr>
            </w:pPr>
            <w:r>
              <w:rPr>
                <w:rFonts w:ascii="Arial" w:cs="Arial" w:eastAsia="Arial" w:hAnsi="Arial"/>
                <w:sz w:val="16"/>
                <w:szCs w:val="16"/>
                <w:b w:val="1"/>
                <w:bCs w:val="1"/>
                <w:color w:val="auto"/>
              </w:rPr>
              <w:t>Total investment income</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33,096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28,756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66,648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52,251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Dividends from FHLB stock</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Interest-earning deposits with other institutions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500"/>
              <w:spacing w:after="0"/>
              <w:rPr>
                <w:sz w:val="20"/>
                <w:szCs w:val="20"/>
                <w:color w:val="auto"/>
              </w:rPr>
            </w:pPr>
            <w:r>
              <w:rPr>
                <w:rFonts w:ascii="Arial" w:cs="Arial" w:eastAsia="Arial" w:hAnsi="Arial"/>
                <w:sz w:val="16"/>
                <w:szCs w:val="16"/>
                <w:b w:val="1"/>
                <w:bCs w:val="1"/>
                <w:color w:val="auto"/>
              </w:rPr>
              <w:t>Total interest income</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149,239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123,262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292,025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237,362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Deposits</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Borrowings and customer repurchase agreements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18,939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30,632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500"/>
              <w:spacing w:after="0"/>
              <w:rPr>
                <w:sz w:val="20"/>
                <w:szCs w:val="20"/>
                <w:color w:val="auto"/>
              </w:rPr>
            </w:pPr>
            <w:r>
              <w:rPr>
                <w:rFonts w:ascii="Arial" w:cs="Arial" w:eastAsia="Arial" w:hAnsi="Arial"/>
                <w:sz w:val="16"/>
                <w:szCs w:val="16"/>
                <w:b w:val="1"/>
                <w:bCs w:val="1"/>
                <w:color w:val="auto"/>
              </w:rPr>
              <w:t>Total interest expense</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29,704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46,762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Net interest income before provision for credit losses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119,535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121,940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245,263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234,780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22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3,600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6,100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480" w:type="dxa"/>
            <w:vAlign w:val="bottom"/>
          </w:tcPr>
          <w:p>
            <w:pPr>
              <w:ind w:left="180"/>
              <w:spacing w:after="0"/>
              <w:rPr>
                <w:sz w:val="20"/>
                <w:szCs w:val="20"/>
                <w:color w:val="auto"/>
              </w:rPr>
            </w:pPr>
            <w:r>
              <w:rPr>
                <w:rFonts w:ascii="Arial" w:cs="Arial" w:eastAsia="Arial" w:hAnsi="Arial"/>
                <w:sz w:val="16"/>
                <w:szCs w:val="16"/>
                <w:b w:val="1"/>
                <w:bCs w:val="1"/>
                <w:color w:val="auto"/>
              </w:rPr>
              <w:t>Net interest income after provision for credit losses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119,035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118,340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243,263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228,680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income:</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Service charges on deposit accounts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Trust and investment services</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Bankcard services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BOLI income</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Gain on sale of building, net</w:t>
            </w:r>
          </w:p>
        </w:tc>
        <w:tc>
          <w:tcPr>
            <w:tcW w:w="2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80" w:type="dxa"/>
            <w:vAlign w:val="bottom"/>
          </w:tcPr>
          <w:p>
            <w:pPr>
              <w:ind w:left="500"/>
              <w:spacing w:after="0"/>
              <w:rPr>
                <w:sz w:val="20"/>
                <w:szCs w:val="20"/>
                <w:color w:val="auto"/>
              </w:rPr>
            </w:pPr>
            <w:r>
              <w:rPr>
                <w:rFonts w:ascii="Arial" w:cs="Arial" w:eastAsia="Arial" w:hAnsi="Arial"/>
                <w:sz w:val="16"/>
                <w:szCs w:val="16"/>
                <w:b w:val="1"/>
                <w:bCs w:val="1"/>
                <w:color w:val="auto"/>
              </w:rPr>
              <w:t>Total noninterest income</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25,858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expense:</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Salaries and employee benefits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33,548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31,553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68,795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64,209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Occupancy and equipment</w:t>
            </w:r>
          </w:p>
        </w:tc>
        <w:tc>
          <w:tcPr>
            <w:tcW w:w="22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5,517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5,567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10,967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Computer software expense</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Marketing and promotion</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Provision for unfunded loan commitments</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Acquisition related expenses</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500"/>
              <w:spacing w:after="0"/>
              <w:rPr>
                <w:sz w:val="20"/>
                <w:szCs w:val="20"/>
                <w:color w:val="auto"/>
              </w:rPr>
            </w:pPr>
            <w:r>
              <w:rPr>
                <w:rFonts w:ascii="Arial" w:cs="Arial" w:eastAsia="Arial" w:hAnsi="Arial"/>
                <w:sz w:val="16"/>
                <w:szCs w:val="16"/>
                <w:b w:val="1"/>
                <w:bCs w:val="1"/>
                <w:color w:val="auto"/>
              </w:rPr>
              <w:t>Total noninterest expense</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54,017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50,871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108,898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109,109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77,674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82,139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160,223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145,505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21,904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23,081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45,183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80" w:type="dxa"/>
            <w:vAlign w:val="bottom"/>
          </w:tcPr>
          <w:p>
            <w:pPr>
              <w:ind w:left="180"/>
              <w:spacing w:after="0"/>
              <w:rPr>
                <w:sz w:val="20"/>
                <w:szCs w:val="20"/>
                <w:color w:val="auto"/>
              </w:rPr>
            </w:pPr>
            <w:r>
              <w:rPr>
                <w:rFonts w:ascii="Arial" w:cs="Arial" w:eastAsia="Arial" w:hAnsi="Arial"/>
                <w:sz w:val="16"/>
                <w:szCs w:val="16"/>
                <w:b w:val="1"/>
                <w:bCs w:val="1"/>
                <w:color w:val="auto"/>
              </w:rPr>
              <w:t>Net earnings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55,770</w:t>
            </w:r>
          </w:p>
        </w:tc>
        <w:tc>
          <w:tcPr>
            <w:tcW w:w="12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59,058</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115,040</w:t>
            </w:r>
          </w:p>
        </w:tc>
        <w:tc>
          <w:tcPr>
            <w:tcW w:w="8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104,618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480" w:type="dxa"/>
            <w:vAlign w:val="bottom"/>
          </w:tcPr>
          <w:p>
            <w:pPr>
              <w:ind w:left="180"/>
              <w:spacing w:after="0"/>
              <w:rPr>
                <w:sz w:val="20"/>
                <w:szCs w:val="20"/>
                <w:color w:val="auto"/>
              </w:rPr>
            </w:pPr>
            <w:r>
              <w:rPr>
                <w:rFonts w:ascii="Arial" w:cs="Arial" w:eastAsia="Arial" w:hAnsi="Arial"/>
                <w:sz w:val="16"/>
                <w:szCs w:val="16"/>
                <w:color w:val="auto"/>
              </w:rPr>
              <w:t>Unrealized gain (loss) on securities arising during the period, before tax</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9"/>
              </w:rPr>
              <w:t>(344,80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(34,464 )</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(142,790 )</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6,238</w:t>
            </w:r>
          </w:p>
        </w:tc>
        <w:tc>
          <w:tcPr>
            <w:tcW w:w="8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186"/>
        </w:trPr>
        <w:tc>
          <w:tcPr>
            <w:tcW w:w="64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Less: Income tax (expense) benefit related to items of other</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80" w:type="dxa"/>
            <w:vAlign w:val="bottom"/>
            <w:shd w:val="clear" w:color="auto" w:fill="CFF0FC"/>
          </w:tcPr>
          <w:p>
            <w:pPr>
              <w:ind w:left="460"/>
              <w:spacing w:after="0"/>
              <w:rPr>
                <w:sz w:val="20"/>
                <w:szCs w:val="20"/>
                <w:color w:val="auto"/>
              </w:rPr>
            </w:pPr>
            <w:r>
              <w:rPr>
                <w:rFonts w:ascii="Arial" w:cs="Arial" w:eastAsia="Arial" w:hAnsi="Arial"/>
                <w:sz w:val="16"/>
                <w:szCs w:val="16"/>
                <w:color w:val="auto"/>
              </w:rPr>
              <w:t>comprehensive income</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42,213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(4,164)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101,938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480" w:type="dxa"/>
            <w:vAlign w:val="bottom"/>
          </w:tcPr>
          <w:p>
            <w:pPr>
              <w:ind w:left="180"/>
              <w:spacing w:after="0"/>
              <w:rPr>
                <w:sz w:val="20"/>
                <w:szCs w:val="20"/>
                <w:color w:val="auto"/>
              </w:rPr>
            </w:pPr>
            <w:r>
              <w:rPr>
                <w:rFonts w:ascii="Arial" w:cs="Arial" w:eastAsia="Arial" w:hAnsi="Arial"/>
                <w:sz w:val="16"/>
                <w:szCs w:val="16"/>
                <w:color w:val="auto"/>
              </w:rPr>
              <w:t>Unrealized gain (loss) on derivatives designated as hedging instruments arising during</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80" w:type="dxa"/>
            <w:vAlign w:val="bottom"/>
          </w:tcPr>
          <w:p>
            <w:pPr>
              <w:ind w:left="180"/>
              <w:spacing w:after="0"/>
              <w:rPr>
                <w:sz w:val="20"/>
                <w:szCs w:val="20"/>
                <w:color w:val="auto"/>
              </w:rPr>
            </w:pPr>
            <w:r>
              <w:rPr>
                <w:rFonts w:ascii="Arial" w:cs="Arial" w:eastAsia="Arial" w:hAnsi="Arial"/>
                <w:sz w:val="16"/>
                <w:szCs w:val="16"/>
                <w:color w:val="auto"/>
              </w:rPr>
              <w:t>the period</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6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(242,87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(18,749 )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(100,577 )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85"/>
        </w:trPr>
        <w:tc>
          <w:tcPr>
            <w:tcW w:w="648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9"/>
              </w:rPr>
              <w:t>(138,25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37,021</w:t>
            </w:r>
          </w:p>
        </w:tc>
        <w:tc>
          <w:tcPr>
            <w:tcW w:w="12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(41,519 )</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124,960</w:t>
            </w:r>
          </w:p>
        </w:tc>
        <w:tc>
          <w:tcPr>
            <w:tcW w:w="8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Basic earnings per common share</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0.83</w:t>
            </w:r>
          </w:p>
        </w:tc>
        <w:tc>
          <w:tcPr>
            <w:tcW w:w="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80" w:type="dxa"/>
            <w:vAlign w:val="bottom"/>
          </w:tcPr>
          <w:p>
            <w:pPr>
              <w:ind w:left="60"/>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0.82</w:t>
            </w:r>
          </w:p>
        </w:tc>
        <w:tc>
          <w:tcPr>
            <w:tcW w:w="8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40" w:orient="portrait"/>
          <w:cols w:equalWidth="0" w:num="1">
            <w:col w:w="10560"/>
          </w:cols>
          <w:pgMar w:left="660" w:top="782" w:right="68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CVB FINANCIAL CORP.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(Dollars and shares 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June 30,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Retained Earnings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Income (Loss)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April 1, 2023</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139,302</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1,281,786</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3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1,034,110</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(326,127 )</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1,989,769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Repurchase of common stock</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(15 )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2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Exercise of stock options</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Shares issued pursuant to stock-based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260" w:type="dxa"/>
            <w:vAlign w:val="bottom"/>
          </w:tcPr>
          <w:p>
            <w:pPr>
              <w:ind w:left="360"/>
              <w:spacing w:after="0"/>
              <w:rPr>
                <w:sz w:val="20"/>
                <w:szCs w:val="20"/>
                <w:color w:val="auto"/>
              </w:rPr>
            </w:pPr>
            <w:r>
              <w:rPr>
                <w:rFonts w:ascii="Arial" w:cs="Arial" w:eastAsia="Arial" w:hAnsi="Arial"/>
                <w:sz w:val="13"/>
                <w:szCs w:val="13"/>
                <w:color w:val="auto"/>
              </w:rPr>
              <w:t>compensation plan</w:t>
            </w:r>
          </w:p>
        </w:tc>
        <w:tc>
          <w:tcPr>
            <w:tcW w:w="106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2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dividends declared on common stock</w:t>
            </w: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2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($0.20 per share)</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(27,787 )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(27,787 )</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Net earnings</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55,770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55,770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2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comprehensive income</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(18,749 )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(18,749 )</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3"/>
                <w:szCs w:val="13"/>
                <w:b w:val="1"/>
                <w:bCs w:val="1"/>
                <w:color w:val="auto"/>
              </w:rPr>
              <w:t>Balance, June 30, 2023</w:t>
            </w:r>
          </w:p>
        </w:tc>
        <w:tc>
          <w:tcPr>
            <w:tcW w:w="1060" w:type="dxa"/>
            <w:vAlign w:val="bottom"/>
          </w:tcPr>
          <w:p>
            <w:pPr>
              <w:jc w:val="right"/>
              <w:spacing w:after="0"/>
              <w:rPr>
                <w:sz w:val="20"/>
                <w:szCs w:val="20"/>
                <w:color w:val="auto"/>
              </w:rPr>
            </w:pPr>
            <w:r>
              <w:rPr>
                <w:rFonts w:ascii="Arial" w:cs="Arial" w:eastAsia="Arial" w:hAnsi="Arial"/>
                <w:sz w:val="13"/>
                <w:szCs w:val="13"/>
                <w:color w:val="auto"/>
              </w:rPr>
              <w:t>139,343</w:t>
            </w:r>
          </w:p>
        </w:tc>
        <w:tc>
          <w:tcPr>
            <w:tcW w:w="1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1,284,150</w:t>
            </w:r>
          </w:p>
        </w:tc>
        <w:tc>
          <w:tcPr>
            <w:tcW w:w="100" w:type="dxa"/>
            <w:vAlign w:val="bottom"/>
          </w:tcPr>
          <w:p>
            <w:pPr>
              <w:spacing w:after="0"/>
              <w:rPr>
                <w:sz w:val="15"/>
                <w:szCs w:val="15"/>
                <w:color w:val="auto"/>
              </w:rPr>
            </w:pPr>
          </w:p>
        </w:tc>
        <w:tc>
          <w:tcPr>
            <w:tcW w:w="540" w:type="dxa"/>
            <w:vAlign w:val="bottom"/>
            <w:gridSpan w:val="2"/>
          </w:tcPr>
          <w:p>
            <w:pPr>
              <w:jc w:val="right"/>
              <w:ind w:right="23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1,062,093</w:t>
            </w:r>
          </w:p>
        </w:tc>
        <w:tc>
          <w:tcPr>
            <w:tcW w:w="120" w:type="dxa"/>
            <w:vAlign w:val="bottom"/>
          </w:tcPr>
          <w:p>
            <w:pPr>
              <w:spacing w:after="0"/>
              <w:rPr>
                <w:sz w:val="15"/>
                <w:szCs w:val="15"/>
                <w:color w:val="auto"/>
              </w:rPr>
            </w:pP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(344,876 )</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2,001,367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240" w:type="dxa"/>
            <w:vAlign w:val="bottom"/>
            <w:gridSpan w:val="2"/>
          </w:tcPr>
          <w:p>
            <w:pPr>
              <w:spacing w:after="0"/>
              <w:rPr>
                <w:sz w:val="13"/>
                <w:szCs w:val="13"/>
                <w:color w:val="auto"/>
              </w:rPr>
            </w:pPr>
          </w:p>
        </w:tc>
        <w:tc>
          <w:tcPr>
            <w:tcW w:w="42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April 1, 2022</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141,626</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1,325,644</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3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895,661</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(146,262 )</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2,075,043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Repurchase of common stock</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(1,148 )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(26,821 )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(26,821 )</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2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Repurchase of common stock, ASR Plan</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(450 )</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2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Shares issued pursuant to stock-based</w:t>
            </w: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2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compensation plan</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(16 )</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Cash dividends declared on common stock</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260" w:type="dxa"/>
            <w:vAlign w:val="bottom"/>
          </w:tcPr>
          <w:p>
            <w:pPr>
              <w:ind w:left="360"/>
              <w:spacing w:after="0"/>
              <w:rPr>
                <w:sz w:val="20"/>
                <w:szCs w:val="20"/>
                <w:color w:val="auto"/>
              </w:rPr>
            </w:pPr>
            <w:r>
              <w:rPr>
                <w:rFonts w:ascii="Arial" w:cs="Arial" w:eastAsia="Arial" w:hAnsi="Arial"/>
                <w:sz w:val="13"/>
                <w:szCs w:val="13"/>
                <w:color w:val="auto"/>
              </w:rPr>
              <w:t>($0.19 per share)</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(26,719 )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(26,719 )</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2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earnings</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59,058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59,058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260" w:type="dxa"/>
            <w:vAlign w:val="bottom"/>
            <w:vMerge w:val="restart"/>
          </w:tcPr>
          <w:p>
            <w:pPr>
              <w:ind w:left="240"/>
              <w:spacing w:after="0"/>
              <w:rPr>
                <w:sz w:val="20"/>
                <w:szCs w:val="20"/>
                <w:color w:val="auto"/>
              </w:rPr>
            </w:pPr>
            <w:r>
              <w:rPr>
                <w:rFonts w:ascii="Arial" w:cs="Arial" w:eastAsia="Arial" w:hAnsi="Arial"/>
                <w:sz w:val="13"/>
                <w:szCs w:val="13"/>
                <w:color w:val="auto"/>
              </w:rPr>
              <w:t>Other comprehensive loss</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rPr>
              <w:t>(100,577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Arial" w:cs="Arial" w:eastAsia="Arial" w:hAnsi="Arial"/>
                <w:sz w:val="13"/>
                <w:szCs w:val="13"/>
                <w:color w:val="auto"/>
              </w:rPr>
              <w:t>(100,577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June 30, 2022</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140,026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1,301,050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34"/>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928,000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(246,839 )</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1,982,211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rPr>
              <w:t>Six Months Ended June 30, 2023 and 2022</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Common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Outstanding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5"/>
                <w:szCs w:val="15"/>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Income (Loss)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January 1, 2023</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139,819</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1,300,466</w:t>
            </w: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34"/>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1,002,847</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(354,796 )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1,948,517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60"/>
              <w:spacing w:after="0"/>
              <w:rPr>
                <w:sz w:val="20"/>
                <w:szCs w:val="20"/>
                <w:color w:val="auto"/>
              </w:rPr>
            </w:pPr>
            <w:r>
              <w:rPr>
                <w:rFonts w:ascii="Arial" w:cs="Arial" w:eastAsia="Arial" w:hAnsi="Arial"/>
                <w:sz w:val="13"/>
                <w:szCs w:val="13"/>
                <w:color w:val="auto"/>
              </w:rPr>
              <w:t>Repurchase of common stock</w:t>
            </w:r>
          </w:p>
        </w:tc>
        <w:tc>
          <w:tcPr>
            <w:tcW w:w="1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(919 )</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3"/>
                <w:szCs w:val="13"/>
                <w:color w:val="auto"/>
              </w:rPr>
              <w:t>(21,051 )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(21,051 )</w:t>
            </w:r>
          </w:p>
        </w:tc>
        <w:tc>
          <w:tcPr>
            <w:tcW w:w="0" w:type="dxa"/>
            <w:vAlign w:val="bottom"/>
          </w:tcPr>
          <w:p>
            <w:pPr>
              <w:spacing w:after="0"/>
              <w:rPr>
                <w:sz w:val="1"/>
                <w:szCs w:val="1"/>
                <w:color w:val="auto"/>
              </w:rPr>
            </w:pPr>
          </w:p>
        </w:tc>
      </w:tr>
      <w:tr>
        <w:trPr>
          <w:trHeight w:val="185"/>
        </w:trPr>
        <w:tc>
          <w:tcPr>
            <w:tcW w:w="3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60" w:type="dxa"/>
            <w:vAlign w:val="bottom"/>
          </w:tcPr>
          <w:p>
            <w:pPr>
              <w:ind w:left="260"/>
              <w:spacing w:after="0"/>
              <w:rPr>
                <w:sz w:val="20"/>
                <w:szCs w:val="20"/>
                <w:color w:val="auto"/>
              </w:rPr>
            </w:pPr>
            <w:r>
              <w:rPr>
                <w:rFonts w:ascii="Arial" w:cs="Arial" w:eastAsia="Arial" w:hAnsi="Arial"/>
                <w:sz w:val="13"/>
                <w:szCs w:val="13"/>
                <w:color w:val="auto"/>
              </w:rPr>
              <w:t>Shares issued pursuant to stock-based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360"/>
              <w:spacing w:after="0"/>
              <w:rPr>
                <w:sz w:val="20"/>
                <w:szCs w:val="20"/>
                <w:color w:val="auto"/>
              </w:rPr>
            </w:pPr>
            <w:r>
              <w:rPr>
                <w:rFonts w:ascii="Arial" w:cs="Arial" w:eastAsia="Arial" w:hAnsi="Arial"/>
                <w:sz w:val="13"/>
                <w:szCs w:val="13"/>
                <w:color w:val="auto"/>
              </w:rPr>
              <w:t>compensation plan</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4,662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 declared on common stock</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($0.40 per share)</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(55,794 )</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(55,794 )</w:t>
            </w:r>
          </w:p>
        </w:tc>
        <w:tc>
          <w:tcPr>
            <w:tcW w:w="0" w:type="dxa"/>
            <w:vAlign w:val="bottom"/>
          </w:tcPr>
          <w:p>
            <w:pPr>
              <w:spacing w:after="0"/>
              <w:rPr>
                <w:sz w:val="1"/>
                <w:szCs w:val="1"/>
                <w:color w:val="auto"/>
              </w:rPr>
            </w:pPr>
          </w:p>
        </w:tc>
      </w:tr>
      <w:tr>
        <w:trPr>
          <w:trHeight w:val="175"/>
        </w:trPr>
        <w:tc>
          <w:tcPr>
            <w:tcW w:w="3360" w:type="dxa"/>
            <w:vAlign w:val="bottom"/>
          </w:tcPr>
          <w:p>
            <w:pPr>
              <w:ind w:left="260"/>
              <w:spacing w:after="0"/>
              <w:rPr>
                <w:sz w:val="20"/>
                <w:szCs w:val="20"/>
                <w:color w:val="auto"/>
              </w:rPr>
            </w:pPr>
            <w:r>
              <w:rPr>
                <w:rFonts w:ascii="Arial" w:cs="Arial" w:eastAsia="Arial" w:hAnsi="Arial"/>
                <w:sz w:val="13"/>
                <w:szCs w:val="13"/>
                <w:color w:val="auto"/>
              </w:rPr>
              <w:t>Net earnings</w:t>
            </w:r>
          </w:p>
        </w:tc>
        <w:tc>
          <w:tcPr>
            <w:tcW w:w="1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115,040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115,040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comprehensive loss</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Balance, June 30, 2023</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139,343</w:t>
            </w:r>
          </w:p>
        </w:tc>
        <w:tc>
          <w:tcPr>
            <w:tcW w:w="10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1,284,150</w:t>
            </w:r>
          </w:p>
        </w:tc>
        <w:tc>
          <w:tcPr>
            <w:tcW w:w="120" w:type="dxa"/>
            <w:vAlign w:val="bottom"/>
          </w:tcPr>
          <w:p>
            <w:pPr>
              <w:spacing w:after="0"/>
              <w:rPr>
                <w:sz w:val="15"/>
                <w:szCs w:val="15"/>
                <w:color w:val="auto"/>
              </w:rPr>
            </w:pPr>
          </w:p>
        </w:tc>
        <w:tc>
          <w:tcPr>
            <w:tcW w:w="540" w:type="dxa"/>
            <w:vAlign w:val="bottom"/>
            <w:gridSpan w:val="2"/>
          </w:tcPr>
          <w:p>
            <w:pPr>
              <w:jc w:val="right"/>
              <w:ind w:right="2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1,062,093</w:t>
            </w:r>
          </w:p>
        </w:tc>
        <w:tc>
          <w:tcPr>
            <w:tcW w:w="80" w:type="dxa"/>
            <w:vAlign w:val="bottom"/>
          </w:tcPr>
          <w:p>
            <w:pPr>
              <w:spacing w:after="0"/>
              <w:rPr>
                <w:sz w:val="15"/>
                <w:szCs w:val="15"/>
                <w:color w:val="auto"/>
              </w:rPr>
            </w:pPr>
          </w:p>
        </w:tc>
        <w:tc>
          <w:tcPr>
            <w:tcW w:w="2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(344,876 )</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2,001,367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220" w:type="dxa"/>
            <w:vAlign w:val="bottom"/>
            <w:gridSpan w:val="2"/>
          </w:tcPr>
          <w:p>
            <w:pPr>
              <w:spacing w:after="0"/>
              <w:rPr>
                <w:sz w:val="13"/>
                <w:szCs w:val="13"/>
                <w:color w:val="auto"/>
              </w:rPr>
            </w:pPr>
          </w:p>
        </w:tc>
        <w:tc>
          <w:tcPr>
            <w:tcW w:w="4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January 1, 2022</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135,526</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1,209,903</w:t>
            </w: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34"/>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875,568</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(3,968 )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2,081,503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360" w:type="dxa"/>
            <w:vAlign w:val="bottom"/>
          </w:tcPr>
          <w:p>
            <w:pPr>
              <w:ind w:left="260"/>
              <w:spacing w:after="0"/>
              <w:rPr>
                <w:sz w:val="20"/>
                <w:szCs w:val="20"/>
                <w:color w:val="auto"/>
              </w:rPr>
            </w:pPr>
            <w:r>
              <w:rPr>
                <w:rFonts w:ascii="Arial" w:cs="Arial" w:eastAsia="Arial" w:hAnsi="Arial"/>
                <w:sz w:val="13"/>
                <w:szCs w:val="13"/>
                <w:color w:val="auto"/>
              </w:rPr>
              <w:t>Issuance of common stock for acquisition of</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3"/>
                <w:szCs w:val="13"/>
                <w:color w:val="auto"/>
              </w:rPr>
              <w:t>Suncrest Bank</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197,069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197,069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common stock</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(1,732 )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(40,464 )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(40,464 )</w:t>
            </w:r>
          </w:p>
        </w:tc>
        <w:tc>
          <w:tcPr>
            <w:tcW w:w="0" w:type="dxa"/>
            <w:vAlign w:val="bottom"/>
          </w:tcPr>
          <w:p>
            <w:pPr>
              <w:spacing w:after="0"/>
              <w:rPr>
                <w:sz w:val="1"/>
                <w:szCs w:val="1"/>
                <w:color w:val="auto"/>
              </w:rPr>
            </w:pPr>
          </w:p>
        </w:tc>
      </w:tr>
      <w:tr>
        <w:trPr>
          <w:trHeight w:val="175"/>
        </w:trPr>
        <w:tc>
          <w:tcPr>
            <w:tcW w:w="3360" w:type="dxa"/>
            <w:vAlign w:val="bottom"/>
          </w:tcPr>
          <w:p>
            <w:pPr>
              <w:ind w:left="260"/>
              <w:spacing w:after="0"/>
              <w:rPr>
                <w:sz w:val="20"/>
                <w:szCs w:val="20"/>
                <w:color w:val="auto"/>
              </w:rPr>
            </w:pPr>
            <w:r>
              <w:rPr>
                <w:rFonts w:ascii="Arial" w:cs="Arial" w:eastAsia="Arial" w:hAnsi="Arial"/>
                <w:sz w:val="13"/>
                <w:szCs w:val="13"/>
                <w:color w:val="auto"/>
              </w:rPr>
              <w:t>Repurchase of common stock, ASR Plan</w:t>
            </w:r>
          </w:p>
        </w:tc>
        <w:tc>
          <w:tcPr>
            <w:tcW w:w="1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(2,994 )</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3"/>
                <w:szCs w:val="13"/>
                <w:color w:val="auto"/>
              </w:rPr>
              <w:t>(70,000 )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(70,000 )</w:t>
            </w:r>
          </w:p>
        </w:tc>
        <w:tc>
          <w:tcPr>
            <w:tcW w:w="0" w:type="dxa"/>
            <w:vAlign w:val="bottom"/>
          </w:tcPr>
          <w:p>
            <w:pPr>
              <w:spacing w:after="0"/>
              <w:rPr>
                <w:sz w:val="1"/>
                <w:szCs w:val="1"/>
                <w:color w:val="auto"/>
              </w:rPr>
            </w:pPr>
          </w:p>
        </w:tc>
      </w:tr>
      <w:tr>
        <w:trPr>
          <w:trHeight w:val="185"/>
        </w:trPr>
        <w:tc>
          <w:tcPr>
            <w:tcW w:w="3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60" w:type="dxa"/>
            <w:vAlign w:val="bottom"/>
          </w:tcPr>
          <w:p>
            <w:pPr>
              <w:ind w:left="260"/>
              <w:spacing w:after="0"/>
              <w:rPr>
                <w:sz w:val="20"/>
                <w:szCs w:val="20"/>
                <w:color w:val="auto"/>
              </w:rPr>
            </w:pPr>
            <w:r>
              <w:rPr>
                <w:rFonts w:ascii="Arial" w:cs="Arial" w:eastAsia="Arial" w:hAnsi="Arial"/>
                <w:sz w:val="13"/>
                <w:szCs w:val="13"/>
                <w:color w:val="auto"/>
              </w:rPr>
              <w:t>Shares issued pursuant to stock-based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3"/>
                <w:szCs w:val="13"/>
                <w:color w:val="auto"/>
              </w:rPr>
              <w:t>compensation plan</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3,577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 declared on common stock</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($0.37 per share)</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(52,186 )</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(52,186 )</w:t>
            </w:r>
          </w:p>
        </w:tc>
        <w:tc>
          <w:tcPr>
            <w:tcW w:w="0" w:type="dxa"/>
            <w:vAlign w:val="bottom"/>
          </w:tcPr>
          <w:p>
            <w:pPr>
              <w:spacing w:after="0"/>
              <w:rPr>
                <w:sz w:val="1"/>
                <w:szCs w:val="1"/>
                <w:color w:val="auto"/>
              </w:rPr>
            </w:pPr>
          </w:p>
        </w:tc>
      </w:tr>
      <w:tr>
        <w:trPr>
          <w:trHeight w:val="175"/>
        </w:trPr>
        <w:tc>
          <w:tcPr>
            <w:tcW w:w="3360" w:type="dxa"/>
            <w:vAlign w:val="bottom"/>
          </w:tcPr>
          <w:p>
            <w:pPr>
              <w:ind w:left="260"/>
              <w:spacing w:after="0"/>
              <w:rPr>
                <w:sz w:val="20"/>
                <w:szCs w:val="20"/>
                <w:color w:val="auto"/>
              </w:rPr>
            </w:pPr>
            <w:r>
              <w:rPr>
                <w:rFonts w:ascii="Arial" w:cs="Arial" w:eastAsia="Arial" w:hAnsi="Arial"/>
                <w:sz w:val="13"/>
                <w:szCs w:val="13"/>
                <w:color w:val="auto"/>
              </w:rPr>
              <w:t>Net earnings</w:t>
            </w:r>
          </w:p>
        </w:tc>
        <w:tc>
          <w:tcPr>
            <w:tcW w:w="1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104,618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104,618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comprehensive loss</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(242,871 )</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(242,871 )</w:t>
            </w:r>
          </w:p>
        </w:tc>
        <w:tc>
          <w:tcPr>
            <w:tcW w:w="0" w:type="dxa"/>
            <w:vAlign w:val="bottom"/>
          </w:tcPr>
          <w:p>
            <w:pPr>
              <w:spacing w:after="0"/>
              <w:rPr>
                <w:sz w:val="1"/>
                <w:szCs w:val="1"/>
                <w:color w:val="auto"/>
              </w:rPr>
            </w:pPr>
          </w:p>
        </w:tc>
      </w:tr>
      <w:tr>
        <w:trPr>
          <w:trHeight w:val="170"/>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Balance, June 30, 2022</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140,026</w:t>
            </w:r>
          </w:p>
        </w:tc>
        <w:tc>
          <w:tcPr>
            <w:tcW w:w="100" w:type="dxa"/>
            <w:vAlign w:val="bottom"/>
          </w:tcPr>
          <w:p>
            <w:pPr>
              <w:spacing w:after="0"/>
              <w:rPr>
                <w:sz w:val="14"/>
                <w:szCs w:val="14"/>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1,301,050</w:t>
            </w:r>
          </w:p>
        </w:tc>
        <w:tc>
          <w:tcPr>
            <w:tcW w:w="120" w:type="dxa"/>
            <w:vAlign w:val="bottom"/>
          </w:tcPr>
          <w:p>
            <w:pPr>
              <w:spacing w:after="0"/>
              <w:rPr>
                <w:sz w:val="14"/>
                <w:szCs w:val="14"/>
                <w:color w:val="auto"/>
              </w:rPr>
            </w:pPr>
          </w:p>
        </w:tc>
        <w:tc>
          <w:tcPr>
            <w:tcW w:w="540" w:type="dxa"/>
            <w:vAlign w:val="bottom"/>
            <w:gridSpan w:val="2"/>
            <w:vMerge w:val="restart"/>
          </w:tcPr>
          <w:p>
            <w:pPr>
              <w:jc w:val="right"/>
              <w:ind w:right="2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928,000</w:t>
            </w:r>
          </w:p>
        </w:tc>
        <w:tc>
          <w:tcPr>
            <w:tcW w:w="80" w:type="dxa"/>
            <w:vAlign w:val="bottom"/>
          </w:tcPr>
          <w:p>
            <w:pPr>
              <w:spacing w:after="0"/>
              <w:rPr>
                <w:sz w:val="14"/>
                <w:szCs w:val="14"/>
                <w:color w:val="auto"/>
              </w:rPr>
            </w:pPr>
          </w:p>
        </w:tc>
        <w:tc>
          <w:tcPr>
            <w:tcW w:w="28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(246,839 )</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1,982,211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3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40" w:orient="portrait"/>
          <w:cols w:equalWidth="0" w:num="1">
            <w:col w:w="10560"/>
          </w:cols>
          <w:pgMar w:left="660" w:top="782" w:right="68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CVB FINANCIAL CORP.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ind w:right="-19"/>
        <w:spacing w:after="0"/>
        <w:rPr>
          <w:sz w:val="20"/>
          <w:szCs w:val="20"/>
          <w:color w:val="auto"/>
        </w:rPr>
      </w:pPr>
      <w:r>
        <w:rPr>
          <w:rFonts w:ascii="Arial" w:cs="Arial" w:eastAsia="Arial" w:hAnsi="Arial"/>
          <w:sz w:val="14"/>
          <w:szCs w:val="14"/>
          <w:i w:val="1"/>
          <w:iCs w:val="1"/>
          <w:color w:val="auto"/>
        </w:rPr>
        <w:t>(Dollars 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Six Months Ended</w:t>
            </w:r>
          </w:p>
        </w:tc>
      </w:t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4"/>
          </w:tcPr>
          <w:p>
            <w:pPr>
              <w:jc w:val="right"/>
              <w:ind w:right="62"/>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204"/>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Interest and dividends received</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297,842</w:t>
            </w:r>
          </w:p>
        </w:tc>
        <w:tc>
          <w:tcPr>
            <w:tcW w:w="100" w:type="dxa"/>
            <w:vAlign w:val="bottom"/>
          </w:tcPr>
          <w:p>
            <w:pPr>
              <w:spacing w:after="0"/>
              <w:rPr>
                <w:sz w:val="17"/>
                <w:szCs w:val="17"/>
                <w:color w:val="auto"/>
              </w:rPr>
            </w:pPr>
          </w:p>
        </w:tc>
        <w:tc>
          <w:tcPr>
            <w:tcW w:w="48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236,887</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Service charges and other fees received</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22,551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22,642</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(41,600 )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(2,373)</w:t>
            </w: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paid to vendors, employees and others</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(116,630 )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(95,770 )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(32,998 )</w:t>
            </w:r>
          </w:p>
        </w:tc>
      </w:tr>
      <w:tr>
        <w:trPr>
          <w:trHeight w:val="205"/>
        </w:trPr>
        <w:tc>
          <w:tcPr>
            <w:tcW w:w="7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162,103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128,388</w:t>
            </w:r>
          </w:p>
        </w:tc>
        <w:tc>
          <w:tcPr>
            <w:tcW w:w="80" w:type="dxa"/>
            <w:vAlign w:val="bottom"/>
            <w:shd w:val="clear" w:color="auto" w:fill="CFF0FC"/>
          </w:tcPr>
          <w:p>
            <w:pPr>
              <w:spacing w:after="0"/>
              <w:rPr>
                <w:sz w:val="17"/>
                <w:szCs w:val="17"/>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proceeds from redemption of FHLB stock, net</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(1,857)</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4,712</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change in interest-earning balances from depository institutions</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(20,925 )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28,617</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repayment of investment securities available-for-sale</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186,106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282,175</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Proceeds from maturity of investment securities available-for-sale</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1,226</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 securities available-for-sale</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(1,092,577 )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Proceeds from repayment and maturity of investment securities held-to-maturity</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45,833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213,907</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 securities held-to-maturity</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(532,474 )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(increase) decrease in equity investments</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(775 )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decrease (increase) in loan and lease finance receivables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176,027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(20,423 )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Proceeds from sale of building, net of selling costs</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8,315</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premises and equipment</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(2,349)</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(2,307)</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Proceeds from BOLI death benefit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3,096</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acquired from acquisition, net of cash paid</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329,001</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381,502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(776,221 )</w:t>
            </w:r>
          </w:p>
        </w:tc>
      </w:tr>
      <w:tr>
        <w:trPr>
          <w:trHeight w:val="205"/>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decrease in other deposits</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(460,134 )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(38,815 )</w:t>
            </w: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increase (decrease) in time deposits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21,410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(47,979 )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increase (decrease) in other borrowings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(2,281)</w:t>
            </w: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decrease in customer repurchase agreements</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(113,058 )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(139,559 )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Cash dividends on common stock</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(55,951 )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(49,873 )</w:t>
            </w:r>
          </w:p>
        </w:tc>
      </w:tr>
      <w:tr>
        <w:trPr>
          <w:trHeight w:val="221"/>
        </w:trPr>
        <w:tc>
          <w:tcPr>
            <w:tcW w:w="7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Repurchase of common stock</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(21,051 )</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(40,464 )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Repurchase of common stock, ASR Plan</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(70,000 )</w:t>
            </w: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965</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(128,711 )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(388,006 )</w:t>
            </w:r>
          </w:p>
        </w:tc>
      </w:tr>
      <w:tr>
        <w:trPr>
          <w:trHeight w:val="205"/>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414,894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(1,035,839 )</w:t>
            </w:r>
          </w:p>
        </w:tc>
      </w:tr>
      <w:tr>
        <w:trPr>
          <w:trHeight w:val="408"/>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203,461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1,732,548</w:t>
            </w:r>
          </w:p>
        </w:tc>
        <w:tc>
          <w:tcPr>
            <w:tcW w:w="80" w:type="dxa"/>
            <w:vAlign w:val="bottom"/>
          </w:tcPr>
          <w:p>
            <w:pPr>
              <w:spacing w:after="0"/>
              <w:rPr>
                <w:sz w:val="24"/>
                <w:szCs w:val="24"/>
                <w:color w:val="auto"/>
              </w:rPr>
            </w:pPr>
          </w:p>
        </w:tc>
      </w:tr>
      <w:tr>
        <w:trPr>
          <w:trHeight w:val="244"/>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618,355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696,709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40" w:orient="portrait"/>
          <w:cols w:equalWidth="0" w:num="1">
            <w:col w:w="10560"/>
          </w:cols>
          <w:pgMar w:left="660" w:top="782" w:right="68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CVB FINANCIAL CORP.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jc w:val="center"/>
        <w:ind w:right="-19"/>
        <w:spacing w:after="0"/>
        <w:rPr>
          <w:sz w:val="20"/>
          <w:szCs w:val="20"/>
          <w:color w:val="auto"/>
        </w:rPr>
      </w:pPr>
      <w:r>
        <w:rPr>
          <w:rFonts w:ascii="Arial" w:cs="Arial" w:eastAsia="Arial" w:hAnsi="Arial"/>
          <w:sz w:val="14"/>
          <w:szCs w:val="14"/>
          <w:i w:val="1"/>
          <w:iCs w:val="1"/>
          <w:color w:val="auto"/>
        </w:rPr>
        <w:t>(Dollars 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Six Months Ended</w:t>
            </w:r>
          </w:p>
        </w:tc>
      </w:t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204"/>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Reconciliation of Net Earnings to Net Cash Provided by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115,040</w:t>
            </w:r>
          </w:p>
        </w:tc>
        <w:tc>
          <w:tcPr>
            <w:tcW w:w="10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104,618</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Gain on sale of building, net</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(2,717)</w:t>
            </w: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Increase in BOLI</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(3,286)</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(1,952)</w:t>
            </w: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Net amortization of premiums and discounts on investment securities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15,353</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Accretion of discount for acquired loans, net</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(2,035)</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(3,693)</w:t>
            </w: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Provision for credit losses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6,100</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Provision for unfunded loan commitments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3,577</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Depreciation and amortization, net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5,749</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Change in other assets and liabilities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1,353</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adjustments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47,063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23,770</w:t>
            </w:r>
          </w:p>
        </w:tc>
        <w:tc>
          <w:tcPr>
            <w:tcW w:w="80" w:type="dxa"/>
            <w:vAlign w:val="bottom"/>
            <w:shd w:val="clear" w:color="auto" w:fill="CFF0FC"/>
          </w:tcPr>
          <w:p>
            <w:pPr>
              <w:spacing w:after="0"/>
              <w:rPr>
                <w:sz w:val="17"/>
                <w:szCs w:val="17"/>
                <w:color w:val="auto"/>
              </w:rPr>
            </w:pPr>
          </w:p>
        </w:tc>
      </w:tr>
      <w:tr>
        <w:trPr>
          <w:trHeight w:val="204"/>
        </w:trPr>
        <w:tc>
          <w:tcPr>
            <w:tcW w:w="7740" w:type="dxa"/>
            <w:vAlign w:val="bottom"/>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162,103</w:t>
            </w:r>
          </w:p>
        </w:tc>
        <w:tc>
          <w:tcPr>
            <w:tcW w:w="10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128,388</w:t>
            </w:r>
          </w:p>
        </w:tc>
        <w:tc>
          <w:tcPr>
            <w:tcW w:w="8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Investing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180"/>
              <w:spacing w:after="0"/>
              <w:rPr>
                <w:sz w:val="20"/>
                <w:szCs w:val="20"/>
                <w:color w:val="auto"/>
              </w:rPr>
            </w:pPr>
            <w:r>
              <w:rPr>
                <w:rFonts w:ascii="Arial" w:cs="Arial" w:eastAsia="Arial" w:hAnsi="Arial"/>
                <w:sz w:val="16"/>
                <w:szCs w:val="16"/>
                <w:color w:val="auto"/>
              </w:rPr>
              <w:t>Securities purchased and not settled</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80,230</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Issuance of common stock for acquisition</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197,069</w:t>
            </w:r>
          </w:p>
        </w:tc>
        <w:tc>
          <w:tcPr>
            <w:tcW w:w="80" w:type="dxa"/>
            <w:vAlign w:val="bottom"/>
            <w:shd w:val="clear" w:color="auto" w:fill="CFF0FC"/>
          </w:tcPr>
          <w:p>
            <w:pPr>
              <w:spacing w:after="0"/>
              <w:rPr>
                <w:sz w:val="17"/>
                <w:szCs w:val="17"/>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40" w:orient="portrait"/>
          <w:cols w:equalWidth="0" w:num="1">
            <w:col w:w="10560"/>
          </w:cols>
          <w:pgMar w:left="660" w:top="782" w:right="680" w:bottom="1440" w:gutter="0" w:footer="0" w:header="0"/>
        </w:sectPr>
      </w:pPr>
    </w:p>
    <w:bookmarkStart w:id="8" w:name="page9"/>
    <w:bookmarkEnd w:id="8"/>
    <w:p>
      <w:pPr>
        <w:jc w:val="center"/>
        <w:ind w:right="80"/>
        <w:spacing w:after="0" w:line="251" w:lineRule="auto"/>
        <w:rPr>
          <w:sz w:val="20"/>
          <w:szCs w:val="20"/>
          <w:color w:val="auto"/>
        </w:rPr>
      </w:pPr>
      <w:r>
        <w:rPr>
          <w:rFonts w:ascii="Arial" w:cs="Arial" w:eastAsia="Arial" w:hAnsi="Arial"/>
          <w:sz w:val="16"/>
          <w:szCs w:val="16"/>
          <w:b w:val="1"/>
          <w:bCs w:val="1"/>
          <w:color w:val="auto"/>
        </w:rPr>
        <w:t xml:space="preserve">CVB FINANCIAL CORP. AND SUBSIDIARIES NOTES TO THE CONDENSED CONSOLIDATED FINANCIAL STATEMENTS </w:t>
      </w: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300" w:hanging="294"/>
        <w:spacing w:after="0"/>
        <w:tabs>
          <w:tab w:leader="none" w:pos="3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BUSINESS</w:t>
      </w:r>
    </w:p>
    <w:p>
      <w:pPr>
        <w:spacing w:after="0" w:line="184" w:lineRule="exact"/>
        <w:rPr>
          <w:sz w:val="20"/>
          <w:szCs w:val="20"/>
          <w:color w:val="auto"/>
        </w:rPr>
      </w:pPr>
    </w:p>
    <w:p>
      <w:pPr>
        <w:jc w:val="both"/>
        <w:ind w:right="160" w:firstLine="432"/>
        <w:spacing w:after="0" w:line="243" w:lineRule="auto"/>
        <w:rPr>
          <w:sz w:val="20"/>
          <w:szCs w:val="20"/>
          <w:color w:val="auto"/>
        </w:rPr>
      </w:pPr>
      <w:r>
        <w:rPr>
          <w:rFonts w:ascii="Arial" w:cs="Arial" w:eastAsia="Arial" w:hAnsi="Arial"/>
          <w:sz w:val="16"/>
          <w:szCs w:val="16"/>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61" w:lineRule="exact"/>
        <w:rPr>
          <w:sz w:val="20"/>
          <w:szCs w:val="20"/>
          <w:color w:val="auto"/>
        </w:rPr>
      </w:pPr>
    </w:p>
    <w:p>
      <w:pPr>
        <w:ind w:right="40" w:firstLine="432"/>
        <w:spacing w:after="0" w:line="286" w:lineRule="auto"/>
        <w:rPr>
          <w:sz w:val="20"/>
          <w:szCs w:val="20"/>
          <w:color w:val="auto"/>
        </w:rPr>
      </w:pPr>
      <w:r>
        <w:rPr>
          <w:rFonts w:ascii="Arial" w:cs="Arial" w:eastAsia="Arial" w:hAnsi="Arial"/>
          <w:sz w:val="14"/>
          <w:szCs w:val="14"/>
          <w:color w:val="auto"/>
        </w:rPr>
        <w:t>The Company’s primary operations are related to traditional banking activities. This includes the acceptance of deposits and the lending and investing of money through the operations of the Bank. The Bank also provides trust and investment -related services to customers through its CitizensTrust Division. The Bank’s customers consist primarily of small to mid-sized businesses and individuals located throughout California. As of June 30, 2023, the Bank operated 62 banking centers and three trust office locations. The Company is headquartered in the city of Ontario, California.</w:t>
      </w:r>
    </w:p>
    <w:p>
      <w:pPr>
        <w:spacing w:after="0" w:line="133" w:lineRule="exact"/>
        <w:rPr>
          <w:sz w:val="20"/>
          <w:szCs w:val="20"/>
          <w:color w:val="auto"/>
        </w:rPr>
      </w:pPr>
    </w:p>
    <w:p>
      <w:pPr>
        <w:ind w:firstLine="432"/>
        <w:spacing w:after="0" w:line="281" w:lineRule="auto"/>
        <w:rPr>
          <w:sz w:val="20"/>
          <w:szCs w:val="20"/>
          <w:color w:val="auto"/>
        </w:rPr>
      </w:pPr>
      <w:r>
        <w:rPr>
          <w:rFonts w:ascii="Arial" w:cs="Arial" w:eastAsia="Arial" w:hAnsi="Arial"/>
          <w:sz w:val="14"/>
          <w:szCs w:val="14"/>
          <w:color w:val="auto"/>
        </w:rPr>
        <w:t xml:space="preserve">On January 7, 2022, we completed the acquisition of Suncrest Bank ("Suncrest") with approximately $1.4 billion in total assets, acquired at fair value, and seven banking centers. Assets acquired included $765.9 million of acquired net loans at fair value, $131.1 million of investment securities, and $9 million in Bank-Owned Life Insurance ("BOLI"). The acquisition resulted in $102.1 million of goodwill and $3.9 million in core deposit premium. Net cash proceeds were used to fund the $39.6 million in cash paid to the former shareholders of Suncrest as part of the merger consideration. Refer to Note 4 –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of the notes to the unaudited condensed consolidated financial statements of this report for additional information.</w:t>
      </w:r>
    </w:p>
    <w:p>
      <w:pPr>
        <w:spacing w:after="0" w:line="130" w:lineRule="exact"/>
        <w:rPr>
          <w:sz w:val="20"/>
          <w:szCs w:val="20"/>
          <w:color w:val="auto"/>
        </w:rPr>
      </w:pPr>
    </w:p>
    <w:p>
      <w:pPr>
        <w:ind w:left="300" w:hanging="294"/>
        <w:spacing w:after="0"/>
        <w:tabs>
          <w:tab w:leader="none" w:pos="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184" w:lineRule="exact"/>
        <w:rPr>
          <w:sz w:val="20"/>
          <w:szCs w:val="20"/>
          <w:color w:val="auto"/>
        </w:rPr>
      </w:pPr>
    </w:p>
    <w:p>
      <w:pPr>
        <w:ind w:right="80" w:firstLine="432"/>
        <w:spacing w:after="0" w:line="274" w:lineRule="auto"/>
        <w:rPr>
          <w:sz w:val="20"/>
          <w:szCs w:val="20"/>
          <w:color w:val="auto"/>
        </w:rPr>
      </w:pPr>
      <w:r>
        <w:rPr>
          <w:rFonts w:ascii="Arial" w:cs="Arial" w:eastAsia="Arial" w:hAnsi="Arial"/>
          <w:sz w:val="14"/>
          <w:szCs w:val="14"/>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and six months ended June 30, 2023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2022, filed with the SEC. A summary of the significant accounting policies consistently applied in the preparation of the accompanying unaudited condensed consolidated financial statements follows.</w:t>
      </w:r>
    </w:p>
    <w:p>
      <w:pPr>
        <w:spacing w:after="0" w:line="318" w:lineRule="exact"/>
        <w:rPr>
          <w:sz w:val="20"/>
          <w:szCs w:val="20"/>
          <w:color w:val="auto"/>
        </w:rPr>
      </w:pPr>
    </w:p>
    <w:p>
      <w:pPr>
        <w:ind w:right="60" w:firstLine="432"/>
        <w:spacing w:after="0" w:line="262" w:lineRule="auto"/>
        <w:rPr>
          <w:sz w:val="20"/>
          <w:szCs w:val="20"/>
          <w:color w:val="auto"/>
        </w:rPr>
      </w:pPr>
      <w:r>
        <w:rPr>
          <w:rFonts w:ascii="Arial" w:cs="Arial" w:eastAsia="Arial" w:hAnsi="Arial"/>
          <w:sz w:val="16"/>
          <w:szCs w:val="16"/>
          <w:b w:val="1"/>
          <w:bCs w:val="1"/>
          <w:i w:val="1"/>
          <w:iCs w:val="1"/>
          <w:color w:val="auto"/>
        </w:rPr>
        <w:t xml:space="preserve">Reclassification </w:t>
      </w:r>
      <w:r>
        <w:rPr>
          <w:rFonts w:ascii="Arial" w:cs="Arial" w:eastAsia="Arial" w:hAnsi="Arial"/>
          <w:sz w:val="16"/>
          <w:szCs w:val="16"/>
          <w:color w:val="auto"/>
        </w:rPr>
        <w:t>— Certain amounts in the prior periods’ unaudited condensed consolidated financial statements and related footnote disclosures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reclassified to conform to the current presentation with no impact on previously reported net income or stockholders’ equity.</w:t>
      </w:r>
    </w:p>
    <w:p>
      <w:pPr>
        <w:spacing w:after="0" w:line="138" w:lineRule="exact"/>
        <w:rPr>
          <w:sz w:val="20"/>
          <w:szCs w:val="20"/>
          <w:color w:val="auto"/>
        </w:rPr>
      </w:pPr>
    </w:p>
    <w:p>
      <w:pPr>
        <w:ind w:left="300" w:hanging="294"/>
        <w:spacing w:after="0"/>
        <w:tabs>
          <w:tab w:leader="none" w:pos="3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78" w:lineRule="exact"/>
        <w:rPr>
          <w:sz w:val="20"/>
          <w:szCs w:val="20"/>
          <w:color w:val="auto"/>
        </w:rPr>
      </w:pPr>
    </w:p>
    <w:p>
      <w:pPr>
        <w:ind w:right="180" w:firstLine="432"/>
        <w:spacing w:after="0" w:line="247" w:lineRule="auto"/>
        <w:rPr>
          <w:sz w:val="20"/>
          <w:szCs w:val="20"/>
          <w:color w:val="auto"/>
        </w:rPr>
      </w:pPr>
      <w:r>
        <w:rPr>
          <w:rFonts w:ascii="Arial" w:cs="Arial" w:eastAsia="Arial" w:hAnsi="Arial"/>
          <w:sz w:val="16"/>
          <w:szCs w:val="16"/>
          <w:color w:val="auto"/>
        </w:rPr>
        <w:t xml:space="preserve">Except as discussed below, our accounting policies are described in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our audited consolidated financial statements included in our Annual Report on Form 10-K for the year ended December 31, 2022 as filed with the SEC (“Form 10-K”).</w:t>
      </w:r>
    </w:p>
    <w:p>
      <w:pPr>
        <w:spacing w:after="0" w:line="150" w:lineRule="exact"/>
        <w:rPr>
          <w:sz w:val="20"/>
          <w:szCs w:val="20"/>
          <w:color w:val="auto"/>
        </w:rPr>
      </w:pPr>
    </w:p>
    <w:p>
      <w:pPr>
        <w:ind w:right="20" w:firstLine="432"/>
        <w:spacing w:after="0" w:line="238" w:lineRule="auto"/>
        <w:rPr>
          <w:sz w:val="20"/>
          <w:szCs w:val="20"/>
          <w:color w:val="auto"/>
        </w:rPr>
      </w:pPr>
      <w:r>
        <w:rPr>
          <w:rFonts w:ascii="Arial" w:cs="Arial" w:eastAsia="Arial" w:hAnsi="Arial"/>
          <w:sz w:val="16"/>
          <w:szCs w:val="16"/>
          <w:b w:val="1"/>
          <w:bCs w:val="1"/>
          <w:i w:val="1"/>
          <w:iCs w:val="1"/>
          <w:color w:val="auto"/>
        </w:rPr>
        <w:t xml:space="preserve">Use of Estimates in the Preparation of Financial Statements </w:t>
      </w:r>
      <w:r>
        <w:rPr>
          <w:rFonts w:ascii="Arial" w:cs="Arial" w:eastAsia="Arial" w:hAnsi="Arial"/>
          <w:sz w:val="16"/>
          <w:szCs w:val="16"/>
          <w:color w:val="auto"/>
        </w:rPr>
        <w:t>— The preparation of financial statements in conformity with GAAP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9" w:name="page10"/>
    <w:bookmarkEnd w:id="9"/>
    <w:p>
      <w:pPr>
        <w:ind w:left="440"/>
        <w:spacing w:after="0"/>
        <w:rPr>
          <w:sz w:val="20"/>
          <w:szCs w:val="20"/>
          <w:color w:val="auto"/>
        </w:rPr>
      </w:pPr>
      <w:r>
        <w:rPr>
          <w:rFonts w:ascii="Arial" w:cs="Arial" w:eastAsia="Arial" w:hAnsi="Arial"/>
          <w:sz w:val="16"/>
          <w:szCs w:val="16"/>
          <w:b w:val="1"/>
          <w:bCs w:val="1"/>
          <w:i w:val="1"/>
          <w:iCs w:val="1"/>
          <w:color w:val="auto"/>
        </w:rPr>
        <w:t>Adoption of New Accounting Standards</w:t>
      </w:r>
    </w:p>
    <w:p>
      <w:pPr>
        <w:spacing w:after="0" w:line="184" w:lineRule="exact"/>
        <w:rPr>
          <w:sz w:val="20"/>
          <w:szCs w:val="20"/>
          <w:color w:val="auto"/>
        </w:rPr>
      </w:pPr>
    </w:p>
    <w:p>
      <w:pPr>
        <w:ind w:firstLine="475"/>
        <w:spacing w:after="0" w:line="237" w:lineRule="auto"/>
        <w:rPr>
          <w:sz w:val="20"/>
          <w:szCs w:val="20"/>
          <w:color w:val="auto"/>
        </w:rPr>
      </w:pPr>
      <w:r>
        <w:rPr>
          <w:rFonts w:ascii="Arial" w:cs="Arial" w:eastAsia="Arial" w:hAnsi="Arial"/>
          <w:sz w:val="16"/>
          <w:szCs w:val="16"/>
          <w:color w:val="auto"/>
        </w:rPr>
        <w:t>On January 1, 2023, the Company adopted Accounting Standard Update ("ASU") 2022-02 Financial Instruments-Credit Losses (Topic 326): Troubled Debt Restructurings ("TDR") and Vintage Disclosures. This ASU eliminates recognition and measurement guidance for TDRs by creditors in Subtopic 310- 40, Receivables-Troubled Debt Restructurings by Creditors, while enhancing disclosure requirements for certain loan refinancings and restructurings by creditors when a borrower is experiencing financial difficulty, and to require that an entity disclose current-period gross write-offs by year of origination (i.e. the vintage year) for financing receivables and net investments in leases within the scope of Subtopic 326-20, Financial Instruments-Credit Losses-Measured at Amortized Cost. For entities that have adopted ASU 2016-13, this ASU is effective for interim and reporting periods beginning after December 15, 2022. The Company adopted this ASU on a prospective basis. Results for reporting periods beginning after January 1, 2023 are presented under ASU 2022- 02 while prior period amounts continue to be reported in accordance with previously applicable GAAP. The adoption of this ASU did not have a material impact on our consolidated financial statements.</w:t>
      </w:r>
    </w:p>
    <w:p>
      <w:pPr>
        <w:spacing w:after="0" w:line="165"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In March 2023, the FASB issued ASU 2023-02 Accounting for Investments in Tax Credit Structures Using the Proportional Amortization Method, which expands the population of investments for which an investor may elect to apply the proportional amortization method. Under this ASU, an investor in a tax equity investment may elect the proportional amortization method for qualifying investments on a tax credit program- by-program basis. To qualify for the proportional amortization method, an investment must meet the criteria previously applicable to Low Income Housing Tax Credit ("LIHTC") investments, as clarified by the ASU. This ASU is effective in the first quarter of 2024. Early adoption is permitted as of an interim period with retrospective application to the beginning of the fiscal year.</w:t>
      </w:r>
    </w:p>
    <w:p>
      <w:pPr>
        <w:spacing w:after="0" w:line="166" w:lineRule="exact"/>
        <w:rPr>
          <w:sz w:val="20"/>
          <w:szCs w:val="20"/>
          <w:color w:val="auto"/>
        </w:rPr>
      </w:pPr>
    </w:p>
    <w:p>
      <w:pPr>
        <w:ind w:right="20" w:firstLine="432"/>
        <w:spacing w:after="0" w:line="239" w:lineRule="auto"/>
        <w:rPr>
          <w:sz w:val="20"/>
          <w:szCs w:val="20"/>
          <w:color w:val="auto"/>
        </w:rPr>
      </w:pPr>
      <w:r>
        <w:rPr>
          <w:rFonts w:ascii="Arial" w:cs="Arial" w:eastAsia="Arial" w:hAnsi="Arial"/>
          <w:sz w:val="16"/>
          <w:szCs w:val="16"/>
          <w:color w:val="auto"/>
        </w:rPr>
        <w:t>The Bank invests in various tax credit partnerships pursuant to Sections 42 and 48 of the Internal Revenue Code of 1986 (the “Code”). The Bank acts as a limited partner in these investments and does not exercise control over the operating or financial policies of the partnerships and as such, is not considered the primary beneficiary of the partnership. Upon entering into new solar tax equity investments in the second quarter of 2023, the Company adopted ASU 2023-02 on a prospective basis and implemented the proportional amortization method of accounting. The proportional amortization method recognizes the amortization of the cost of the investment as a component of income tax expense.</w:t>
      </w:r>
    </w:p>
    <w:p>
      <w:pPr>
        <w:spacing w:after="0" w:line="164" w:lineRule="exact"/>
        <w:rPr>
          <w:sz w:val="20"/>
          <w:szCs w:val="20"/>
          <w:color w:val="auto"/>
        </w:rPr>
      </w:pPr>
    </w:p>
    <w:p>
      <w:pPr>
        <w:ind w:right="100" w:firstLine="432"/>
        <w:spacing w:after="0" w:line="237" w:lineRule="auto"/>
        <w:rPr>
          <w:sz w:val="20"/>
          <w:szCs w:val="20"/>
          <w:color w:val="auto"/>
        </w:rPr>
      </w:pPr>
      <w:r>
        <w:rPr>
          <w:rFonts w:ascii="Arial" w:cs="Arial" w:eastAsia="Arial" w:hAnsi="Arial"/>
          <w:sz w:val="16"/>
          <w:szCs w:val="16"/>
          <w:color w:val="auto"/>
        </w:rPr>
        <w:t>In March 2020, the FASB issued ASU 2020-04, Reference Rate Reform: Facilitation of the Effects of Reference Rate Reform on Financial Reporting. The amendments in this update provide temporary, optional guidance to ease the potential burden in accounting for transitioning away from reference rates such as LIBOR. The amendments provide optional expedients and exceptions for applying GAAP to transactions affected by reference rate reform if certain criteria are met. The amendments primarily include relief related to contract modifications and hedging relationships, as well as providing a one-time election for the sale or transfer of debt securities classified as held-to-maturity. This ASU was effective in June 2023. and it did not have a material impact on our consolidated financial statements. As a result of the phase out of LIBOR, our interest rate swap derivatives and the associated loans that were indexed to LIBOR, have been replaced with one month CME Term SOFR. The Bank will continue to use multiple alternative indices as replacements for LIBOR for newly originated instruments. All remaining financial instruments indexed to LIBOR have been transitioned to a replacement index, as of June 30, 2023.</w:t>
      </w:r>
    </w:p>
    <w:p>
      <w:pPr>
        <w:spacing w:after="0" w:line="165" w:lineRule="exact"/>
        <w:rPr>
          <w:sz w:val="20"/>
          <w:szCs w:val="20"/>
          <w:color w:val="auto"/>
        </w:rPr>
      </w:pPr>
    </w:p>
    <w:p>
      <w:pPr>
        <w:ind w:right="20" w:firstLine="432"/>
        <w:spacing w:after="0" w:line="236" w:lineRule="auto"/>
        <w:rPr>
          <w:sz w:val="20"/>
          <w:szCs w:val="20"/>
          <w:color w:val="auto"/>
        </w:rPr>
      </w:pPr>
      <w:r>
        <w:rPr>
          <w:rFonts w:ascii="Arial" w:cs="Arial" w:eastAsia="Arial" w:hAnsi="Arial"/>
          <w:sz w:val="16"/>
          <w:szCs w:val="16"/>
          <w:color w:val="auto"/>
        </w:rPr>
        <w:t xml:space="preserve">In March 2022, the FASB issued ASU 2022-01, Derivatives and Hedging (Topic 815): Fair Value Hedging—Portfolio Layer Method, was effective in the first quarter of 2023. The amendments in ASU 2022-01 allow nonprepayable financial assets to be included in a closed portfolio hedged using the portfolio layer method. That expanded scope permits an entity to apply the same portfolio hedging method to both prepayable and non-prepayable financial assets, thereby allowing consistent accounting for similar hedges. This ASU expanded the previous single-layer model to allow multiple hedged layers of a single closed portfolio. As a result, an entity can achieve hedge accounting for hedges of a greater proportion of the interest rate risk inherent in the assets included in the closed portfolio, further aligning hedge accounting with risk management strategies. To reflect that expansion, the last-of-layer method is renamed the portfolio layer method. This ASU also clarifies that fair value basis adjustments in an existing portfolio layer method hedge are maintained at the closed portfolio level (Balance Sheet line item level) and are therefore not allocated to individual assets. In June 2023, fair value hedging transactions were executed in which $1.0 billion notional pay-fixed interest rate swaps were consummated with maturities ranging from four to five years in which the Company pays a weighted average fixed rate of approximately 3.8% and receives daily SOFR. The fair value of these instruments totaled $ 11.1 million on June 30, 2023. This pay-fixed interest rate swap is designated as a partial -term fair value hedge using the Portfolio Layer Method, in accordance with ASU 2022-01. Refer to Note 10 –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of the notes to the unaudited condensed consolidated financial statements of this report for additional information.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62" w:right="680" w:bottom="1440" w:gutter="0" w:footer="0" w:header="0"/>
        </w:sectPr>
      </w:pPr>
    </w:p>
    <w:bookmarkStart w:id="10" w:name="page11"/>
    <w:bookmarkEnd w:id="10"/>
    <w:p>
      <w:pPr>
        <w:ind w:left="300" w:hanging="294"/>
        <w:spacing w:after="0"/>
        <w:tabs>
          <w:tab w:leader="none" w:pos="3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w:t>
      </w:r>
    </w:p>
    <w:p>
      <w:pPr>
        <w:spacing w:after="0" w:line="184" w:lineRule="exact"/>
        <w:rPr>
          <w:sz w:val="20"/>
          <w:szCs w:val="20"/>
          <w:color w:val="auto"/>
        </w:rPr>
      </w:pPr>
    </w:p>
    <w:p>
      <w:pPr>
        <w:ind w:right="20" w:firstLine="432"/>
        <w:spacing w:after="0" w:line="238" w:lineRule="auto"/>
        <w:rPr>
          <w:sz w:val="20"/>
          <w:szCs w:val="20"/>
          <w:color w:val="auto"/>
        </w:rPr>
      </w:pPr>
      <w:r>
        <w:rPr>
          <w:rFonts w:ascii="Arial" w:cs="Arial" w:eastAsia="Arial" w:hAnsi="Arial"/>
          <w:sz w:val="16"/>
          <w:szCs w:val="16"/>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As a result, Suncrest merged with and into the Bank, the principal subsidiary of CVB. The Company believes this transaction serves to further extend and strengthen its geographic presence in California’s Central Valley and the greater Sacramento area. At close, Suncrest had seven branch locations and two loan production offices, which re -opened as CBB locations on January 10, 2022. As a result of the consolidation of branches during the second quarter of 2022, five branch locations remain from this acquisition.</w:t>
      </w:r>
    </w:p>
    <w:p>
      <w:pPr>
        <w:spacing w:after="0" w:line="166"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The assets acquired and liabilities assumed have been accounted for under the acquisition method of accounting. The total fair value of assets acquired approximated $ 1.38 billion in total assets, including $ 329.0 million of cash and cash equivalents, net of cash paid, $131.1 million of investment securities, $765.9 million in net loans, $6.1 million in premises and equipment, $9.0 million in BOLI, and $33.7 million in other assets. The purchased credit deteriorated (“PCD”) loans were recorded at a fair value of $224.7 million, which was net of a discount of $13.1 million including a credit discount of $8.6 million. The assets acquired also include a core deposit intangible of $3.9 million and non-tax deductible goodwill of $102.1 million. Goodwill from the acquisition represents the excess of the purchase price over the fair value of the net tangible and intangible assets acquired. The total fair value of liabilities assumed was $1.19 billion, which included $512.8 million of noninterest-bearing deposits and $669.8 million of interest-bearing deposits, and $6.2 million in other liabilities. The assets and liabilities, both tangible and intangible, were recorded at their estimated fair values as of January 7, 2022. Goodwill is not tax deductible for income tax purposes.</w:t>
      </w:r>
    </w:p>
    <w:p>
      <w:pPr>
        <w:spacing w:after="0" w:line="165" w:lineRule="exact"/>
        <w:rPr>
          <w:sz w:val="20"/>
          <w:szCs w:val="20"/>
          <w:color w:val="auto"/>
        </w:rPr>
      </w:pPr>
    </w:p>
    <w:p>
      <w:pPr>
        <w:ind w:right="140" w:firstLine="432"/>
        <w:spacing w:after="0" w:line="243" w:lineRule="auto"/>
        <w:rPr>
          <w:sz w:val="20"/>
          <w:szCs w:val="20"/>
          <w:color w:val="auto"/>
        </w:rPr>
      </w:pPr>
      <w:r>
        <w:rPr>
          <w:rFonts w:ascii="Arial" w:cs="Arial" w:eastAsia="Arial" w:hAnsi="Arial"/>
          <w:sz w:val="16"/>
          <w:szCs w:val="16"/>
          <w:color w:val="auto"/>
        </w:rPr>
        <w:t>We have included the financial results of the business combination in the condensed consolidated statement of earnings and comprehensive income beginning on the acquisition date. Supplementary pro forma financial information related to the acquisition is not included because the impact to the Company's consolidated statements of income is not material.</w:t>
      </w:r>
    </w:p>
    <w:p>
      <w:pPr>
        <w:spacing w:after="0" w:line="161" w:lineRule="exact"/>
        <w:rPr>
          <w:sz w:val="20"/>
          <w:szCs w:val="20"/>
          <w:color w:val="auto"/>
        </w:rPr>
      </w:pPr>
    </w:p>
    <w:p>
      <w:pPr>
        <w:ind w:right="180" w:firstLine="432"/>
        <w:spacing w:after="0" w:line="252" w:lineRule="auto"/>
        <w:rPr>
          <w:sz w:val="20"/>
          <w:szCs w:val="20"/>
          <w:color w:val="auto"/>
        </w:rPr>
      </w:pPr>
      <w:r>
        <w:rPr>
          <w:rFonts w:ascii="Arial" w:cs="Arial" w:eastAsia="Arial" w:hAnsi="Arial"/>
          <w:sz w:val="16"/>
          <w:szCs w:val="16"/>
          <w:color w:val="auto"/>
        </w:rPr>
        <w:t>For the six months ended June 30, 2022, the Company incurred non-recurring merger related expenses associated with the Suncrest acquisition of $6.0 million.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11" w:name="page12"/>
    <w:bookmarkEnd w:id="11"/>
    <w:p>
      <w:pPr>
        <w:ind w:left="300" w:hanging="294"/>
        <w:spacing w:after="0"/>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INVESTMENT SECURITIES</w:t>
      </w:r>
    </w:p>
    <w:p>
      <w:pPr>
        <w:spacing w:after="0" w:line="184" w:lineRule="exact"/>
        <w:rPr>
          <w:sz w:val="20"/>
          <w:szCs w:val="20"/>
          <w:color w:val="auto"/>
        </w:rPr>
      </w:pPr>
    </w:p>
    <w:p>
      <w:pPr>
        <w:ind w:right="220" w:firstLine="432"/>
        <w:spacing w:after="0" w:line="243" w:lineRule="auto"/>
        <w:rPr>
          <w:sz w:val="20"/>
          <w:szCs w:val="20"/>
          <w:color w:val="auto"/>
        </w:rPr>
      </w:pPr>
      <w:r>
        <w:rPr>
          <w:rFonts w:ascii="Arial" w:cs="Arial" w:eastAsia="Arial" w:hAnsi="Arial"/>
          <w:sz w:val="16"/>
          <w:szCs w:val="16"/>
          <w:color w:val="auto"/>
        </w:rPr>
        <w:t>The amortized cost and estimated fair value of investment securities are summarized below. The fair value of the majority of securities are based on quoted prices for similar assets in active markets or quoted prices for identical assets in markets that are not active. Estimated fair values were obtained from an independent pricing service based upon market quotes.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June 30, 2023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2"/>
              <w:spacing w:after="0" w:line="180" w:lineRule="exact"/>
              <w:rPr>
                <w:sz w:val="20"/>
                <w:szCs w:val="20"/>
                <w:color w:val="auto"/>
              </w:rPr>
            </w:pPr>
            <w:r>
              <w:rPr>
                <w:rFonts w:ascii="Arial" w:cs="Arial" w:eastAsia="Arial" w:hAnsi="Arial"/>
                <w:sz w:val="16"/>
                <w:szCs w:val="16"/>
                <w:b w:val="1"/>
                <w:bCs w:val="1"/>
                <w:color w:val="auto"/>
                <w:w w:val="99"/>
              </w:rPr>
              <w:t>Gross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5"/>
              </w:rPr>
              <w:t>Gross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7"/>
              </w:rPr>
              <w:t>Amortized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2"/>
              <w:spacing w:after="0" w:line="180" w:lineRule="exact"/>
              <w:rPr>
                <w:sz w:val="20"/>
                <w:szCs w:val="20"/>
                <w:color w:val="auto"/>
              </w:rPr>
            </w:pPr>
            <w:r>
              <w:rPr>
                <w:rFonts w:ascii="Arial" w:cs="Arial" w:eastAsia="Arial" w:hAnsi="Arial"/>
                <w:sz w:val="16"/>
                <w:szCs w:val="16"/>
                <w:b w:val="1"/>
                <w:bCs w:val="1"/>
                <w:color w:val="auto"/>
                <w:w w:val="96"/>
              </w:rPr>
              <w:t>Unrealized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line="180" w:lineRule="exact"/>
              <w:rPr>
                <w:sz w:val="20"/>
                <w:szCs w:val="20"/>
                <w:color w:val="auto"/>
              </w:rPr>
            </w:pPr>
            <w:r>
              <w:rPr>
                <w:rFonts w:ascii="Arial" w:cs="Arial" w:eastAsia="Arial" w:hAnsi="Arial"/>
                <w:sz w:val="16"/>
                <w:szCs w:val="16"/>
                <w:b w:val="1"/>
                <w:bCs w:val="1"/>
                <w:color w:val="auto"/>
                <w:w w:val="96"/>
              </w:rPr>
              <w:t>Unrealized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Holding Gain</w:t>
            </w:r>
          </w:p>
        </w:tc>
        <w:tc>
          <w:tcPr>
            <w:tcW w:w="3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6"/>
              </w:rPr>
              <w:t>Holding Loss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Total Percent</w:t>
            </w:r>
          </w:p>
        </w:tc>
      </w:tr>
      <w:tr>
        <w:trPr>
          <w:trHeight w:val="191"/>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3,018,260</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(385,263 )</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2,633,021</w:t>
            </w:r>
          </w:p>
        </w:tc>
        <w:tc>
          <w:tcPr>
            <w:tcW w:w="10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85.82%</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519,646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(111,187 )</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408,459</w:t>
            </w:r>
          </w:p>
        </w:tc>
        <w:tc>
          <w:tcPr>
            <w:tcW w:w="10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13.30%</w:t>
            </w:r>
          </w:p>
        </w:tc>
        <w:tc>
          <w:tcPr>
            <w:tcW w:w="60" w:type="dxa"/>
            <w:vAlign w:val="bottom"/>
          </w:tcPr>
          <w:p>
            <w:pPr>
              <w:spacing w:after="0"/>
              <w:rPr>
                <w:sz w:val="17"/>
                <w:szCs w:val="17"/>
                <w:color w:val="auto"/>
              </w:rPr>
            </w:pP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(1,283)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25,566</w:t>
            </w:r>
          </w:p>
        </w:tc>
        <w:tc>
          <w:tcPr>
            <w:tcW w:w="10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0.83 %</w:t>
            </w:r>
          </w:p>
        </w:tc>
      </w:tr>
      <w:tr>
        <w:trPr>
          <w:trHeight w:val="204"/>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0.05 %</w:t>
            </w:r>
          </w:p>
        </w:tc>
      </w:tr>
      <w:tr>
        <w:trPr>
          <w:trHeight w:val="187"/>
        </w:trPr>
        <w:tc>
          <w:tcPr>
            <w:tcW w:w="3700" w:type="dxa"/>
            <w:vAlign w:val="bottom"/>
          </w:tcPr>
          <w:p>
            <w:pPr>
              <w:ind w:left="20"/>
              <w:spacing w:after="0"/>
              <w:rPr>
                <w:sz w:val="20"/>
                <w:szCs w:val="20"/>
                <w:color w:val="auto"/>
              </w:rPr>
            </w:pPr>
            <w:r>
              <w:rPr>
                <w:rFonts w:ascii="Arial" w:cs="Arial" w:eastAsia="Arial" w:hAnsi="Arial"/>
                <w:sz w:val="16"/>
                <w:szCs w:val="16"/>
                <w:color w:val="auto"/>
              </w:rPr>
              <w:t>Unallocated portfolio layer fair value basis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700" w:type="dxa"/>
            <w:vAlign w:val="bottom"/>
          </w:tcPr>
          <w:p>
            <w:pPr>
              <w:ind w:left="20"/>
              <w:spacing w:after="0"/>
              <w:rPr>
                <w:sz w:val="20"/>
                <w:szCs w:val="20"/>
                <w:color w:val="auto"/>
              </w:rPr>
            </w:pPr>
            <w:r>
              <w:rPr>
                <w:rFonts w:ascii="Arial" w:cs="Arial" w:eastAsia="Arial" w:hAnsi="Arial"/>
                <w:sz w:val="16"/>
                <w:szCs w:val="16"/>
                <w:color w:val="auto"/>
              </w:rPr>
              <w:t>adjustments (1)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(11,129 )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N/A</w:t>
            </w:r>
          </w:p>
        </w:tc>
      </w:tr>
      <w:tr>
        <w:trPr>
          <w:trHeight w:val="245"/>
        </w:trPr>
        <w:tc>
          <w:tcPr>
            <w:tcW w:w="37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3,576,937</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(508,862 )</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3,068,151</w:t>
            </w:r>
          </w:p>
        </w:tc>
        <w:tc>
          <w:tcPr>
            <w:tcW w:w="100" w:type="dxa"/>
            <w:vAlign w:val="bottom"/>
            <w:shd w:val="clear" w:color="auto" w:fill="CFF0FC"/>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100.00 %</w:t>
            </w:r>
          </w:p>
        </w:tc>
      </w:tr>
      <w:tr>
        <w:trPr>
          <w:trHeight w:val="179"/>
        </w:trPr>
        <w:tc>
          <w:tcPr>
            <w:tcW w:w="3700" w:type="dxa"/>
            <w:vAlign w:val="bottom"/>
            <w:tcBorders>
              <w:top w:val="single" w:sz="8" w:color="CFF0FC"/>
            </w:tcBorders>
          </w:tcPr>
          <w:p>
            <w:pPr>
              <w:ind w:left="20"/>
              <w:spacing w:after="0" w:line="179"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538,923</w:t>
            </w:r>
          </w:p>
        </w:tc>
        <w:tc>
          <w:tcPr>
            <w:tcW w:w="1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(105,252 )</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433,671</w:t>
            </w:r>
          </w:p>
        </w:tc>
        <w:tc>
          <w:tcPr>
            <w:tcW w:w="10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21.45%</w:t>
            </w: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684,917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(103,649 )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581,268</w:t>
            </w:r>
          </w:p>
        </w:tc>
        <w:tc>
          <w:tcPr>
            <w:tcW w:w="10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27.26%</w:t>
            </w: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817,801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(155,611 )</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662,190</w:t>
            </w:r>
          </w:p>
        </w:tc>
        <w:tc>
          <w:tcPr>
            <w:tcW w:w="10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32.55%</w:t>
            </w:r>
          </w:p>
        </w:tc>
        <w:tc>
          <w:tcPr>
            <w:tcW w:w="60" w:type="dxa"/>
            <w:vAlign w:val="bottom"/>
          </w:tcPr>
          <w:p>
            <w:pPr>
              <w:spacing w:after="0"/>
              <w:rPr>
                <w:sz w:val="17"/>
                <w:szCs w:val="17"/>
                <w:color w:val="auto"/>
              </w:rPr>
            </w:pPr>
          </w:p>
        </w:tc>
      </w:tr>
      <w:tr>
        <w:trPr>
          <w:trHeight w:val="204"/>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471,066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(41,196 )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431,524</w:t>
            </w:r>
          </w:p>
        </w:tc>
        <w:tc>
          <w:tcPr>
            <w:tcW w:w="10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18.74%</w:t>
            </w:r>
          </w:p>
        </w:tc>
        <w:tc>
          <w:tcPr>
            <w:tcW w:w="60" w:type="dxa"/>
            <w:vAlign w:val="bottom"/>
          </w:tcPr>
          <w:p>
            <w:pPr>
              <w:spacing w:after="0"/>
              <w:rPr>
                <w:sz w:val="17"/>
                <w:szCs w:val="17"/>
                <w:color w:val="auto"/>
              </w:rPr>
            </w:pPr>
          </w:p>
        </w:tc>
      </w:tr>
      <w:tr>
        <w:trPr>
          <w:trHeight w:val="224"/>
        </w:trPr>
        <w:tc>
          <w:tcPr>
            <w:tcW w:w="37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2,512,707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(405,708 )</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2,108,653</w:t>
            </w:r>
          </w:p>
        </w:tc>
        <w:tc>
          <w:tcPr>
            <w:tcW w:w="100" w:type="dxa"/>
            <w:vAlign w:val="bottom"/>
            <w:shd w:val="clear" w:color="auto" w:fill="CFF0FC"/>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0" w:lineRule="exact"/>
        <w:rPr>
          <w:sz w:val="20"/>
          <w:szCs w:val="20"/>
          <w:color w:val="auto"/>
        </w:rPr>
      </w:pPr>
    </w:p>
    <w:p>
      <w:pPr>
        <w:ind w:left="360" w:right="100"/>
        <w:spacing w:after="0" w:line="266" w:lineRule="auto"/>
        <w:rPr>
          <w:sz w:val="20"/>
          <w:szCs w:val="20"/>
          <w:color w:val="auto"/>
        </w:rPr>
      </w:pPr>
      <w:r>
        <w:rPr>
          <w:rFonts w:ascii="Arial" w:cs="Arial" w:eastAsia="Arial" w:hAnsi="Arial"/>
          <w:sz w:val="14"/>
          <w:szCs w:val="14"/>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10 for additional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rPr>
              <w:t>December 31, 2022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7"/>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82"/>
              <w:spacing w:after="0" w:line="177" w:lineRule="exact"/>
              <w:rPr>
                <w:sz w:val="20"/>
                <w:szCs w:val="20"/>
                <w:color w:val="auto"/>
              </w:rPr>
            </w:pPr>
            <w:r>
              <w:rPr>
                <w:rFonts w:ascii="Arial" w:cs="Arial" w:eastAsia="Arial" w:hAnsi="Arial"/>
                <w:sz w:val="16"/>
                <w:szCs w:val="16"/>
                <w:b w:val="1"/>
                <w:bCs w:val="1"/>
                <w:color w:val="auto"/>
                <w:w w:val="95"/>
              </w:rPr>
              <w:t>Gross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line="177" w:lineRule="exact"/>
              <w:rPr>
                <w:sz w:val="20"/>
                <w:szCs w:val="20"/>
                <w:color w:val="auto"/>
              </w:rPr>
            </w:pPr>
            <w:r>
              <w:rPr>
                <w:rFonts w:ascii="Arial" w:cs="Arial" w:eastAsia="Arial" w:hAnsi="Arial"/>
                <w:sz w:val="16"/>
                <w:szCs w:val="16"/>
                <w:b w:val="1"/>
                <w:bCs w:val="1"/>
                <w:color w:val="auto"/>
                <w:w w:val="95"/>
              </w:rPr>
              <w:t>Gross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9"/>
              </w:rPr>
              <w:t>Amortized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82"/>
              <w:spacing w:after="0" w:line="180" w:lineRule="exact"/>
              <w:rPr>
                <w:sz w:val="20"/>
                <w:szCs w:val="20"/>
                <w:color w:val="auto"/>
              </w:rPr>
            </w:pPr>
            <w:r>
              <w:rPr>
                <w:rFonts w:ascii="Arial" w:cs="Arial" w:eastAsia="Arial" w:hAnsi="Arial"/>
                <w:sz w:val="16"/>
                <w:szCs w:val="16"/>
                <w:b w:val="1"/>
                <w:bCs w:val="1"/>
                <w:color w:val="auto"/>
                <w:w w:val="98"/>
              </w:rPr>
              <w:t>Unrealized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6"/>
              </w:rPr>
              <w:t>Unrealized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Total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7"/>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Cost</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Holding Gain</w:t>
            </w:r>
          </w:p>
        </w:tc>
        <w:tc>
          <w:tcPr>
            <w:tcW w:w="3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8"/>
              </w:rPr>
              <w:t>Holding Loss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8"/>
              </w:rPr>
              <w:t>Percent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3,192,151</w:t>
            </w:r>
          </w:p>
        </w:tc>
        <w:tc>
          <w:tcPr>
            <w:tcW w:w="1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(403,049 )</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2,789,141</w:t>
            </w:r>
          </w:p>
        </w:tc>
        <w:tc>
          <w:tcPr>
            <w:tcW w:w="10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85.68%</w:t>
            </w: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535,269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(95,966 )</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439,303</w:t>
            </w:r>
          </w:p>
        </w:tc>
        <w:tc>
          <w:tcPr>
            <w:tcW w:w="1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60" w:type="dxa"/>
            <w:vAlign w:val="bottom"/>
          </w:tcPr>
          <w:p>
            <w:pPr>
              <w:spacing w:after="0"/>
              <w:rPr>
                <w:sz w:val="17"/>
                <w:szCs w:val="17"/>
                <w:color w:val="auto"/>
              </w:rPr>
            </w:pP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25,687</w:t>
            </w:r>
          </w:p>
        </w:tc>
        <w:tc>
          <w:tcPr>
            <w:tcW w:w="100" w:type="dxa"/>
            <w:vAlign w:val="bottom"/>
          </w:tcPr>
          <w:p>
            <w:pPr>
              <w:spacing w:after="0"/>
              <w:rPr>
                <w:sz w:val="17"/>
                <w:szCs w:val="17"/>
                <w:color w:val="auto"/>
              </w:rPr>
            </w:pPr>
          </w:p>
        </w:tc>
        <w:tc>
          <w:tcPr>
            <w:tcW w:w="1340" w:type="dxa"/>
            <w:vAlign w:val="bottom"/>
            <w:gridSpan w:val="4"/>
          </w:tcPr>
          <w:p>
            <w:pPr>
              <w:jc w:val="right"/>
              <w:spacing w:after="0"/>
              <w:rPr>
                <w:sz w:val="20"/>
                <w:szCs w:val="20"/>
                <w:color w:val="auto"/>
              </w:rPr>
            </w:pPr>
            <w:r>
              <w:rPr>
                <w:rFonts w:ascii="Arial" w:cs="Arial" w:eastAsia="Arial" w:hAnsi="Arial"/>
                <w:sz w:val="16"/>
                <w:szCs w:val="16"/>
                <w:color w:val="auto"/>
              </w:rPr>
              <w:t>0.79 %</w:t>
            </w:r>
          </w:p>
        </w:tc>
      </w:tr>
      <w:tr>
        <w:trPr>
          <w:trHeight w:val="205"/>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7"/>
                <w:szCs w:val="17"/>
                <w:color w:val="auto"/>
              </w:rPr>
            </w:pPr>
          </w:p>
        </w:tc>
        <w:tc>
          <w:tcPr>
            <w:tcW w:w="1340" w:type="dxa"/>
            <w:vAlign w:val="bottom"/>
            <w:gridSpan w:val="4"/>
          </w:tcPr>
          <w:p>
            <w:pPr>
              <w:jc w:val="right"/>
              <w:spacing w:after="0"/>
              <w:rPr>
                <w:sz w:val="20"/>
                <w:szCs w:val="20"/>
                <w:color w:val="auto"/>
              </w:rPr>
            </w:pPr>
            <w:r>
              <w:rPr>
                <w:rFonts w:ascii="Arial" w:cs="Arial" w:eastAsia="Arial" w:hAnsi="Arial"/>
                <w:sz w:val="16"/>
                <w:szCs w:val="16"/>
                <w:color w:val="auto"/>
              </w:rPr>
              <w:t>0.03 %</w:t>
            </w:r>
          </w:p>
        </w:tc>
      </w:tr>
      <w:tr>
        <w:trPr>
          <w:trHeight w:val="205"/>
        </w:trPr>
        <w:tc>
          <w:tcPr>
            <w:tcW w:w="3700" w:type="dxa"/>
            <w:vAlign w:val="bottom"/>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3,755,297</w:t>
            </w:r>
          </w:p>
        </w:tc>
        <w:tc>
          <w:tcPr>
            <w:tcW w:w="1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(500,192 )</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3,255,211</w:t>
            </w:r>
          </w:p>
        </w:tc>
        <w:tc>
          <w:tcPr>
            <w:tcW w:w="100" w:type="dxa"/>
            <w:vAlign w:val="bottom"/>
          </w:tcPr>
          <w:p>
            <w:pPr>
              <w:spacing w:after="0"/>
              <w:rPr>
                <w:sz w:val="17"/>
                <w:szCs w:val="17"/>
                <w:color w:val="auto"/>
              </w:rPr>
            </w:pPr>
          </w:p>
        </w:tc>
        <w:tc>
          <w:tcPr>
            <w:tcW w:w="1340" w:type="dxa"/>
            <w:vAlign w:val="bottom"/>
            <w:gridSpan w:val="4"/>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548,771</w:t>
            </w:r>
          </w:p>
        </w:tc>
        <w:tc>
          <w:tcPr>
            <w:tcW w:w="1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(114,343 )</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434,428</w:t>
            </w:r>
          </w:p>
        </w:tc>
        <w:tc>
          <w:tcPr>
            <w:tcW w:w="10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21.48%</w:t>
            </w: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706,796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(105,867 )</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600,929</w:t>
            </w:r>
          </w:p>
        </w:tc>
        <w:tc>
          <w:tcPr>
            <w:tcW w:w="1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27.67%</w:t>
            </w: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827,346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(131,730 )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695,616</w:t>
            </w:r>
          </w:p>
        </w:tc>
        <w:tc>
          <w:tcPr>
            <w:tcW w:w="10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32.39%</w:t>
            </w: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471,388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(47,687 )</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424,614</w:t>
            </w:r>
          </w:p>
        </w:tc>
        <w:tc>
          <w:tcPr>
            <w:tcW w:w="1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18.46%</w:t>
            </w:r>
          </w:p>
        </w:tc>
        <w:tc>
          <w:tcPr>
            <w:tcW w:w="60" w:type="dxa"/>
            <w:vAlign w:val="bottom"/>
          </w:tcPr>
          <w:p>
            <w:pPr>
              <w:spacing w:after="0"/>
              <w:rPr>
                <w:sz w:val="17"/>
                <w:szCs w:val="17"/>
                <w:color w:val="auto"/>
              </w:rPr>
            </w:pPr>
          </w:p>
        </w:tc>
      </w:tr>
      <w:tr>
        <w:trPr>
          <w:trHeight w:val="204"/>
        </w:trPr>
        <w:tc>
          <w:tcPr>
            <w:tcW w:w="3700" w:type="dxa"/>
            <w:vAlign w:val="bottom"/>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2,554,301</w:t>
            </w:r>
          </w:p>
        </w:tc>
        <w:tc>
          <w:tcPr>
            <w:tcW w:w="1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913</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(399,627 )</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2,155,587</w:t>
            </w:r>
          </w:p>
        </w:tc>
        <w:tc>
          <w:tcPr>
            <w:tcW w:w="100" w:type="dxa"/>
            <w:vAlign w:val="bottom"/>
          </w:tcPr>
          <w:p>
            <w:pPr>
              <w:spacing w:after="0"/>
              <w:rPr>
                <w:sz w:val="17"/>
                <w:szCs w:val="17"/>
                <w:color w:val="auto"/>
              </w:rPr>
            </w:pPr>
          </w:p>
        </w:tc>
        <w:tc>
          <w:tcPr>
            <w:tcW w:w="1340" w:type="dxa"/>
            <w:vAlign w:val="bottom"/>
            <w:gridSpan w:val="4"/>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ectPr>
          <w:pgSz w:w="11900" w:h="16840" w:orient="portrait"/>
          <w:cols w:equalWidth="0" w:num="1">
            <w:col w:w="10620"/>
          </w:cols>
          <w:pgMar w:left="660" w:top="782" w:right="620" w:bottom="1440" w:gutter="0" w:footer="0" w:header="0"/>
        </w:sectPr>
      </w:pPr>
    </w:p>
    <w:bookmarkStart w:id="12" w:name="page13"/>
    <w:bookmarkEnd w:id="12"/>
    <w:p>
      <w:pPr>
        <w:ind w:right="240"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following table provides information about the amount of interest income earned on investment securities which is fully taxable and which is exempt from regular federal income tax.</w:t>
      </w:r>
    </w:p>
    <w:p>
      <w:pPr>
        <w:sectPr>
          <w:pgSz w:w="11900" w:h="16840" w:orient="portrait"/>
          <w:cols w:equalWidth="0" w:num="1">
            <w:col w:w="10560"/>
          </w:cols>
          <w:pgMar w:left="660" w:top="790" w:right="680" w:bottom="1440" w:gutter="0" w:footer="0" w:header="0"/>
        </w:sectPr>
      </w:pPr>
    </w:p>
    <w:p>
      <w:pPr>
        <w:spacing w:after="0" w:line="182"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Three Months Ended</w:t>
      </w:r>
    </w:p>
    <w:p>
      <w:pPr>
        <w:spacing w:after="0" w:line="56" w:lineRule="exact"/>
        <w:rPr>
          <w:sz w:val="20"/>
          <w:szCs w:val="20"/>
          <w:color w:val="auto"/>
        </w:rPr>
      </w:pPr>
    </w:p>
    <w:p>
      <w:pPr>
        <w:jc w:val="center"/>
        <w:ind w:left="57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Six Months Ended</w:t>
      </w:r>
    </w:p>
    <w:p>
      <w:pPr>
        <w:spacing w:after="0" w:line="56"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p>
    <w:p>
      <w:pPr>
        <w:sectPr>
          <w:pgSz w:w="11900" w:h="16840" w:orient="portrait"/>
          <w:cols w:equalWidth="0" w:num="2">
            <w:col w:w="8100" w:space="720"/>
            <w:col w:w="1740"/>
          </w:cols>
          <w:pgMar w:left="660" w:top="790" w:right="680" w:bottom="1440" w:gutter="0" w:footer="0" w:header="0"/>
          <w:type w:val="continuous"/>
        </w:sectPr>
      </w:pPr>
    </w:p>
    <w:p>
      <w:pPr>
        <w:ind w:left="6000"/>
        <w:spacing w:after="0"/>
        <w:rPr>
          <w:sz w:val="20"/>
          <w:szCs w:val="20"/>
          <w:color w:val="auto"/>
        </w:rPr>
      </w:pP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2022</w:t>
      </w:r>
    </w:p>
    <w:p>
      <w:pPr>
        <w:spacing w:after="0" w:line="44" w:lineRule="exact"/>
        <w:rPr>
          <w:sz w:val="20"/>
          <w:szCs w:val="20"/>
          <w:color w:val="auto"/>
        </w:rPr>
      </w:pPr>
    </w:p>
    <w:p>
      <w:pPr>
        <w:sectPr>
          <w:pgSz w:w="11900" w:h="16840" w:orient="portrait"/>
          <w:cols w:equalWidth="0" w:num="4">
            <w:col w:w="6720" w:space="720"/>
            <w:col w:w="620" w:space="720"/>
            <w:col w:w="400" w:space="720"/>
            <w:col w:w="660"/>
          </w:cols>
          <w:pgMar w:left="660" w:top="790" w:right="680" w:bottom="1440" w:gutter="0" w:footer="0" w:header="0"/>
          <w:type w:val="continuous"/>
        </w:sectPr>
      </w:pPr>
    </w:p>
    <w:p>
      <w:pPr>
        <w:ind w:left="7340"/>
        <w:spacing w:after="0"/>
        <w:rPr>
          <w:sz w:val="20"/>
          <w:szCs w:val="20"/>
          <w:color w:val="auto"/>
        </w:rPr>
      </w:pPr>
      <w:r>
        <w:rPr>
          <w:rFonts w:ascii="Arial" w:cs="Arial" w:eastAsia="Arial" w:hAnsi="Arial"/>
          <w:sz w:val="14"/>
          <w:szCs w:val="14"/>
          <w:i w:val="1"/>
          <w:iCs w:val="1"/>
          <w:color w:val="auto"/>
        </w:rPr>
        <w:t>(Dollars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Taxable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19,187</w:t>
            </w:r>
          </w:p>
        </w:tc>
        <w:tc>
          <w:tcPr>
            <w:tcW w:w="660" w:type="dxa"/>
            <w:vAlign w:val="bottom"/>
            <w:gridSpan w:val="2"/>
          </w:tcPr>
          <w:p>
            <w:pPr>
              <w:jc w:val="right"/>
              <w:ind w:right="18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16,863</w:t>
            </w:r>
          </w:p>
        </w:tc>
        <w:tc>
          <w:tcPr>
            <w:tcW w:w="5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38,615</w:t>
            </w:r>
          </w:p>
        </w:tc>
        <w:tc>
          <w:tcPr>
            <w:tcW w:w="4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29,512</w:t>
            </w:r>
          </w:p>
        </w:tc>
        <w:tc>
          <w:tcPr>
            <w:tcW w:w="80" w:type="dxa"/>
            <w:vAlign w:val="bottom"/>
          </w:tcPr>
          <w:p>
            <w:pPr>
              <w:spacing w:after="0"/>
              <w:rPr>
                <w:sz w:val="17"/>
                <w:szCs w:val="17"/>
                <w:color w:val="auto"/>
              </w:rPr>
            </w:pPr>
          </w:p>
        </w:tc>
      </w:tr>
      <w:tr>
        <w:trPr>
          <w:trHeight w:val="205"/>
        </w:trPr>
        <w:tc>
          <w:tcPr>
            <w:tcW w:w="56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Tax-advantaged</w:t>
            </w: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80" w:type="dxa"/>
            <w:vAlign w:val="bottom"/>
            <w:shd w:val="clear" w:color="auto" w:fill="CFF0FC"/>
          </w:tcPr>
          <w:p>
            <w:pPr>
              <w:spacing w:after="0"/>
              <w:rPr>
                <w:sz w:val="17"/>
                <w:szCs w:val="17"/>
                <w:color w:val="auto"/>
              </w:rPr>
            </w:pPr>
          </w:p>
        </w:tc>
      </w:tr>
      <w:tr>
        <w:trPr>
          <w:trHeight w:val="203"/>
        </w:trPr>
        <w:tc>
          <w:tcPr>
            <w:tcW w:w="5620" w:type="dxa"/>
            <w:vAlign w:val="bottom"/>
          </w:tcPr>
          <w:p>
            <w:pPr>
              <w:ind w:left="260"/>
              <w:spacing w:after="0"/>
              <w:rPr>
                <w:sz w:val="20"/>
                <w:szCs w:val="20"/>
                <w:color w:val="auto"/>
              </w:rPr>
            </w:pPr>
            <w:r>
              <w:rPr>
                <w:rFonts w:ascii="Arial" w:cs="Arial" w:eastAsia="Arial" w:hAnsi="Arial"/>
                <w:sz w:val="16"/>
                <w:szCs w:val="16"/>
                <w:color w:val="auto"/>
              </w:rPr>
              <w:t>Total interest income from available-for-sale securities</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19,356</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17,042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38,952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29,874</w:t>
            </w:r>
          </w:p>
        </w:tc>
        <w:tc>
          <w:tcPr>
            <w:tcW w:w="80" w:type="dxa"/>
            <w:vAlign w:val="bottom"/>
          </w:tcPr>
          <w:p>
            <w:pPr>
              <w:spacing w:after="0"/>
              <w:rPr>
                <w:sz w:val="17"/>
                <w:szCs w:val="17"/>
                <w:color w:val="auto"/>
              </w:rPr>
            </w:pPr>
          </w:p>
        </w:tc>
      </w:tr>
      <w:tr>
        <w:trPr>
          <w:trHeight w:val="205"/>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held-to-maturity:</w:t>
            </w: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Taxable</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11,293</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9,978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22,800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19,082</w:t>
            </w:r>
          </w:p>
        </w:tc>
        <w:tc>
          <w:tcPr>
            <w:tcW w:w="80" w:type="dxa"/>
            <w:vAlign w:val="bottom"/>
          </w:tcPr>
          <w:p>
            <w:pPr>
              <w:spacing w:after="0"/>
              <w:rPr>
                <w:sz w:val="17"/>
                <w:szCs w:val="17"/>
                <w:color w:val="auto"/>
              </w:rPr>
            </w:pPr>
          </w:p>
        </w:tc>
      </w:tr>
      <w:tr>
        <w:trPr>
          <w:trHeight w:val="205"/>
        </w:trPr>
        <w:tc>
          <w:tcPr>
            <w:tcW w:w="56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Tax-advantaged</w:t>
            </w: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2,447</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3,295</w:t>
            </w:r>
          </w:p>
        </w:tc>
        <w:tc>
          <w:tcPr>
            <w:tcW w:w="80" w:type="dxa"/>
            <w:vAlign w:val="bottom"/>
            <w:shd w:val="clear" w:color="auto" w:fill="CFF0FC"/>
          </w:tcPr>
          <w:p>
            <w:pPr>
              <w:spacing w:after="0"/>
              <w:rPr>
                <w:sz w:val="17"/>
                <w:szCs w:val="17"/>
                <w:color w:val="auto"/>
              </w:rPr>
            </w:pPr>
          </w:p>
        </w:tc>
      </w:tr>
      <w:tr>
        <w:trPr>
          <w:trHeight w:val="203"/>
        </w:trPr>
        <w:tc>
          <w:tcPr>
            <w:tcW w:w="5620" w:type="dxa"/>
            <w:vAlign w:val="bottom"/>
          </w:tcPr>
          <w:p>
            <w:pPr>
              <w:ind w:left="260"/>
              <w:spacing w:after="0"/>
              <w:rPr>
                <w:sz w:val="20"/>
                <w:szCs w:val="20"/>
                <w:color w:val="auto"/>
              </w:rPr>
            </w:pPr>
            <w:r>
              <w:rPr>
                <w:rFonts w:ascii="Arial" w:cs="Arial" w:eastAsia="Arial" w:hAnsi="Arial"/>
                <w:sz w:val="16"/>
                <w:szCs w:val="16"/>
                <w:color w:val="auto"/>
              </w:rPr>
              <w:t>Total interest income from held-to-maturity securities</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13,740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11,714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27,696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22,377</w:t>
            </w:r>
          </w:p>
        </w:tc>
        <w:tc>
          <w:tcPr>
            <w:tcW w:w="80" w:type="dxa"/>
            <w:vAlign w:val="bottom"/>
          </w:tcPr>
          <w:p>
            <w:pPr>
              <w:spacing w:after="0"/>
              <w:rPr>
                <w:sz w:val="17"/>
                <w:szCs w:val="17"/>
                <w:color w:val="auto"/>
              </w:rPr>
            </w:pPr>
          </w:p>
        </w:tc>
      </w:tr>
      <w:tr>
        <w:trPr>
          <w:trHeight w:val="245"/>
        </w:trPr>
        <w:tc>
          <w:tcPr>
            <w:tcW w:w="562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interest income from investment securities</w:t>
            </w: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33,096</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28,756</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66,648</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52,251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73" w:lineRule="exact"/>
        <w:rPr>
          <w:sz w:val="20"/>
          <w:szCs w:val="20"/>
          <w:color w:val="auto"/>
        </w:rPr>
      </w:pPr>
    </w:p>
    <w:p>
      <w:pPr>
        <w:ind w:right="240" w:firstLine="432"/>
        <w:spacing w:after="0"/>
        <w:rPr>
          <w:sz w:val="20"/>
          <w:szCs w:val="20"/>
          <w:color w:val="auto"/>
        </w:rPr>
      </w:pPr>
      <w:r>
        <w:rPr>
          <w:rFonts w:ascii="Arial" w:cs="Arial" w:eastAsia="Arial" w:hAnsi="Arial"/>
          <w:sz w:val="16"/>
          <w:szCs w:val="16"/>
          <w:color w:val="auto"/>
        </w:rPr>
        <w:t>Approximately 91% of the total investment securities portfolio at June 30, 2023 represents securities issued by the U.S. government or U.S. government- sponsored enterprises, with the implied guarantee of payment of principal and interest. The remaining securities are predominately AA or higher rated general-obligation municipal bonds. The allowance for credit losses for held-to-maturity investment securities under the CECL model was zero at June 30, 2023 and December 31, 2022.</w:t>
      </w:r>
    </w:p>
    <w:p>
      <w:pPr>
        <w:spacing w:after="0" w:line="164" w:lineRule="exact"/>
        <w:rPr>
          <w:sz w:val="20"/>
          <w:szCs w:val="20"/>
          <w:color w:val="auto"/>
        </w:rPr>
      </w:pPr>
    </w:p>
    <w:p>
      <w:pPr>
        <w:ind w:right="60" w:firstLine="432"/>
        <w:spacing w:after="0" w:line="252" w:lineRule="auto"/>
        <w:rPr>
          <w:sz w:val="20"/>
          <w:szCs w:val="20"/>
          <w:color w:val="auto"/>
        </w:rPr>
      </w:pPr>
      <w:r>
        <w:rPr>
          <w:rFonts w:ascii="Arial" w:cs="Arial" w:eastAsia="Arial" w:hAnsi="Arial"/>
          <w:sz w:val="16"/>
          <w:szCs w:val="16"/>
          <w:color w:val="auto"/>
        </w:rPr>
        <w:t>The following table presents the Company’s available-for-sale and held-to-maturity investment securities, by investment category, in an unrealized loss position for which an allowance for credit losses has not been recorded as of June 30, 2023 and December 31,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12 Months or Longer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4"/>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Holding</w:t>
            </w:r>
          </w:p>
        </w:tc>
        <w:tc>
          <w:tcPr>
            <w:tcW w:w="80" w:type="dxa"/>
            <w:vAlign w:val="bottom"/>
          </w:tcPr>
          <w:p>
            <w:pPr>
              <w:spacing w:after="0"/>
              <w:rPr>
                <w:sz w:val="14"/>
                <w:szCs w:val="14"/>
                <w:color w:val="auto"/>
              </w:rPr>
            </w:pP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7"/>
                <w:szCs w:val="17"/>
                <w:color w:val="auto"/>
              </w:rPr>
            </w:pP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80,414</w:t>
            </w:r>
          </w:p>
        </w:tc>
        <w:tc>
          <w:tcPr>
            <w:tcW w:w="12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(3,322 )</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2,551,205</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(381,941 )</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2,631,619</w:t>
            </w:r>
          </w:p>
        </w:tc>
        <w:tc>
          <w:tcPr>
            <w:tcW w:w="8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(385,263 )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407,711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(111,170 )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408,456</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(111,187 )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(47 )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17,940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(1,236 )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24,382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(1,283 )</w:t>
            </w:r>
          </w:p>
        </w:tc>
      </w:tr>
      <w:tr>
        <w:trPr>
          <w:trHeight w:val="23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87,601</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(3,386 )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2,976,856</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(494,347 )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3,064,457</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(497,733 )</w:t>
            </w:r>
          </w:p>
        </w:tc>
      </w:tr>
      <w:tr>
        <w:trPr>
          <w:trHeight w:val="165"/>
        </w:trPr>
        <w:tc>
          <w:tcPr>
            <w:tcW w:w="334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243"/>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14,155</w:t>
            </w:r>
          </w:p>
        </w:tc>
        <w:tc>
          <w:tcPr>
            <w:tcW w:w="1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line="243" w:lineRule="exact"/>
              <w:rPr>
                <w:sz w:val="20"/>
                <w:szCs w:val="20"/>
                <w:color w:val="auto"/>
              </w:rPr>
            </w:pPr>
            <w:r>
              <w:rPr>
                <w:rFonts w:ascii="Arial" w:cs="Arial" w:eastAsia="Arial" w:hAnsi="Arial"/>
                <w:sz w:val="14"/>
                <w:szCs w:val="14"/>
                <w:color w:val="auto"/>
              </w:rPr>
              <w:t xml:space="preserve">(619 </w:t>
            </w:r>
            <w:r>
              <w:rPr>
                <w:rFonts w:ascii="Arial" w:cs="Arial" w:eastAsia="Arial" w:hAnsi="Arial"/>
                <w:sz w:val="28"/>
                <w:szCs w:val="28"/>
                <w:color w:val="auto"/>
                <w:vertAlign w:val="subscript"/>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419,516</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(104,633 )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433,671</w:t>
            </w:r>
          </w:p>
        </w:tc>
        <w:tc>
          <w:tcPr>
            <w:tcW w:w="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(105,252 )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91,805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(3,138 )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489,463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(100,511 )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581,268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(103,649 )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47,110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(2,884 )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615,080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(152,727 )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662,190</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(155,611 )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92,899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(2,499 )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253,674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(38,697 )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346,573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(41,196 )</w:t>
            </w:r>
          </w:p>
        </w:tc>
      </w:tr>
      <w:tr>
        <w:trPr>
          <w:trHeight w:val="21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245,969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(9,140 )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1,777,733</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(396,568 )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2,023,702</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(405,708 )</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40" w:orient="portrait"/>
          <w:cols w:equalWidth="0" w:num="1">
            <w:col w:w="10560"/>
          </w:cols>
          <w:pgMar w:left="660" w:top="790" w:right="68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12 Months or Longer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Holding</w:t>
            </w: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1,658,331</w:t>
            </w:r>
          </w:p>
        </w:tc>
        <w:tc>
          <w:tcPr>
            <w:tcW w:w="12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(187,842 )</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1,129,257</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(215,207 )</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2,787,588</w:t>
            </w:r>
          </w:p>
        </w:tc>
        <w:tc>
          <w:tcPr>
            <w:tcW w:w="8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(403,049 )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54,005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(4,796 )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385,295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(91,170 )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439,300</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(95,966 )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(1,177 )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(1,177 )</w:t>
            </w:r>
          </w:p>
        </w:tc>
      </w:tr>
      <w:tr>
        <w:trPr>
          <w:trHeight w:val="23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1,736,843</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(193,815 )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1,514,552</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(306,377 )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3,251,395</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(500,192 )</w:t>
            </w:r>
          </w:p>
        </w:tc>
      </w:tr>
      <w:tr>
        <w:trPr>
          <w:trHeight w:val="357"/>
        </w:trPr>
        <w:tc>
          <w:tcPr>
            <w:tcW w:w="3340" w:type="dxa"/>
            <w:vAlign w:val="bottom"/>
            <w:tcBorders>
              <w:top w:val="single" w:sz="8" w:color="CFF0FC"/>
            </w:tcBorders>
          </w:tcPr>
          <w:p>
            <w:pPr>
              <w:ind w:left="18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179,348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(39,866 )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255,080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(74,477 )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434,428</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(114,343 )</w:t>
            </w:r>
          </w:p>
        </w:tc>
      </w:tr>
      <w:tr>
        <w:trPr>
          <w:trHeight w:val="160"/>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188,480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412,449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(96,825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600,929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5"/>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(9,042 )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(105,867 )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376,540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(60,598 )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319,076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(71,132 )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695,616</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(131,730 )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312,702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(35,656 )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53,350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(12,031 )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366,052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(47,687 )</w:t>
            </w:r>
          </w:p>
        </w:tc>
      </w:tr>
      <w:tr>
        <w:trPr>
          <w:trHeight w:val="21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1,057,070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(145,162 )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1,039,955</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(254,465 )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2,097,025</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(399,627 )</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ind w:right="140" w:firstLine="432"/>
        <w:spacing w:after="0"/>
        <w:rPr>
          <w:sz w:val="20"/>
          <w:szCs w:val="20"/>
          <w:color w:val="auto"/>
        </w:rPr>
      </w:pPr>
      <w:r>
        <w:rPr>
          <w:rFonts w:ascii="Arial" w:cs="Arial" w:eastAsia="Arial" w:hAnsi="Arial"/>
          <w:sz w:val="16"/>
          <w:szCs w:val="16"/>
          <w:color w:val="auto"/>
        </w:rPr>
        <w:t>At June 30, 2023, investment securities, with the following carrying values, were pledged to secure $1.87 billion of total deposits which includes $1.25 billion to secure public funds, $551.2 million of repurchase agreements, approximately $695 million of outstanding borrowings, and approximately $20 million for other purposes as required or permitted by law. In addition, investment securities having a carrying value of $1.9 billion were pledged to secure unused borrowing capacity as of June 30, 2023.</w:t>
      </w:r>
    </w:p>
    <w:p>
      <w:pPr>
        <w:spacing w:after="0" w:line="164" w:lineRule="exact"/>
        <w:rPr>
          <w:sz w:val="20"/>
          <w:szCs w:val="20"/>
          <w:color w:val="auto"/>
        </w:rPr>
      </w:pPr>
    </w:p>
    <w:p>
      <w:pPr>
        <w:ind w:right="80" w:firstLine="432"/>
        <w:spacing w:after="0"/>
        <w:rPr>
          <w:sz w:val="20"/>
          <w:szCs w:val="20"/>
          <w:color w:val="auto"/>
        </w:rPr>
      </w:pPr>
      <w:r>
        <w:rPr>
          <w:rFonts w:ascii="Arial" w:cs="Arial" w:eastAsia="Arial" w:hAnsi="Arial"/>
          <w:sz w:val="16"/>
          <w:szCs w:val="16"/>
          <w:color w:val="auto"/>
        </w:rPr>
        <w:t>At December 31, 2022, investment securities, with the following carrying values, were pledged to secure $1.56 billion of total deposits which includes $1.13 billion to secure public funds, $652.0 million of repurchase agreements, approximately $550 million of outstanding borrowings, and approximately $27 million for other purposes as required or permitted by law. In addition, investment securities having a carrying value of approximately $105 million were pledged to secure unused borrowing capacity as of December 31, 2022.</w:t>
      </w:r>
    </w:p>
    <w:p>
      <w:pPr>
        <w:spacing w:after="0" w:line="164" w:lineRule="exact"/>
        <w:rPr>
          <w:sz w:val="20"/>
          <w:szCs w:val="20"/>
          <w:color w:val="auto"/>
        </w:rPr>
      </w:pPr>
    </w:p>
    <w:p>
      <w:pPr>
        <w:ind w:right="220" w:firstLine="432"/>
        <w:spacing w:after="0" w:line="286" w:lineRule="auto"/>
        <w:rPr>
          <w:sz w:val="20"/>
          <w:szCs w:val="20"/>
          <w:color w:val="auto"/>
        </w:rPr>
      </w:pPr>
      <w:r>
        <w:rPr>
          <w:rFonts w:ascii="Arial" w:cs="Arial" w:eastAsia="Arial" w:hAnsi="Arial"/>
          <w:sz w:val="14"/>
          <w:szCs w:val="14"/>
          <w:color w:val="auto"/>
        </w:rPr>
        <w:t>The amortized cost and fair value of debt securities at June 30, 2023,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194"/>
              <w:spacing w:after="0"/>
              <w:rPr>
                <w:sz w:val="20"/>
                <w:szCs w:val="20"/>
                <w:color w:val="auto"/>
              </w:rPr>
            </w:pPr>
            <w:r>
              <w:rPr>
                <w:rFonts w:ascii="Arial" w:cs="Arial" w:eastAsia="Arial" w:hAnsi="Arial"/>
                <w:sz w:val="13"/>
                <w:szCs w:val="13"/>
                <w:b w:val="1"/>
                <w:bCs w:val="1"/>
                <w:color w:val="auto"/>
              </w:rPr>
              <w:t>June 30, 2023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5"/>
          </w:tcPr>
          <w:p>
            <w:pPr>
              <w:ind w:left="680"/>
              <w:spacing w:after="0"/>
              <w:rPr>
                <w:sz w:val="20"/>
                <w:szCs w:val="20"/>
                <w:color w:val="auto"/>
              </w:rPr>
            </w:pPr>
            <w:r>
              <w:rPr>
                <w:rFonts w:ascii="Arial" w:cs="Arial" w:eastAsia="Arial" w:hAnsi="Arial"/>
                <w:sz w:val="13"/>
                <w:szCs w:val="13"/>
                <w:b w:val="1"/>
                <w:bCs w:val="1"/>
                <w:color w:val="auto"/>
              </w:rPr>
              <w:t>Available-for-sale</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gridSpan w:val="6"/>
          </w:tcPr>
          <w:p>
            <w:pPr>
              <w:ind w:left="280"/>
              <w:spacing w:after="0"/>
              <w:rPr>
                <w:sz w:val="20"/>
                <w:szCs w:val="20"/>
                <w:color w:val="auto"/>
              </w:rPr>
            </w:pPr>
            <w:r>
              <w:rPr>
                <w:rFonts w:ascii="Arial" w:cs="Arial" w:eastAsia="Arial" w:hAnsi="Arial"/>
                <w:sz w:val="13"/>
                <w:szCs w:val="13"/>
                <w:b w:val="1"/>
                <w:bCs w:val="1"/>
                <w:color w:val="auto"/>
              </w:rPr>
              <w:t>Held-to-maturity</w:t>
            </w:r>
          </w:p>
        </w:tc>
      </w:tr>
      <w:tr>
        <w:trPr>
          <w:trHeight w:val="180"/>
        </w:trPr>
        <w:tc>
          <w:tcPr>
            <w:tcW w:w="5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Amortized Cost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3"/>
                <w:szCs w:val="13"/>
                <w:b w:val="1"/>
                <w:bCs w:val="1"/>
                <w:color w:val="auto"/>
              </w:rPr>
              <w:t>Amortized Cost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r>
      <w:tr>
        <w:trPr>
          <w:trHeight w:val="176"/>
        </w:trPr>
        <w:tc>
          <w:tcPr>
            <w:tcW w:w="5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Due in one year or less</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1,672</w:t>
            </w:r>
          </w:p>
        </w:tc>
        <w:tc>
          <w:tcPr>
            <w:tcW w:w="48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1,671</w:t>
            </w: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334"/>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12,503</w:t>
            </w:r>
          </w:p>
        </w:tc>
        <w:tc>
          <w:tcPr>
            <w:tcW w:w="10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11,943</w:t>
            </w:r>
          </w:p>
        </w:tc>
        <w:tc>
          <w:tcPr>
            <w:tcW w:w="80" w:type="dxa"/>
            <w:vAlign w:val="bottom"/>
            <w:shd w:val="clear" w:color="auto" w:fill="CFF0FC"/>
          </w:tcPr>
          <w:p>
            <w:pPr>
              <w:spacing w:after="0"/>
              <w:rPr>
                <w:sz w:val="16"/>
                <w:szCs w:val="16"/>
                <w:color w:val="auto"/>
              </w:rPr>
            </w:pPr>
          </w:p>
        </w:tc>
      </w:tr>
      <w:tr>
        <w:trPr>
          <w:trHeight w:val="175"/>
        </w:trPr>
        <w:tc>
          <w:tcPr>
            <w:tcW w:w="500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326,240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298,804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35,475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34,143</w:t>
            </w:r>
          </w:p>
        </w:tc>
        <w:tc>
          <w:tcPr>
            <w:tcW w:w="80" w:type="dxa"/>
            <w:vAlign w:val="bottom"/>
          </w:tcPr>
          <w:p>
            <w:pPr>
              <w:spacing w:after="0"/>
              <w:rPr>
                <w:sz w:val="15"/>
                <w:szCs w:val="15"/>
                <w:color w:val="auto"/>
              </w:rPr>
            </w:pPr>
          </w:p>
        </w:tc>
      </w:tr>
      <w:tr>
        <w:trPr>
          <w:trHeight w:val="185"/>
        </w:trPr>
        <w:tc>
          <w:tcPr>
            <w:tcW w:w="5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Due after five years through ten years</w:t>
            </w: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2,195,487</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1,881,242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304,156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270,028</w:t>
            </w:r>
          </w:p>
        </w:tc>
        <w:tc>
          <w:tcPr>
            <w:tcW w:w="80" w:type="dxa"/>
            <w:vAlign w:val="bottom"/>
            <w:shd w:val="clear" w:color="auto" w:fill="CFF0FC"/>
          </w:tcPr>
          <w:p>
            <w:pPr>
              <w:spacing w:after="0"/>
              <w:rPr>
                <w:sz w:val="16"/>
                <w:szCs w:val="16"/>
                <w:color w:val="auto"/>
              </w:rPr>
            </w:pPr>
          </w:p>
        </w:tc>
      </w:tr>
      <w:tr>
        <w:trPr>
          <w:trHeight w:val="175"/>
        </w:trPr>
        <w:tc>
          <w:tcPr>
            <w:tcW w:w="5000" w:type="dxa"/>
            <w:vAlign w:val="bottom"/>
          </w:tcPr>
          <w:p>
            <w:pPr>
              <w:ind w:left="20"/>
              <w:spacing w:after="0"/>
              <w:rPr>
                <w:sz w:val="20"/>
                <w:szCs w:val="20"/>
                <w:color w:val="auto"/>
              </w:rPr>
            </w:pPr>
            <w:r>
              <w:rPr>
                <w:rFonts w:ascii="Arial" w:cs="Arial" w:eastAsia="Arial" w:hAnsi="Arial"/>
                <w:sz w:val="13"/>
                <w:szCs w:val="13"/>
                <w:color w:val="auto"/>
              </w:rPr>
              <w:t>Due after ten years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1,053,538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886,434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2,160,573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1,792,539</w:t>
            </w:r>
          </w:p>
        </w:tc>
        <w:tc>
          <w:tcPr>
            <w:tcW w:w="80" w:type="dxa"/>
            <w:vAlign w:val="bottom"/>
          </w:tcPr>
          <w:p>
            <w:pPr>
              <w:spacing w:after="0"/>
              <w:rPr>
                <w:sz w:val="15"/>
                <w:szCs w:val="15"/>
                <w:color w:val="auto"/>
              </w:rPr>
            </w:pPr>
          </w:p>
        </w:tc>
      </w:tr>
      <w:tr>
        <w:trPr>
          <w:trHeight w:val="225"/>
        </w:trPr>
        <w:tc>
          <w:tcPr>
            <w:tcW w:w="50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Total investment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3,576,937</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3,068,151</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4"/>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2,512,707</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2,108,653</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73" w:lineRule="exact"/>
        <w:rPr>
          <w:sz w:val="20"/>
          <w:szCs w:val="20"/>
          <w:color w:val="auto"/>
        </w:rPr>
      </w:pPr>
    </w:p>
    <w:p>
      <w:pPr>
        <w:ind w:right="300" w:firstLine="432"/>
        <w:spacing w:after="0" w:line="252" w:lineRule="auto"/>
        <w:rPr>
          <w:sz w:val="20"/>
          <w:szCs w:val="20"/>
          <w:color w:val="auto"/>
        </w:rPr>
      </w:pPr>
      <w:r>
        <w:rPr>
          <w:rFonts w:ascii="Arial" w:cs="Arial" w:eastAsia="Arial" w:hAnsi="Arial"/>
          <w:sz w:val="16"/>
          <w:szCs w:val="16"/>
          <w:color w:val="auto"/>
        </w:rPr>
        <w:t>The investment in FHLB stock is periodically evaluated for impairment based on, among other things, the capital adequacy of the FHLB and its overall financial condition. No impairment losses have been recorded through June 30, 2023.</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40" w:orient="portrait"/>
          <w:cols w:equalWidth="0" w:num="1">
            <w:col w:w="10560"/>
          </w:cols>
          <w:pgMar w:left="660" w:top="997" w:right="680" w:bottom="1440" w:gutter="0" w:footer="0" w:header="0"/>
        </w:sectPr>
      </w:pPr>
    </w:p>
    <w:bookmarkStart w:id="14" w:name="page15"/>
    <w:bookmarkEnd w:id="14"/>
    <w:p>
      <w:pPr>
        <w:jc w:val="right"/>
        <w:ind w:left="440" w:right="3780" w:hanging="434"/>
        <w:spacing w:after="0" w:line="563" w:lineRule="auto"/>
        <w:tabs>
          <w:tab w:leader="none" w:pos="311"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 xml:space="preserve">LOANS AND LEASE FINANCE RECEIVABLES AND ALLOWANCE FOR CREDIT LOSSES </w:t>
      </w:r>
      <w:r>
        <w:rPr>
          <w:rFonts w:ascii="Arial" w:cs="Arial" w:eastAsia="Arial" w:hAnsi="Arial"/>
          <w:sz w:val="14"/>
          <w:szCs w:val="14"/>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December 31, 2022</w:t>
            </w:r>
          </w:p>
        </w:tc>
      </w:tr>
      <w:tr>
        <w:trPr>
          <w:trHeight w:val="188"/>
        </w:trPr>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6"/>
          </w:tcPr>
          <w:p>
            <w:pPr>
              <w:jc w:val="right"/>
              <w:ind w:right="1380"/>
              <w:spacing w:after="0"/>
              <w:rPr>
                <w:sz w:val="20"/>
                <w:szCs w:val="20"/>
                <w:color w:val="auto"/>
              </w:rPr>
            </w:pPr>
            <w:r>
              <w:rPr>
                <w:rFonts w:ascii="Arial" w:cs="Arial" w:eastAsia="Arial" w:hAnsi="Arial"/>
                <w:sz w:val="14"/>
                <w:szCs w:val="14"/>
                <w:i w:val="1"/>
                <w:iCs w:val="1"/>
                <w:color w:val="auto"/>
              </w:rPr>
              <w:t>(Dollars in thousands)</w:t>
            </w:r>
          </w:p>
        </w:tc>
      </w:tr>
      <w:tr>
        <w:trPr>
          <w:trHeight w:val="210"/>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6,904,095</w:t>
            </w: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6,884,948</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68,836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88,271</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278,904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290,908</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SBA - Paycheck Protection Program (PPP)</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9,087</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956,242</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948,683</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298,247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433,564</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77,867</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81,126</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263,201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266,024</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54,988</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76,781</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60"/>
              <w:spacing w:after="0"/>
              <w:rPr>
                <w:sz w:val="20"/>
                <w:szCs w:val="20"/>
                <w:color w:val="auto"/>
              </w:rPr>
            </w:pPr>
            <w:r>
              <w:rPr>
                <w:rFonts w:ascii="Arial" w:cs="Arial" w:eastAsia="Arial" w:hAnsi="Arial"/>
                <w:sz w:val="16"/>
                <w:szCs w:val="16"/>
                <w:color w:val="auto"/>
              </w:rPr>
              <w:t>Total loans, at amortized cost</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8,907,397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9,079,392</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2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(86,967 )</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(85,117 )</w:t>
            </w:r>
          </w:p>
        </w:tc>
      </w:tr>
      <w:tr>
        <w:trPr>
          <w:trHeight w:val="204"/>
        </w:trPr>
        <w:tc>
          <w:tcPr>
            <w:tcW w:w="6500" w:type="dxa"/>
            <w:vAlign w:val="bottom"/>
          </w:tcPr>
          <w:p>
            <w:pPr>
              <w:ind w:left="380"/>
              <w:spacing w:after="0"/>
              <w:rPr>
                <w:sz w:val="20"/>
                <w:szCs w:val="20"/>
                <w:color w:val="auto"/>
              </w:rPr>
            </w:pPr>
            <w:r>
              <w:rPr>
                <w:rFonts w:ascii="Arial" w:cs="Arial" w:eastAsia="Arial" w:hAnsi="Arial"/>
                <w:sz w:val="16"/>
                <w:szCs w:val="16"/>
                <w:color w:val="auto"/>
              </w:rPr>
              <w:t>Total loans and lease finance receivables, net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8,820,430</w:t>
            </w:r>
          </w:p>
        </w:tc>
        <w:tc>
          <w:tcPr>
            <w:tcW w:w="1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8,994,275</w:t>
            </w:r>
          </w:p>
        </w:tc>
        <w:tc>
          <w:tcPr>
            <w:tcW w:w="8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As of June 30, 2023, 81.24% of the Company’s total loan portfolio consisted of real estate loans, with commercial real estate loans representing 77. 51% of total loans. The Company’s real estate loans and construction loans are secured by real properties primarily located in California. As of June 30, 2023, $517.6 million, or 7.50% of the total commercial real estate loans included loans secured by farmland, compared to $517.8 million, or 7.52%, at December 31, 2022. The loans secured by farmland included $135.8 million for loans secured by dairy &amp; livestock land and $381.8 million for loans secured by agricultural land at June 30, 2023, compared to $140.5 million for loans secured by dairy &amp; livestock land and $377.3 million for loans secured by agricultural land at December 31, 2022. As of June 30, 2023, dairy &amp; livestock and agribusiness loans of $298.2 million were comprised of $252.5 million of dairy &amp; livestock loans and $45.7 million of agribusiness loans, compared to $433.6 million comprised of $388.5 million of dairy &amp; livestock loans and $45.1 million of agribusiness loans December 31, 2022.</w:t>
      </w:r>
    </w:p>
    <w:p>
      <w:pPr>
        <w:spacing w:after="0" w:line="167" w:lineRule="exact"/>
        <w:rPr>
          <w:sz w:val="20"/>
          <w:szCs w:val="20"/>
          <w:color w:val="auto"/>
        </w:rPr>
      </w:pPr>
    </w:p>
    <w:p>
      <w:pPr>
        <w:ind w:right="120" w:firstLine="432"/>
        <w:spacing w:after="0" w:line="252" w:lineRule="auto"/>
        <w:rPr>
          <w:sz w:val="20"/>
          <w:szCs w:val="20"/>
          <w:color w:val="auto"/>
        </w:rPr>
      </w:pPr>
      <w:r>
        <w:rPr>
          <w:rFonts w:ascii="Arial" w:cs="Arial" w:eastAsia="Arial" w:hAnsi="Arial"/>
          <w:sz w:val="16"/>
          <w:szCs w:val="16"/>
          <w:color w:val="auto"/>
        </w:rPr>
        <w:t>At June 30, 2023 and December 31, 2022, loans with a carrying value totaling $4.29 billion and $4.30 billion, respectively, were pledged to secure available lines of credit from the FHLB and the Federal Reserve Bank.</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were no outstanding loans held-for-sale as of June 30, 2023 and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Quality Indicators</w:t>
      </w:r>
    </w:p>
    <w:p>
      <w:pPr>
        <w:spacing w:after="0" w:line="184" w:lineRule="exact"/>
        <w:rPr>
          <w:sz w:val="20"/>
          <w:szCs w:val="20"/>
          <w:color w:val="auto"/>
        </w:rPr>
      </w:pPr>
    </w:p>
    <w:p>
      <w:pPr>
        <w:ind w:right="60" w:firstLine="432"/>
        <w:spacing w:after="0" w:line="322" w:lineRule="auto"/>
        <w:rPr>
          <w:sz w:val="20"/>
          <w:szCs w:val="20"/>
          <w:color w:val="auto"/>
        </w:rPr>
      </w:pPr>
      <w:r>
        <w:rPr>
          <w:rFonts w:ascii="Arial" w:cs="Arial" w:eastAsia="Arial" w:hAnsi="Arial"/>
          <w:sz w:val="14"/>
          <w:szCs w:val="14"/>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08" w:lineRule="exact"/>
        <w:rPr>
          <w:sz w:val="20"/>
          <w:szCs w:val="20"/>
          <w:color w:val="auto"/>
        </w:rPr>
      </w:pPr>
    </w:p>
    <w:p>
      <w:pPr>
        <w:ind w:right="40" w:firstLine="432"/>
        <w:spacing w:after="0" w:line="239" w:lineRule="auto"/>
        <w:rPr>
          <w:sz w:val="20"/>
          <w:szCs w:val="20"/>
          <w:color w:val="auto"/>
        </w:rPr>
      </w:pPr>
      <w:r>
        <w:rPr>
          <w:rFonts w:ascii="Arial" w:cs="Arial" w:eastAsia="Arial" w:hAnsi="Arial"/>
          <w:sz w:val="16"/>
          <w:szCs w:val="16"/>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64" w:lineRule="exact"/>
        <w:rPr>
          <w:sz w:val="20"/>
          <w:szCs w:val="20"/>
          <w:color w:val="auto"/>
        </w:rPr>
      </w:pPr>
    </w:p>
    <w:p>
      <w:pPr>
        <w:ind w:right="220" w:firstLine="432"/>
        <w:spacing w:after="0" w:line="322" w:lineRule="auto"/>
        <w:rPr>
          <w:sz w:val="20"/>
          <w:szCs w:val="20"/>
          <w:color w:val="auto"/>
        </w:rPr>
      </w:pPr>
      <w:r>
        <w:rPr>
          <w:rFonts w:ascii="Arial" w:cs="Arial" w:eastAsia="Arial" w:hAnsi="Arial"/>
          <w:sz w:val="14"/>
          <w:szCs w:val="14"/>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08" w:lineRule="exact"/>
        <w:rPr>
          <w:sz w:val="20"/>
          <w:szCs w:val="20"/>
          <w:color w:val="auto"/>
        </w:rPr>
      </w:pPr>
    </w:p>
    <w:p>
      <w:pPr>
        <w:ind w:firstLine="432"/>
        <w:spacing w:after="0"/>
        <w:rPr>
          <w:sz w:val="20"/>
          <w:szCs w:val="20"/>
          <w:color w:val="auto"/>
        </w:rPr>
      </w:pPr>
      <w:r>
        <w:rPr>
          <w:rFonts w:ascii="Arial" w:cs="Arial" w:eastAsia="Arial" w:hAnsi="Arial"/>
          <w:sz w:val="16"/>
          <w:szCs w:val="16"/>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40" w:orient="portrait"/>
          <w:cols w:equalWidth="0" w:num="1">
            <w:col w:w="10580"/>
          </w:cols>
          <w:pgMar w:left="660" w:top="938" w:right="660" w:bottom="1440" w:gutter="0" w:footer="0" w:header="0"/>
        </w:sectPr>
      </w:pPr>
    </w:p>
    <w:bookmarkStart w:id="15" w:name="page16"/>
    <w:bookmarkEnd w:id="15"/>
    <w:p>
      <w:pPr>
        <w:ind w:firstLine="432"/>
        <w:spacing w:after="0" w:line="243" w:lineRule="auto"/>
        <w:rPr>
          <w:sz w:val="20"/>
          <w:szCs w:val="20"/>
          <w:color w:val="auto"/>
        </w:rPr>
      </w:pPr>
      <w:r>
        <w:rPr>
          <w:rFonts w:ascii="Arial" w:cs="Arial" w:eastAsia="Arial" w:hAnsi="Arial"/>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61" w:lineRule="exact"/>
        <w:rPr>
          <w:sz w:val="20"/>
          <w:szCs w:val="20"/>
          <w:color w:val="auto"/>
        </w:rPr>
      </w:pPr>
    </w:p>
    <w:p>
      <w:pPr>
        <w:ind w:firstLine="432"/>
        <w:spacing w:after="0" w:line="243" w:lineRule="auto"/>
        <w:rPr>
          <w:sz w:val="20"/>
          <w:szCs w:val="20"/>
          <w:color w:val="auto"/>
        </w:rPr>
      </w:pPr>
      <w:r>
        <w:rPr>
          <w:rFonts w:ascii="Arial" w:cs="Arial" w:eastAsia="Arial" w:hAnsi="Arial"/>
          <w:sz w:val="16"/>
          <w:szCs w:val="16"/>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61" w:lineRule="exact"/>
        <w:rPr>
          <w:sz w:val="20"/>
          <w:szCs w:val="20"/>
          <w:color w:val="auto"/>
        </w:rPr>
      </w:pPr>
    </w:p>
    <w:p>
      <w:pPr>
        <w:ind w:right="120" w:firstLine="432"/>
        <w:spacing w:after="0" w:line="322" w:lineRule="auto"/>
        <w:rPr>
          <w:sz w:val="20"/>
          <w:szCs w:val="20"/>
          <w:color w:val="auto"/>
        </w:rPr>
      </w:pPr>
      <w:r>
        <w:rPr>
          <w:rFonts w:ascii="Arial" w:cs="Arial" w:eastAsia="Arial" w:hAnsi="Arial"/>
          <w:sz w:val="14"/>
          <w:szCs w:val="14"/>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08" w:lineRule="exact"/>
        <w:rPr>
          <w:sz w:val="20"/>
          <w:szCs w:val="20"/>
          <w:color w:val="auto"/>
        </w:rPr>
      </w:pPr>
    </w:p>
    <w:p>
      <w:pPr>
        <w:ind w:right="120" w:firstLine="432"/>
        <w:spacing w:after="0" w:line="243" w:lineRule="auto"/>
        <w:rPr>
          <w:sz w:val="20"/>
          <w:szCs w:val="20"/>
          <w:color w:val="auto"/>
        </w:rPr>
      </w:pPr>
      <w:r>
        <w:rPr>
          <w:rFonts w:ascii="Arial" w:cs="Arial" w:eastAsia="Arial" w:hAnsi="Arial"/>
          <w:sz w:val="16"/>
          <w:szCs w:val="16"/>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16" w:name="page17"/>
    <w:bookmarkEnd w:id="16"/>
    <w:p>
      <w:pPr>
        <w:ind w:right="640" w:firstLine="432"/>
        <w:spacing w:after="0" w:line="252" w:lineRule="auto"/>
        <w:rPr>
          <w:sz w:val="20"/>
          <w:szCs w:val="20"/>
          <w:color w:val="auto"/>
        </w:rPr>
      </w:pPr>
      <w:r>
        <w:rPr>
          <w:rFonts w:ascii="Arial" w:cs="Arial" w:eastAsia="Arial" w:hAnsi="Arial"/>
          <w:sz w:val="16"/>
          <w:szCs w:val="16"/>
          <w:color w:val="auto"/>
        </w:rPr>
        <w:t>The following table summarizes loans by type and origination year, according to our internal risk ratings, and includes gross charge-offs in accordance with ASU 2022-02 effective January 1, 2023, as of the dates presented.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ind w:right="166"/>
              <w:spacing w:after="0"/>
              <w:rPr>
                <w:sz w:val="20"/>
                <w:szCs w:val="20"/>
                <w:color w:val="auto"/>
              </w:rPr>
            </w:pPr>
            <w:r>
              <w:rPr>
                <w:rFonts w:ascii="Arial" w:cs="Arial" w:eastAsia="Arial" w:hAnsi="Arial"/>
                <w:sz w:val="11"/>
                <w:szCs w:val="11"/>
                <w:b w:val="1"/>
                <w:bCs w:val="1"/>
                <w:color w:val="auto"/>
                <w:w w:val="98"/>
              </w:rPr>
              <w:t>Revolving</w:t>
            </w:r>
          </w:p>
        </w:tc>
        <w:tc>
          <w:tcPr>
            <w:tcW w:w="160" w:type="dxa"/>
            <w:vAlign w:val="bottom"/>
          </w:tcPr>
          <w:p>
            <w:pPr>
              <w:spacing w:after="0"/>
              <w:rPr>
                <w:sz w:val="11"/>
                <w:szCs w:val="11"/>
                <w:color w:val="auto"/>
              </w:rPr>
            </w:pPr>
          </w:p>
        </w:tc>
        <w:tc>
          <w:tcPr>
            <w:tcW w:w="820" w:type="dxa"/>
            <w:vAlign w:val="bottom"/>
          </w:tcPr>
          <w:p>
            <w:pPr>
              <w:jc w:val="center"/>
              <w:ind w:right="106"/>
              <w:spacing w:after="0"/>
              <w:rPr>
                <w:sz w:val="20"/>
                <w:szCs w:val="20"/>
                <w:color w:val="auto"/>
              </w:rPr>
            </w:pPr>
            <w:r>
              <w:rPr>
                <w:rFonts w:ascii="Arial" w:cs="Arial" w:eastAsia="Arial" w:hAnsi="Arial"/>
                <w:sz w:val="11"/>
                <w:szCs w:val="11"/>
                <w:b w:val="1"/>
                <w:bCs w:val="1"/>
                <w:color w:val="auto"/>
                <w:w w:val="95"/>
              </w:rPr>
              <w:t>Revolving</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ind w:right="166"/>
              <w:spacing w:after="0"/>
              <w:rPr>
                <w:sz w:val="20"/>
                <w:szCs w:val="20"/>
                <w:color w:val="auto"/>
              </w:rPr>
            </w:pPr>
            <w:r>
              <w:rPr>
                <w:rFonts w:ascii="Arial" w:cs="Arial" w:eastAsia="Arial" w:hAnsi="Arial"/>
                <w:sz w:val="11"/>
                <w:szCs w:val="11"/>
                <w:b w:val="1"/>
                <w:bCs w:val="1"/>
                <w:color w:val="auto"/>
                <w:w w:val="97"/>
              </w:rPr>
              <w:t>loans</w:t>
            </w:r>
          </w:p>
        </w:tc>
        <w:tc>
          <w:tcPr>
            <w:tcW w:w="160" w:type="dxa"/>
            <w:vAlign w:val="bottom"/>
          </w:tcPr>
          <w:p>
            <w:pPr>
              <w:spacing w:after="0"/>
              <w:rPr>
                <w:sz w:val="11"/>
                <w:szCs w:val="11"/>
                <w:color w:val="auto"/>
              </w:rPr>
            </w:pPr>
          </w:p>
        </w:tc>
        <w:tc>
          <w:tcPr>
            <w:tcW w:w="820" w:type="dxa"/>
            <w:vAlign w:val="bottom"/>
          </w:tcPr>
          <w:p>
            <w:pPr>
              <w:jc w:val="center"/>
              <w:ind w:right="86"/>
              <w:spacing w:after="0"/>
              <w:rPr>
                <w:sz w:val="20"/>
                <w:szCs w:val="20"/>
                <w:color w:val="auto"/>
              </w:rPr>
            </w:pPr>
            <w:r>
              <w:rPr>
                <w:rFonts w:ascii="Arial" w:cs="Arial" w:eastAsia="Arial" w:hAnsi="Arial"/>
                <w:sz w:val="11"/>
                <w:szCs w:val="11"/>
                <w:b w:val="1"/>
                <w:bCs w:val="1"/>
                <w:color w:val="auto"/>
                <w:w w:val="97"/>
              </w:rPr>
              <w:t>loans</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0"/>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b w:val="1"/>
                <w:bCs w:val="1"/>
                <w:color w:val="auto"/>
              </w:rPr>
              <w:t>Origination Year</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ind w:right="146"/>
              <w:spacing w:after="0"/>
              <w:rPr>
                <w:sz w:val="20"/>
                <w:szCs w:val="20"/>
                <w:color w:val="auto"/>
              </w:rPr>
            </w:pPr>
            <w:r>
              <w:rPr>
                <w:rFonts w:ascii="Arial" w:cs="Arial" w:eastAsia="Arial" w:hAnsi="Arial"/>
                <w:sz w:val="11"/>
                <w:szCs w:val="11"/>
                <w:b w:val="1"/>
                <w:bCs w:val="1"/>
                <w:color w:val="auto"/>
                <w:w w:val="96"/>
              </w:rPr>
              <w:t>amortized</w:t>
            </w:r>
          </w:p>
        </w:tc>
        <w:tc>
          <w:tcPr>
            <w:tcW w:w="160" w:type="dxa"/>
            <w:vAlign w:val="bottom"/>
          </w:tcPr>
          <w:p>
            <w:pPr>
              <w:spacing w:after="0"/>
              <w:rPr>
                <w:sz w:val="13"/>
                <w:szCs w:val="13"/>
                <w:color w:val="auto"/>
              </w:rPr>
            </w:pPr>
          </w:p>
        </w:tc>
        <w:tc>
          <w:tcPr>
            <w:tcW w:w="820" w:type="dxa"/>
            <w:vAlign w:val="bottom"/>
          </w:tcPr>
          <w:p>
            <w:pPr>
              <w:jc w:val="center"/>
              <w:ind w:right="106"/>
              <w:spacing w:after="0"/>
              <w:rPr>
                <w:sz w:val="20"/>
                <w:szCs w:val="20"/>
                <w:color w:val="auto"/>
              </w:rPr>
            </w:pPr>
            <w:r>
              <w:rPr>
                <w:rFonts w:ascii="Arial" w:cs="Arial" w:eastAsia="Arial" w:hAnsi="Arial"/>
                <w:sz w:val="11"/>
                <w:szCs w:val="11"/>
                <w:b w:val="1"/>
                <w:bCs w:val="1"/>
                <w:color w:val="auto"/>
                <w:w w:val="99"/>
              </w:rPr>
              <w:t>converted to</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June 30, 2023</w:t>
            </w:r>
          </w:p>
        </w:tc>
        <w:tc>
          <w:tcPr>
            <w:tcW w:w="500" w:type="dxa"/>
            <w:vAlign w:val="bottom"/>
          </w:tcPr>
          <w:p>
            <w:pPr>
              <w:spacing w:after="0"/>
              <w:rPr>
                <w:sz w:val="13"/>
                <w:szCs w:val="13"/>
                <w:color w:val="auto"/>
              </w:rPr>
            </w:pPr>
          </w:p>
        </w:tc>
        <w:tc>
          <w:tcPr>
            <w:tcW w:w="700" w:type="dxa"/>
            <w:vAlign w:val="bottom"/>
          </w:tcPr>
          <w:p>
            <w:pPr>
              <w:jc w:val="right"/>
              <w:ind w:right="326"/>
              <w:spacing w:after="0"/>
              <w:rPr>
                <w:sz w:val="20"/>
                <w:szCs w:val="20"/>
                <w:color w:val="auto"/>
              </w:rPr>
            </w:pPr>
            <w:r>
              <w:rPr>
                <w:rFonts w:ascii="Arial" w:cs="Arial" w:eastAsia="Arial" w:hAnsi="Arial"/>
                <w:sz w:val="11"/>
                <w:szCs w:val="11"/>
                <w:b w:val="1"/>
                <w:bCs w:val="1"/>
                <w:color w:val="auto"/>
              </w:rPr>
              <w:t>2023</w:t>
            </w:r>
          </w:p>
        </w:tc>
        <w:tc>
          <w:tcPr>
            <w:tcW w:w="280" w:type="dxa"/>
            <w:vAlign w:val="bottom"/>
          </w:tcPr>
          <w:p>
            <w:pPr>
              <w:spacing w:after="0"/>
              <w:rPr>
                <w:sz w:val="13"/>
                <w:szCs w:val="13"/>
                <w:color w:val="auto"/>
              </w:rPr>
            </w:pPr>
          </w:p>
        </w:tc>
        <w:tc>
          <w:tcPr>
            <w:tcW w:w="720" w:type="dxa"/>
            <w:vAlign w:val="bottom"/>
          </w:tcPr>
          <w:p>
            <w:pPr>
              <w:jc w:val="right"/>
              <w:ind w:right="326"/>
              <w:spacing w:after="0"/>
              <w:rPr>
                <w:sz w:val="20"/>
                <w:szCs w:val="20"/>
                <w:color w:val="auto"/>
              </w:rPr>
            </w:pPr>
            <w:r>
              <w:rPr>
                <w:rFonts w:ascii="Arial" w:cs="Arial" w:eastAsia="Arial" w:hAnsi="Arial"/>
                <w:sz w:val="11"/>
                <w:szCs w:val="11"/>
                <w:b w:val="1"/>
                <w:bCs w:val="1"/>
                <w:color w:val="auto"/>
              </w:rPr>
              <w:t>2022</w:t>
            </w:r>
          </w:p>
        </w:tc>
        <w:tc>
          <w:tcPr>
            <w:tcW w:w="280" w:type="dxa"/>
            <w:vAlign w:val="bottom"/>
          </w:tcPr>
          <w:p>
            <w:pPr>
              <w:spacing w:after="0"/>
              <w:rPr>
                <w:sz w:val="13"/>
                <w:szCs w:val="13"/>
                <w:color w:val="auto"/>
              </w:rPr>
            </w:pPr>
          </w:p>
        </w:tc>
        <w:tc>
          <w:tcPr>
            <w:tcW w:w="720" w:type="dxa"/>
            <w:vAlign w:val="bottom"/>
          </w:tcPr>
          <w:p>
            <w:pPr>
              <w:jc w:val="right"/>
              <w:ind w:right="326"/>
              <w:spacing w:after="0"/>
              <w:rPr>
                <w:sz w:val="20"/>
                <w:szCs w:val="20"/>
                <w:color w:val="auto"/>
              </w:rPr>
            </w:pPr>
            <w:r>
              <w:rPr>
                <w:rFonts w:ascii="Arial" w:cs="Arial" w:eastAsia="Arial" w:hAnsi="Arial"/>
                <w:sz w:val="11"/>
                <w:szCs w:val="11"/>
                <w:b w:val="1"/>
                <w:bCs w:val="1"/>
                <w:color w:val="auto"/>
              </w:rPr>
              <w:t>2021</w:t>
            </w:r>
          </w:p>
        </w:tc>
        <w:tc>
          <w:tcPr>
            <w:tcW w:w="360" w:type="dxa"/>
            <w:vAlign w:val="bottom"/>
          </w:tcPr>
          <w:p>
            <w:pPr>
              <w:spacing w:after="0"/>
              <w:rPr>
                <w:sz w:val="13"/>
                <w:szCs w:val="13"/>
                <w:color w:val="auto"/>
              </w:rPr>
            </w:pPr>
          </w:p>
        </w:tc>
        <w:tc>
          <w:tcPr>
            <w:tcW w:w="520" w:type="dxa"/>
            <w:vAlign w:val="bottom"/>
          </w:tcPr>
          <w:p>
            <w:pPr>
              <w:jc w:val="right"/>
              <w:ind w:right="226"/>
              <w:spacing w:after="0"/>
              <w:rPr>
                <w:sz w:val="20"/>
                <w:szCs w:val="20"/>
                <w:color w:val="auto"/>
              </w:rPr>
            </w:pPr>
            <w:r>
              <w:rPr>
                <w:rFonts w:ascii="Arial" w:cs="Arial" w:eastAsia="Arial" w:hAnsi="Arial"/>
                <w:sz w:val="11"/>
                <w:szCs w:val="11"/>
                <w:b w:val="1"/>
                <w:bCs w:val="1"/>
                <w:color w:val="auto"/>
                <w:w w:val="89"/>
              </w:rPr>
              <w:t>2020</w:t>
            </w:r>
          </w:p>
        </w:tc>
        <w:tc>
          <w:tcPr>
            <w:tcW w:w="340" w:type="dxa"/>
            <w:vAlign w:val="bottom"/>
          </w:tcPr>
          <w:p>
            <w:pPr>
              <w:spacing w:after="0"/>
              <w:rPr>
                <w:sz w:val="13"/>
                <w:szCs w:val="13"/>
                <w:color w:val="auto"/>
              </w:rPr>
            </w:pPr>
          </w:p>
        </w:tc>
        <w:tc>
          <w:tcPr>
            <w:tcW w:w="740" w:type="dxa"/>
            <w:vAlign w:val="bottom"/>
          </w:tcPr>
          <w:p>
            <w:pPr>
              <w:jc w:val="right"/>
              <w:ind w:right="366"/>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3"/>
                <w:szCs w:val="13"/>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780" w:type="dxa"/>
            <w:vAlign w:val="bottom"/>
          </w:tcPr>
          <w:p>
            <w:pPr>
              <w:jc w:val="center"/>
              <w:ind w:right="166"/>
              <w:spacing w:after="0"/>
              <w:rPr>
                <w:sz w:val="20"/>
                <w:szCs w:val="20"/>
                <w:color w:val="auto"/>
              </w:rPr>
            </w:pPr>
            <w:r>
              <w:rPr>
                <w:rFonts w:ascii="Arial" w:cs="Arial" w:eastAsia="Arial" w:hAnsi="Arial"/>
                <w:sz w:val="11"/>
                <w:szCs w:val="11"/>
                <w:b w:val="1"/>
                <w:bCs w:val="1"/>
                <w:color w:val="auto"/>
                <w:w w:val="96"/>
              </w:rPr>
              <w:t>cost basis</w:t>
            </w:r>
          </w:p>
        </w:tc>
        <w:tc>
          <w:tcPr>
            <w:tcW w:w="160" w:type="dxa"/>
            <w:vAlign w:val="bottom"/>
          </w:tcPr>
          <w:p>
            <w:pPr>
              <w:spacing w:after="0"/>
              <w:rPr>
                <w:sz w:val="13"/>
                <w:szCs w:val="13"/>
                <w:color w:val="auto"/>
              </w:rPr>
            </w:pPr>
          </w:p>
        </w:tc>
        <w:tc>
          <w:tcPr>
            <w:tcW w:w="820" w:type="dxa"/>
            <w:vAlign w:val="bottom"/>
          </w:tcPr>
          <w:p>
            <w:pPr>
              <w:jc w:val="center"/>
              <w:ind w:right="106"/>
              <w:spacing w:after="0"/>
              <w:rPr>
                <w:sz w:val="20"/>
                <w:szCs w:val="20"/>
                <w:color w:val="auto"/>
              </w:rPr>
            </w:pPr>
            <w:r>
              <w:rPr>
                <w:rFonts w:ascii="Arial" w:cs="Arial" w:eastAsia="Arial" w:hAnsi="Arial"/>
                <w:sz w:val="11"/>
                <w:szCs w:val="11"/>
                <w:b w:val="1"/>
                <w:bCs w:val="1"/>
                <w:color w:val="auto"/>
                <w:w w:val="96"/>
              </w:rPr>
              <w:t>term loans</w:t>
            </w:r>
          </w:p>
        </w:tc>
        <w:tc>
          <w:tcPr>
            <w:tcW w:w="280" w:type="dxa"/>
            <w:vAlign w:val="bottom"/>
          </w:tcPr>
          <w:p>
            <w:pPr>
              <w:spacing w:after="0"/>
              <w:rPr>
                <w:sz w:val="13"/>
                <w:szCs w:val="13"/>
                <w:color w:val="auto"/>
              </w:rPr>
            </w:pPr>
          </w:p>
        </w:tc>
        <w:tc>
          <w:tcPr>
            <w:tcW w:w="740" w:type="dxa"/>
            <w:vAlign w:val="bottom"/>
          </w:tcPr>
          <w:p>
            <w:pPr>
              <w:jc w:val="right"/>
              <w:ind w:right="306"/>
              <w:spacing w:after="0"/>
              <w:rPr>
                <w:sz w:val="20"/>
                <w:szCs w:val="20"/>
                <w:color w:val="auto"/>
              </w:rPr>
            </w:pPr>
            <w:r>
              <w:rPr>
                <w:rFonts w:ascii="Arial" w:cs="Arial" w:eastAsia="Arial" w:hAnsi="Arial"/>
                <w:sz w:val="11"/>
                <w:szCs w:val="11"/>
                <w:b w:val="1"/>
                <w:bCs w:val="1"/>
                <w:color w:val="auto"/>
              </w:rPr>
              <w:t>Total</w:t>
            </w:r>
          </w:p>
        </w:tc>
      </w:tr>
      <w:tr>
        <w:trPr>
          <w:trHeight w:val="150"/>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i w:val="1"/>
                <w:iCs w:val="1"/>
                <w:color w:val="auto"/>
                <w:w w:val="99"/>
              </w:rPr>
              <w:t>(Dollars in thousands)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306,867</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1,349,741</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1,174,063</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931,868</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525,101</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2,187,525</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161,223</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40,006</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6,676,394</w:t>
            </w:r>
          </w:p>
        </w:tc>
      </w:tr>
      <w:tr>
        <w:trPr>
          <w:trHeight w:val="166"/>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2,576</w:t>
            </w:r>
          </w:p>
        </w:tc>
        <w:tc>
          <w:tcPr>
            <w:tcW w:w="28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3,235</w:t>
            </w:r>
          </w:p>
        </w:tc>
        <w:tc>
          <w:tcPr>
            <w:tcW w:w="28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10,041</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18,081</w:t>
            </w:r>
          </w:p>
        </w:tc>
        <w:tc>
          <w:tcPr>
            <w:tcW w:w="34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color w:val="auto"/>
              </w:rPr>
              <w:t>33,490</w:t>
            </w:r>
          </w:p>
        </w:tc>
        <w:tc>
          <w:tcPr>
            <w:tcW w:w="16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103,542</w:t>
            </w:r>
          </w:p>
        </w:tc>
        <w:tc>
          <w:tcPr>
            <w:tcW w:w="22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1,296</w:t>
            </w:r>
          </w:p>
        </w:tc>
        <w:tc>
          <w:tcPr>
            <w:tcW w:w="160" w:type="dxa"/>
            <w:vAlign w:val="bottom"/>
          </w:tcPr>
          <w:p>
            <w:pPr>
              <w:spacing w:after="0"/>
              <w:rPr>
                <w:sz w:val="14"/>
                <w:szCs w:val="14"/>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172,261</w:t>
            </w: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463</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14,767</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16,342</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23,069</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799</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55,440</w:t>
            </w: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real</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estate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309,443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1,353,439</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1,184,104</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964,716</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574,933</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2,314,136</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163,318</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40,006</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6,904,095</w:t>
            </w: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76"/>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Construction loans:</w:t>
            </w:r>
          </w:p>
        </w:tc>
        <w:tc>
          <w:tcPr>
            <w:tcW w:w="50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331</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14,592</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27,121</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8,055</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18,737</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68,836</w:t>
            </w: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Construction</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331</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14,592</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27,121</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8,055</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18,737</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68,836</w:t>
            </w: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1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SBA loans:</w:t>
            </w:r>
          </w:p>
        </w:tc>
        <w:tc>
          <w:tcPr>
            <w:tcW w:w="5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9,596</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50,938</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53,763</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34,661</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6,447</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116,511</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50</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271,966</w:t>
            </w: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color w:val="auto"/>
              </w:rPr>
              <w:t>2,062</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2,763</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4,825</w:t>
            </w: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2,113</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2,113</w:t>
            </w: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SBA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9,596</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50,938</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53,763</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34,661</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8,509</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121,387</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50</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278,904</w:t>
            </w: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181</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181</w:t>
            </w: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SBA - PPP loans:</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2,215</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2,802</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5,017</w:t>
            </w: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SBA - PPP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2,215</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2,802</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5,017</w:t>
            </w: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2"/>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and</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industrial loans:</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75,598</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153,664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115,911</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95,413</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79,161</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108,792</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288,660</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5,915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923,114</w:t>
            </w: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6,291</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976</w:t>
            </w:r>
          </w:p>
        </w:tc>
        <w:tc>
          <w:tcPr>
            <w:tcW w:w="28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1,100</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787</w:t>
            </w:r>
          </w:p>
        </w:tc>
        <w:tc>
          <w:tcPr>
            <w:tcW w:w="34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color w:val="auto"/>
              </w:rPr>
              <w:t>4,854</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3,318</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3,379</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6,432</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27,137</w:t>
            </w: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635</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390</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1,315</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2,658</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993</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5,991</w:t>
            </w: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and</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industrial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81,889</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154,640</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117,011</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96,835</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84,405</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113,425</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294,697</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13,340</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956,242</w:t>
            </w: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16</w:t>
            </w:r>
          </w:p>
        </w:tc>
      </w:tr>
    </w:tbl>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2"/>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Revolving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Revolving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loans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loans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4"/>
          </w:tcPr>
          <w:p>
            <w:pPr>
              <w:jc w:val="right"/>
              <w:spacing w:after="0"/>
              <w:rPr>
                <w:sz w:val="20"/>
                <w:szCs w:val="20"/>
                <w:color w:val="auto"/>
              </w:rPr>
            </w:pPr>
            <w:r>
              <w:rPr>
                <w:rFonts w:ascii="Arial" w:cs="Arial" w:eastAsia="Arial" w:hAnsi="Arial"/>
                <w:sz w:val="11"/>
                <w:szCs w:val="11"/>
                <w:b w:val="1"/>
                <w:bCs w:val="1"/>
                <w:color w:val="auto"/>
              </w:rPr>
              <w:t>Origination Year</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amortized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9"/>
              </w:rPr>
              <w:t>converted to</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June 30, 2023</w:t>
            </w:r>
          </w:p>
        </w:tc>
        <w:tc>
          <w:tcPr>
            <w:tcW w:w="180" w:type="dxa"/>
            <w:vAlign w:val="bottom"/>
          </w:tcPr>
          <w:p>
            <w:pPr>
              <w:spacing w:after="0"/>
              <w:rPr>
                <w:sz w:val="13"/>
                <w:szCs w:val="13"/>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ind w:right="206"/>
              <w:spacing w:after="0"/>
              <w:rPr>
                <w:sz w:val="20"/>
                <w:szCs w:val="20"/>
                <w:color w:val="auto"/>
              </w:rPr>
            </w:pPr>
            <w:r>
              <w:rPr>
                <w:rFonts w:ascii="Arial" w:cs="Arial" w:eastAsia="Arial" w:hAnsi="Arial"/>
                <w:sz w:val="11"/>
                <w:szCs w:val="11"/>
                <w:b w:val="1"/>
                <w:bCs w:val="1"/>
                <w:color w:val="auto"/>
                <w:w w:val="89"/>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Prior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cost basis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term loans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0"/>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6"/>
          </w:tcPr>
          <w:p>
            <w:pPr>
              <w:ind w:left="60"/>
              <w:spacing w:after="0"/>
              <w:rPr>
                <w:sz w:val="20"/>
                <w:szCs w:val="20"/>
                <w:color w:val="auto"/>
              </w:rPr>
            </w:pPr>
            <w:r>
              <w:rPr>
                <w:rFonts w:ascii="Arial" w:cs="Arial" w:eastAsia="Arial" w:hAnsi="Arial"/>
                <w:sz w:val="11"/>
                <w:szCs w:val="11"/>
                <w:i w:val="1"/>
                <w:iCs w:val="1"/>
                <w:color w:val="auto"/>
                <w:w w:val="95"/>
              </w:rPr>
              <w:t>(Dollars in thousands)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Dairy &amp; livestock and</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agribusiness loans:</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776</w:t>
            </w:r>
          </w:p>
        </w:tc>
        <w:tc>
          <w:tcPr>
            <w:tcW w:w="10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1,568</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1,067</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172</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275,070</w:t>
            </w:r>
          </w:p>
        </w:tc>
        <w:tc>
          <w:tcPr>
            <w:tcW w:w="1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343</w:t>
            </w:r>
          </w:p>
        </w:tc>
        <w:tc>
          <w:tcPr>
            <w:tcW w:w="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279,130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4,413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1,651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11,384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12,941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Dairy &amp; livestock</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and agribusiness</w:t>
            </w: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776</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1,568</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1,067</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950</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290,867</w:t>
            </w:r>
          </w:p>
        </w:tc>
        <w:tc>
          <w:tcPr>
            <w:tcW w:w="1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2,788</w:t>
            </w:r>
          </w:p>
        </w:tc>
        <w:tc>
          <w:tcPr>
            <w:tcW w:w="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298,247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Municipal lease finance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receivables loans:</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6,004</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26,720</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6,433</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4,324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34,163</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77,644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Municipal lease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finance receivables</w:t>
            </w: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6,004</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26,720</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6,433</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4,324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34,386</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77,867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SFR mortgage loans:</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10,187</w:t>
            </w:r>
          </w:p>
        </w:tc>
        <w:tc>
          <w:tcPr>
            <w:tcW w:w="10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62,119</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44,114</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44,771</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29,613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70,438</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261,242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SFR mortgage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10,187</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62,119</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44,114</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45,700</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29,812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70,914</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355</w:t>
            </w:r>
          </w:p>
        </w:tc>
        <w:tc>
          <w:tcPr>
            <w:tcW w:w="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263,201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Consumer and other</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vMerge w:val="restart"/>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2,186</w:t>
            </w:r>
          </w:p>
        </w:tc>
        <w:tc>
          <w:tcPr>
            <w:tcW w:w="100" w:type="dxa"/>
            <w:vAlign w:val="bottom"/>
            <w:shd w:val="clear" w:color="auto" w:fill="CFF0FC"/>
          </w:tcPr>
          <w:p>
            <w:pPr>
              <w:spacing w:after="0"/>
              <w:rPr>
                <w:sz w:val="13"/>
                <w:szCs w:val="13"/>
                <w:color w:val="auto"/>
              </w:rPr>
            </w:pPr>
          </w:p>
        </w:tc>
        <w:tc>
          <w:tcPr>
            <w:tcW w:w="28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5,390</w:t>
            </w:r>
          </w:p>
        </w:tc>
        <w:tc>
          <w:tcPr>
            <w:tcW w:w="120" w:type="dxa"/>
            <w:vAlign w:val="bottom"/>
            <w:shd w:val="clear" w:color="auto" w:fill="CFF0FC"/>
          </w:tcPr>
          <w:p>
            <w:pPr>
              <w:spacing w:after="0"/>
              <w:rPr>
                <w:sz w:val="13"/>
                <w:szCs w:val="13"/>
                <w:color w:val="auto"/>
              </w:rPr>
            </w:pPr>
          </w:p>
        </w:tc>
        <w:tc>
          <w:tcPr>
            <w:tcW w:w="28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3,217</w:t>
            </w:r>
          </w:p>
        </w:tc>
        <w:tc>
          <w:tcPr>
            <w:tcW w:w="120" w:type="dxa"/>
            <w:vAlign w:val="bottom"/>
            <w:shd w:val="clear" w:color="auto" w:fill="CFF0FC"/>
          </w:tcPr>
          <w:p>
            <w:pPr>
              <w:spacing w:after="0"/>
              <w:rPr>
                <w:sz w:val="13"/>
                <w:szCs w:val="13"/>
                <w:color w:val="auto"/>
              </w:rPr>
            </w:pPr>
          </w:p>
        </w:tc>
        <w:tc>
          <w:tcPr>
            <w:tcW w:w="360" w:type="dxa"/>
            <w:vAlign w:val="bottom"/>
            <w:gridSpan w:val="2"/>
            <w:vMerge w:val="restart"/>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968</w:t>
            </w:r>
          </w:p>
        </w:tc>
        <w:tc>
          <w:tcPr>
            <w:tcW w:w="360" w:type="dxa"/>
            <w:vAlign w:val="bottom"/>
            <w:gridSpan w:val="3"/>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775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1,181</w:t>
            </w:r>
          </w:p>
        </w:tc>
        <w:tc>
          <w:tcPr>
            <w:tcW w:w="100" w:type="dxa"/>
            <w:vAlign w:val="bottom"/>
            <w:shd w:val="clear" w:color="auto" w:fill="CFF0FC"/>
          </w:tcPr>
          <w:p>
            <w:pPr>
              <w:spacing w:after="0"/>
              <w:rPr>
                <w:sz w:val="13"/>
                <w:szCs w:val="13"/>
                <w:color w:val="auto"/>
              </w:rPr>
            </w:pP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38,205</w:t>
            </w:r>
          </w:p>
        </w:tc>
        <w:tc>
          <w:tcPr>
            <w:tcW w:w="100" w:type="dxa"/>
            <w:vAlign w:val="bottom"/>
            <w:shd w:val="clear" w:color="auto" w:fill="CFF0FC"/>
          </w:tcPr>
          <w:p>
            <w:pPr>
              <w:spacing w:after="0"/>
              <w:rPr>
                <w:sz w:val="13"/>
                <w:szCs w:val="13"/>
                <w:color w:val="auto"/>
              </w:rPr>
            </w:pP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1,097</w:t>
            </w:r>
          </w:p>
        </w:tc>
        <w:tc>
          <w:tcPr>
            <w:tcW w:w="80" w:type="dxa"/>
            <w:vAlign w:val="bottom"/>
            <w:shd w:val="clear" w:color="auto" w:fill="CFF0FC"/>
          </w:tcPr>
          <w:p>
            <w:pPr>
              <w:spacing w:after="0"/>
              <w:rPr>
                <w:sz w:val="13"/>
                <w:szCs w:val="13"/>
                <w:color w:val="auto"/>
              </w:rPr>
            </w:pPr>
          </w:p>
        </w:tc>
        <w:tc>
          <w:tcPr>
            <w:tcW w:w="28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53,019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840" w:type="dxa"/>
            <w:vAlign w:val="bottom"/>
            <w:vMerge w:val="continue"/>
            <w:shd w:val="clear" w:color="auto" w:fill="CFF0FC"/>
          </w:tcPr>
          <w:p>
            <w:pPr>
              <w:spacing w:after="0"/>
              <w:rPr>
                <w:sz w:val="10"/>
                <w:szCs w:val="10"/>
                <w:color w:val="auto"/>
              </w:rPr>
            </w:pPr>
          </w:p>
        </w:tc>
        <w:tc>
          <w:tcPr>
            <w:tcW w:w="180" w:type="dxa"/>
            <w:vAlign w:val="bottom"/>
            <w:vMerge w:val="continue"/>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gridSpan w:val="2"/>
            <w:vMerge w:val="continue"/>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gridSpan w:val="2"/>
            <w:vMerge w:val="continue"/>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gridSpan w:val="2"/>
            <w:vMerge w:val="continue"/>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360" w:type="dxa"/>
            <w:vAlign w:val="bottom"/>
            <w:gridSpan w:val="3"/>
            <w:vMerge w:val="continue"/>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vMerge w:val="continue"/>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gridSpan w:val="2"/>
            <w:vMerge w:val="continue"/>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gridSpan w:val="2"/>
            <w:vMerge w:val="continue"/>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gridSpan w:val="2"/>
            <w:vMerge w:val="continue"/>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767</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Consumer and</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other 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2,186</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5,390</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3,526</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968</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1,193</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38,253</w:t>
            </w:r>
          </w:p>
        </w:tc>
        <w:tc>
          <w:tcPr>
            <w:tcW w:w="1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2,697</w:t>
            </w:r>
          </w:p>
        </w:tc>
        <w:tc>
          <w:tcPr>
            <w:tcW w:w="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54,988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405,541</w:t>
            </w:r>
          </w:p>
        </w:tc>
        <w:tc>
          <w:tcPr>
            <w:tcW w:w="10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1,642,448</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1,448,692</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1,126,038</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645,555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2,518,782</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781,945</w:t>
            </w:r>
          </w:p>
        </w:tc>
        <w:tc>
          <w:tcPr>
            <w:tcW w:w="1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47,361</w:t>
            </w:r>
          </w:p>
        </w:tc>
        <w:tc>
          <w:tcPr>
            <w:tcW w:w="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8,616,362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11,450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19,797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40,702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110,128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9,130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8,916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213,201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15,402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16,732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27,481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14,847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77,834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414,408</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1,647,122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1,460,142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1,161,237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702,989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2,656,391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805,922</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59,186</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8,907,397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Current YTD Period:</w:t>
            </w:r>
          </w:p>
        </w:tc>
        <w:tc>
          <w:tcPr>
            <w:tcW w:w="180" w:type="dxa"/>
            <w:vAlign w:val="bottom"/>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198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4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Total gross charge-offs</w:t>
            </w:r>
          </w:p>
        </w:tc>
        <w:tc>
          <w:tcPr>
            <w:tcW w:w="1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18</w:t>
      </w:r>
    </w:p>
    <w:p>
      <w:pPr>
        <w:sectPr>
          <w:pgSz w:w="11900" w:h="16840" w:orient="portrait"/>
          <w:cols w:equalWidth="0" w:num="1">
            <w:col w:w="10560"/>
          </w:cols>
          <w:pgMar w:left="660" w:top="940" w:right="68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06"/>
        </w:trPr>
        <w:tc>
          <w:tcPr>
            <w:tcW w:w="1540" w:type="dxa"/>
            <w:vAlign w:val="bottom"/>
          </w:tcPr>
          <w:p>
            <w:pPr>
              <w:spacing w:after="0"/>
              <w:rPr>
                <w:sz w:val="20"/>
                <w:szCs w:val="20"/>
                <w:color w:val="auto"/>
              </w:rPr>
            </w:pPr>
            <w:r>
              <w:rPr>
                <w:rFonts w:ascii="Arial" w:cs="Arial" w:eastAsia="Arial" w:hAnsi="Arial"/>
                <w:sz w:val="8"/>
                <w:szCs w:val="8"/>
                <w:color w:val="auto"/>
              </w:rPr>
              <w:t>7</w:t>
            </w: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66"/>
        </w:trPr>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46"/>
              <w:spacing w:after="0"/>
              <w:rPr>
                <w:sz w:val="20"/>
                <w:szCs w:val="20"/>
                <w:color w:val="auto"/>
              </w:rPr>
            </w:pPr>
            <w:r>
              <w:rPr>
                <w:rFonts w:ascii="Arial" w:cs="Arial" w:eastAsia="Arial" w:hAnsi="Arial"/>
                <w:sz w:val="11"/>
                <w:szCs w:val="11"/>
                <w:b w:val="1"/>
                <w:bCs w:val="1"/>
                <w:color w:val="auto"/>
                <w:w w:val="98"/>
              </w:rPr>
              <w:t>Revolving</w:t>
            </w:r>
          </w:p>
        </w:tc>
        <w:tc>
          <w:tcPr>
            <w:tcW w:w="160" w:type="dxa"/>
            <w:vAlign w:val="bottom"/>
          </w:tcPr>
          <w:p>
            <w:pPr>
              <w:spacing w:after="0"/>
              <w:rPr>
                <w:sz w:val="14"/>
                <w:szCs w:val="14"/>
                <w:color w:val="auto"/>
              </w:rPr>
            </w:pPr>
          </w:p>
        </w:tc>
        <w:tc>
          <w:tcPr>
            <w:tcW w:w="860" w:type="dxa"/>
            <w:vAlign w:val="bottom"/>
          </w:tcPr>
          <w:p>
            <w:pPr>
              <w:jc w:val="center"/>
              <w:ind w:right="126"/>
              <w:spacing w:after="0"/>
              <w:rPr>
                <w:sz w:val="20"/>
                <w:szCs w:val="20"/>
                <w:color w:val="auto"/>
              </w:rPr>
            </w:pPr>
            <w:r>
              <w:rPr>
                <w:rFonts w:ascii="Arial" w:cs="Arial" w:eastAsia="Arial" w:hAnsi="Arial"/>
                <w:sz w:val="11"/>
                <w:szCs w:val="11"/>
                <w:b w:val="1"/>
                <w:bCs w:val="1"/>
                <w:color w:val="auto"/>
                <w:w w:val="98"/>
              </w:rPr>
              <w:t>Revolving</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32"/>
        </w:trPr>
        <w:tc>
          <w:tcPr>
            <w:tcW w:w="1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ind w:right="146"/>
              <w:spacing w:after="0"/>
              <w:rPr>
                <w:sz w:val="20"/>
                <w:szCs w:val="20"/>
                <w:color w:val="auto"/>
              </w:rPr>
            </w:pPr>
            <w:r>
              <w:rPr>
                <w:rFonts w:ascii="Arial" w:cs="Arial" w:eastAsia="Arial" w:hAnsi="Arial"/>
                <w:sz w:val="11"/>
                <w:szCs w:val="11"/>
                <w:b w:val="1"/>
                <w:bCs w:val="1"/>
                <w:color w:val="auto"/>
                <w:w w:val="97"/>
              </w:rPr>
              <w:t>loans</w:t>
            </w:r>
          </w:p>
        </w:tc>
        <w:tc>
          <w:tcPr>
            <w:tcW w:w="160" w:type="dxa"/>
            <w:vAlign w:val="bottom"/>
          </w:tcPr>
          <w:p>
            <w:pPr>
              <w:spacing w:after="0"/>
              <w:rPr>
                <w:sz w:val="11"/>
                <w:szCs w:val="11"/>
                <w:color w:val="auto"/>
              </w:rPr>
            </w:pPr>
          </w:p>
        </w:tc>
        <w:tc>
          <w:tcPr>
            <w:tcW w:w="860" w:type="dxa"/>
            <w:vAlign w:val="bottom"/>
          </w:tcPr>
          <w:p>
            <w:pPr>
              <w:jc w:val="center"/>
              <w:ind w:right="126"/>
              <w:spacing w:after="0"/>
              <w:rPr>
                <w:sz w:val="20"/>
                <w:szCs w:val="20"/>
                <w:color w:val="auto"/>
              </w:rPr>
            </w:pPr>
            <w:r>
              <w:rPr>
                <w:rFonts w:ascii="Arial" w:cs="Arial" w:eastAsia="Arial" w:hAnsi="Arial"/>
                <w:sz w:val="11"/>
                <w:szCs w:val="11"/>
                <w:b w:val="1"/>
                <w:bCs w:val="1"/>
                <w:color w:val="auto"/>
                <w:w w:val="97"/>
              </w:rPr>
              <w:t>loans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0"/>
        </w:trPr>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Origination Year</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ind w:right="146"/>
              <w:spacing w:after="0"/>
              <w:rPr>
                <w:sz w:val="20"/>
                <w:szCs w:val="20"/>
                <w:color w:val="auto"/>
              </w:rPr>
            </w:pPr>
            <w:r>
              <w:rPr>
                <w:rFonts w:ascii="Arial" w:cs="Arial" w:eastAsia="Arial" w:hAnsi="Arial"/>
                <w:sz w:val="11"/>
                <w:szCs w:val="11"/>
                <w:b w:val="1"/>
                <w:bCs w:val="1"/>
                <w:color w:val="auto"/>
                <w:w w:val="99"/>
              </w:rPr>
              <w:t>amortized</w:t>
            </w:r>
          </w:p>
        </w:tc>
        <w:tc>
          <w:tcPr>
            <w:tcW w:w="160" w:type="dxa"/>
            <w:vAlign w:val="bottom"/>
          </w:tcPr>
          <w:p>
            <w:pPr>
              <w:spacing w:after="0"/>
              <w:rPr>
                <w:sz w:val="13"/>
                <w:szCs w:val="13"/>
                <w:color w:val="auto"/>
              </w:rPr>
            </w:pPr>
          </w:p>
        </w:tc>
        <w:tc>
          <w:tcPr>
            <w:tcW w:w="860" w:type="dxa"/>
            <w:vAlign w:val="bottom"/>
          </w:tcPr>
          <w:p>
            <w:pPr>
              <w:jc w:val="center"/>
              <w:ind w:right="126"/>
              <w:spacing w:after="0"/>
              <w:rPr>
                <w:sz w:val="20"/>
                <w:szCs w:val="20"/>
                <w:color w:val="auto"/>
              </w:rPr>
            </w:pPr>
            <w:r>
              <w:rPr>
                <w:rFonts w:ascii="Arial" w:cs="Arial" w:eastAsia="Arial" w:hAnsi="Arial"/>
                <w:sz w:val="11"/>
                <w:szCs w:val="11"/>
                <w:b w:val="1"/>
                <w:bCs w:val="1"/>
                <w:color w:val="auto"/>
                <w:w w:val="96"/>
              </w:rPr>
              <w:t>converted to</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December 31, 2022</w:t>
            </w:r>
          </w:p>
        </w:tc>
        <w:tc>
          <w:tcPr>
            <w:tcW w:w="520" w:type="dxa"/>
            <w:vAlign w:val="bottom"/>
          </w:tcPr>
          <w:p>
            <w:pPr>
              <w:spacing w:after="0"/>
              <w:rPr>
                <w:sz w:val="13"/>
                <w:szCs w:val="13"/>
                <w:color w:val="auto"/>
              </w:rPr>
            </w:pPr>
          </w:p>
        </w:tc>
        <w:tc>
          <w:tcPr>
            <w:tcW w:w="720" w:type="dxa"/>
            <w:vAlign w:val="bottom"/>
          </w:tcPr>
          <w:p>
            <w:pPr>
              <w:jc w:val="right"/>
              <w:ind w:right="326"/>
              <w:spacing w:after="0"/>
              <w:rPr>
                <w:sz w:val="20"/>
                <w:szCs w:val="20"/>
                <w:color w:val="auto"/>
              </w:rPr>
            </w:pPr>
            <w:r>
              <w:rPr>
                <w:rFonts w:ascii="Arial" w:cs="Arial" w:eastAsia="Arial" w:hAnsi="Arial"/>
                <w:sz w:val="11"/>
                <w:szCs w:val="11"/>
                <w:b w:val="1"/>
                <w:bCs w:val="1"/>
                <w:color w:val="auto"/>
              </w:rPr>
              <w:t>2022</w:t>
            </w:r>
          </w:p>
        </w:tc>
        <w:tc>
          <w:tcPr>
            <w:tcW w:w="280" w:type="dxa"/>
            <w:vAlign w:val="bottom"/>
          </w:tcPr>
          <w:p>
            <w:pPr>
              <w:spacing w:after="0"/>
              <w:rPr>
                <w:sz w:val="13"/>
                <w:szCs w:val="13"/>
                <w:color w:val="auto"/>
              </w:rPr>
            </w:pPr>
          </w:p>
        </w:tc>
        <w:tc>
          <w:tcPr>
            <w:tcW w:w="760" w:type="dxa"/>
            <w:vAlign w:val="bottom"/>
          </w:tcPr>
          <w:p>
            <w:pPr>
              <w:jc w:val="right"/>
              <w:ind w:right="346"/>
              <w:spacing w:after="0"/>
              <w:rPr>
                <w:sz w:val="20"/>
                <w:szCs w:val="20"/>
                <w:color w:val="auto"/>
              </w:rPr>
            </w:pPr>
            <w:r>
              <w:rPr>
                <w:rFonts w:ascii="Arial" w:cs="Arial" w:eastAsia="Arial" w:hAnsi="Arial"/>
                <w:sz w:val="11"/>
                <w:szCs w:val="11"/>
                <w:b w:val="1"/>
                <w:bCs w:val="1"/>
                <w:color w:val="auto"/>
              </w:rPr>
              <w:t>2021</w:t>
            </w:r>
          </w:p>
        </w:tc>
        <w:tc>
          <w:tcPr>
            <w:tcW w:w="240" w:type="dxa"/>
            <w:vAlign w:val="bottom"/>
          </w:tcPr>
          <w:p>
            <w:pPr>
              <w:spacing w:after="0"/>
              <w:rPr>
                <w:sz w:val="13"/>
                <w:szCs w:val="13"/>
                <w:color w:val="auto"/>
              </w:rPr>
            </w:pPr>
          </w:p>
        </w:tc>
        <w:tc>
          <w:tcPr>
            <w:tcW w:w="660" w:type="dxa"/>
            <w:vAlign w:val="bottom"/>
          </w:tcPr>
          <w:p>
            <w:pPr>
              <w:jc w:val="right"/>
              <w:ind w:right="28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620" w:type="dxa"/>
            <w:vAlign w:val="bottom"/>
          </w:tcPr>
          <w:p>
            <w:pPr>
              <w:jc w:val="right"/>
              <w:ind w:right="246"/>
              <w:spacing w:after="0"/>
              <w:rPr>
                <w:sz w:val="20"/>
                <w:szCs w:val="20"/>
                <w:color w:val="auto"/>
              </w:rPr>
            </w:pPr>
            <w:r>
              <w:rPr>
                <w:rFonts w:ascii="Arial" w:cs="Arial" w:eastAsia="Arial" w:hAnsi="Arial"/>
                <w:sz w:val="11"/>
                <w:szCs w:val="11"/>
                <w:b w:val="1"/>
                <w:bCs w:val="1"/>
                <w:color w:val="auto"/>
              </w:rPr>
              <w:t>2019</w:t>
            </w:r>
          </w:p>
        </w:tc>
        <w:tc>
          <w:tcPr>
            <w:tcW w:w="280" w:type="dxa"/>
            <w:vAlign w:val="bottom"/>
          </w:tcPr>
          <w:p>
            <w:pPr>
              <w:spacing w:after="0"/>
              <w:rPr>
                <w:sz w:val="13"/>
                <w:szCs w:val="13"/>
                <w:color w:val="auto"/>
              </w:rPr>
            </w:pPr>
          </w:p>
        </w:tc>
        <w:tc>
          <w:tcPr>
            <w:tcW w:w="660" w:type="dxa"/>
            <w:vAlign w:val="bottom"/>
          </w:tcPr>
          <w:p>
            <w:pPr>
              <w:jc w:val="right"/>
              <w:ind w:right="286"/>
              <w:spacing w:after="0"/>
              <w:rPr>
                <w:sz w:val="20"/>
                <w:szCs w:val="20"/>
                <w:color w:val="auto"/>
              </w:rPr>
            </w:pPr>
            <w:r>
              <w:rPr>
                <w:rFonts w:ascii="Arial" w:cs="Arial" w:eastAsia="Arial" w:hAnsi="Arial"/>
                <w:sz w:val="11"/>
                <w:szCs w:val="11"/>
                <w:b w:val="1"/>
                <w:bCs w:val="1"/>
                <w:color w:val="auto"/>
              </w:rPr>
              <w:t>2018</w:t>
            </w:r>
          </w:p>
        </w:tc>
        <w:tc>
          <w:tcPr>
            <w:tcW w:w="280" w:type="dxa"/>
            <w:vAlign w:val="bottom"/>
          </w:tcPr>
          <w:p>
            <w:pPr>
              <w:spacing w:after="0"/>
              <w:rPr>
                <w:sz w:val="13"/>
                <w:szCs w:val="13"/>
                <w:color w:val="auto"/>
              </w:rPr>
            </w:pPr>
          </w:p>
        </w:tc>
        <w:tc>
          <w:tcPr>
            <w:tcW w:w="740" w:type="dxa"/>
            <w:vAlign w:val="bottom"/>
          </w:tcPr>
          <w:p>
            <w:pPr>
              <w:jc w:val="right"/>
              <w:ind w:right="326"/>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800" w:type="dxa"/>
            <w:vAlign w:val="bottom"/>
          </w:tcPr>
          <w:p>
            <w:pPr>
              <w:jc w:val="center"/>
              <w:ind w:right="146"/>
              <w:spacing w:after="0"/>
              <w:rPr>
                <w:sz w:val="20"/>
                <w:szCs w:val="20"/>
                <w:color w:val="auto"/>
              </w:rPr>
            </w:pPr>
            <w:r>
              <w:rPr>
                <w:rFonts w:ascii="Arial" w:cs="Arial" w:eastAsia="Arial" w:hAnsi="Arial"/>
                <w:sz w:val="11"/>
                <w:szCs w:val="11"/>
                <w:b w:val="1"/>
                <w:bCs w:val="1"/>
                <w:color w:val="auto"/>
                <w:w w:val="96"/>
              </w:rPr>
              <w:t>cost basis</w:t>
            </w:r>
          </w:p>
        </w:tc>
        <w:tc>
          <w:tcPr>
            <w:tcW w:w="160" w:type="dxa"/>
            <w:vAlign w:val="bottom"/>
          </w:tcPr>
          <w:p>
            <w:pPr>
              <w:spacing w:after="0"/>
              <w:rPr>
                <w:sz w:val="13"/>
                <w:szCs w:val="13"/>
                <w:color w:val="auto"/>
              </w:rPr>
            </w:pPr>
          </w:p>
        </w:tc>
        <w:tc>
          <w:tcPr>
            <w:tcW w:w="860" w:type="dxa"/>
            <w:vAlign w:val="bottom"/>
          </w:tcPr>
          <w:p>
            <w:pPr>
              <w:jc w:val="center"/>
              <w:ind w:right="106"/>
              <w:spacing w:after="0"/>
              <w:rPr>
                <w:sz w:val="20"/>
                <w:szCs w:val="20"/>
                <w:color w:val="auto"/>
              </w:rPr>
            </w:pPr>
            <w:r>
              <w:rPr>
                <w:rFonts w:ascii="Arial" w:cs="Arial" w:eastAsia="Arial" w:hAnsi="Arial"/>
                <w:sz w:val="11"/>
                <w:szCs w:val="11"/>
                <w:b w:val="1"/>
                <w:bCs w:val="1"/>
                <w:color w:val="auto"/>
                <w:w w:val="96"/>
              </w:rPr>
              <w:t>term loans</w:t>
            </w:r>
          </w:p>
        </w:tc>
        <w:tc>
          <w:tcPr>
            <w:tcW w:w="260" w:type="dxa"/>
            <w:vAlign w:val="bottom"/>
          </w:tcPr>
          <w:p>
            <w:pPr>
              <w:spacing w:after="0"/>
              <w:rPr>
                <w:sz w:val="13"/>
                <w:szCs w:val="13"/>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b w:val="1"/>
                <w:bCs w:val="1"/>
                <w:color w:val="auto"/>
              </w:rPr>
              <w:t>Total</w:t>
            </w:r>
          </w:p>
        </w:tc>
      </w:tr>
      <w:tr>
        <w:trPr>
          <w:trHeight w:val="150"/>
        </w:trPr>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gridSpan w:val="3"/>
          </w:tcPr>
          <w:p>
            <w:pPr>
              <w:jc w:val="right"/>
              <w:ind w:right="46"/>
              <w:spacing w:after="0"/>
              <w:rPr>
                <w:sz w:val="20"/>
                <w:szCs w:val="20"/>
                <w:color w:val="auto"/>
              </w:rPr>
            </w:pPr>
            <w:r>
              <w:rPr>
                <w:rFonts w:ascii="Arial" w:cs="Arial" w:eastAsia="Arial" w:hAnsi="Arial"/>
                <w:sz w:val="11"/>
                <w:szCs w:val="11"/>
                <w:i w:val="1"/>
                <w:iCs w:val="1"/>
                <w:color w:val="auto"/>
              </w:rPr>
              <w:t>(Dollars in thousands)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4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54"/>
        </w:trPr>
        <w:tc>
          <w:tcPr>
            <w:tcW w:w="15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1,363,733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1,197,290</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957,965</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542,827</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506,613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1,889,478</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175,373</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39,616</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6,672,895</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3,285</w:t>
            </w:r>
          </w:p>
        </w:tc>
        <w:tc>
          <w:tcPr>
            <w:tcW w:w="280" w:type="dxa"/>
            <w:vAlign w:val="bottom"/>
          </w:tcPr>
          <w:p>
            <w:pPr>
              <w:spacing w:after="0"/>
              <w:rPr>
                <w:sz w:val="13"/>
                <w:szCs w:val="13"/>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12,114</w:t>
            </w:r>
          </w:p>
        </w:tc>
        <w:tc>
          <w:tcPr>
            <w:tcW w:w="24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11,284</w:t>
            </w:r>
          </w:p>
        </w:tc>
        <w:tc>
          <w:tcPr>
            <w:tcW w:w="24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32,976</w:t>
            </w:r>
          </w:p>
        </w:tc>
        <w:tc>
          <w:tcPr>
            <w:tcW w:w="28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21,646</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76,290</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908</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158,503</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15,624</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16,297</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94</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21,535</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53,550</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44"/>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real</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4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estate loans: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1,367,018</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1,209,404</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984,873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592,100</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528,353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1,987,303</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176,281</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39,616</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6,884,948</w:t>
            </w:r>
          </w:p>
        </w:tc>
      </w:tr>
      <w:tr>
        <w:trPr>
          <w:trHeight w:val="312"/>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Construction loans:</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5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Pass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17,203</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26,689</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16,578</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22,850</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83,320</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4,951</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4,951</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Total Construction</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0"/>
        </w:trPr>
        <w:tc>
          <w:tcPr>
            <w:tcW w:w="1540" w:type="dxa"/>
            <w:vAlign w:val="bottom"/>
          </w:tcPr>
          <w:p>
            <w:pPr>
              <w:ind w:left="100"/>
              <w:spacing w:after="0"/>
              <w:rPr>
                <w:sz w:val="20"/>
                <w:szCs w:val="20"/>
                <w:color w:val="auto"/>
              </w:rPr>
            </w:pPr>
            <w:r>
              <w:rPr>
                <w:rFonts w:ascii="Arial" w:cs="Arial" w:eastAsia="Arial" w:hAnsi="Arial"/>
                <w:sz w:val="11"/>
                <w:szCs w:val="11"/>
                <w:b w:val="1"/>
                <w:bCs w:val="1"/>
                <w:color w:val="auto"/>
              </w:rPr>
              <w:t>loans: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17,203</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26,689</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16,578</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4,951</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22,850</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88,271</w:t>
            </w:r>
          </w:p>
        </w:tc>
      </w:tr>
      <w:tr>
        <w:trPr>
          <w:trHeight w:val="152"/>
        </w:trPr>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SBA loans:</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r>
      <w:tr>
        <w:trPr>
          <w:trHeight w:val="154"/>
        </w:trPr>
        <w:tc>
          <w:tcPr>
            <w:tcW w:w="15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60,623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54,781</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35,243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7,460</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28,886</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96,473</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1,026</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284,492</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1,321</w:t>
            </w:r>
          </w:p>
        </w:tc>
        <w:tc>
          <w:tcPr>
            <w:tcW w:w="28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1,293</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2,065</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4,679</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556</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1,181</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1,737</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SBA loans: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60,623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54,781</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35,243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8,781</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30,735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99,719</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1,026</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290,908</w:t>
            </w:r>
          </w:p>
        </w:tc>
      </w:tr>
      <w:tr>
        <w:trPr>
          <w:trHeight w:val="312"/>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SBA - PPP loans:</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5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Pass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5,515</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3,572</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9,087</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60"/>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Total SBA - PPP loans: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5,515</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3,572</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9,087</w:t>
            </w:r>
          </w:p>
        </w:tc>
      </w:tr>
      <w:tr>
        <w:trPr>
          <w:trHeight w:val="152"/>
        </w:trPr>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2"/>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and</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4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industrial loans:</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54"/>
        </w:trPr>
        <w:tc>
          <w:tcPr>
            <w:tcW w:w="15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154,765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135,162</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80,763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101,192</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42,731</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85,406</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305,589</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7,775</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913,383</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3,955</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761</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459</w:t>
            </w:r>
          </w:p>
        </w:tc>
        <w:tc>
          <w:tcPr>
            <w:tcW w:w="24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1,693</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462</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15,156</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544</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23,038</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494</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728</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959</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5,624</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496</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3,200</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761</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12,262</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44"/>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and</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4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industrial loans: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159,214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135,923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81,950</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103,844</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48,817</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85,910</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323,945</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9,080</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948,683</w:t>
            </w: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00" w:right="68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32"/>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Revolving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Revolving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7"/>
              </w:rPr>
              <w:t>loans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7"/>
              </w:rPr>
              <w:t>loans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0"/>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6"/>
          </w:tcPr>
          <w:p>
            <w:pPr>
              <w:ind w:left="200"/>
              <w:spacing w:after="0"/>
              <w:rPr>
                <w:sz w:val="20"/>
                <w:szCs w:val="20"/>
                <w:color w:val="auto"/>
              </w:rPr>
            </w:pPr>
            <w:r>
              <w:rPr>
                <w:rFonts w:ascii="Arial" w:cs="Arial" w:eastAsia="Arial" w:hAnsi="Arial"/>
                <w:sz w:val="11"/>
                <w:szCs w:val="11"/>
                <w:b w:val="1"/>
                <w:bCs w:val="1"/>
                <w:color w:val="auto"/>
              </w:rPr>
              <w:t>Origination Year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amortized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converted to</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December 31, 2022</w:t>
            </w:r>
          </w:p>
        </w:tc>
        <w:tc>
          <w:tcPr>
            <w:tcW w:w="180" w:type="dxa"/>
            <w:vAlign w:val="bottom"/>
          </w:tcPr>
          <w:p>
            <w:pPr>
              <w:spacing w:after="0"/>
              <w:rPr>
                <w:sz w:val="13"/>
                <w:szCs w:val="13"/>
                <w:color w:val="auto"/>
              </w:rPr>
            </w:pPr>
          </w:p>
        </w:tc>
        <w:tc>
          <w:tcPr>
            <w:tcW w:w="620" w:type="dxa"/>
            <w:vAlign w:val="bottom"/>
          </w:tcPr>
          <w:p>
            <w:pPr>
              <w:jc w:val="right"/>
              <w:ind w:right="22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cost basis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term loans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r>
      <w:tr>
        <w:trPr>
          <w:trHeight w:val="150"/>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6"/>
          </w:tcPr>
          <w:p>
            <w:pPr>
              <w:jc w:val="right"/>
              <w:ind w:right="51"/>
              <w:spacing w:after="0"/>
              <w:rPr>
                <w:sz w:val="20"/>
                <w:szCs w:val="20"/>
                <w:color w:val="auto"/>
              </w:rPr>
            </w:pPr>
            <w:r>
              <w:rPr>
                <w:rFonts w:ascii="Arial" w:cs="Arial" w:eastAsia="Arial" w:hAnsi="Arial"/>
                <w:sz w:val="11"/>
                <w:szCs w:val="11"/>
                <w:i w:val="1"/>
                <w:iCs w:val="1"/>
                <w:color w:val="auto"/>
              </w:rPr>
              <w:t>(Dollars in thousands)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19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Dairy &amp; livestock and</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agribusiness loans: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4"/>
        </w:trPr>
        <w:tc>
          <w:tcPr>
            <w:tcW w:w="190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2,318</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1,515</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1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400,229</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450</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405,603</w:t>
            </w:r>
          </w:p>
        </w:tc>
        <w:tc>
          <w:tcPr>
            <w:tcW w:w="80" w:type="dxa"/>
            <w:vAlign w:val="bottom"/>
            <w:shd w:val="clear" w:color="auto" w:fill="CFF0FC"/>
          </w:tcPr>
          <w:p>
            <w:pPr>
              <w:spacing w:after="0"/>
              <w:rPr>
                <w:sz w:val="15"/>
                <w:szCs w:val="15"/>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17,129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18,627</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6,204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9,334</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44"/>
        </w:trPr>
        <w:tc>
          <w:tcPr>
            <w:tcW w:w="19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Dairy &amp; livestock</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32"/>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and agribusiness</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6"/>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1,248</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2,318</w:t>
            </w: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1,555</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786</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741</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419,199</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7,507</w:t>
            </w:r>
          </w:p>
        </w:tc>
        <w:tc>
          <w:tcPr>
            <w:tcW w:w="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433,564</w:t>
            </w:r>
          </w:p>
        </w:tc>
        <w:tc>
          <w:tcPr>
            <w:tcW w:w="80" w:type="dxa"/>
            <w:vAlign w:val="bottom"/>
            <w:shd w:val="clear" w:color="auto" w:fill="CFF0FC"/>
          </w:tcPr>
          <w:p>
            <w:pPr>
              <w:spacing w:after="0"/>
              <w:rPr>
                <w:sz w:val="12"/>
                <w:szCs w:val="12"/>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Municipal lease finance</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receivables loans: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Pass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6,442</w:t>
            </w:r>
          </w:p>
        </w:tc>
        <w:tc>
          <w:tcPr>
            <w:tcW w:w="100" w:type="dxa"/>
            <w:vAlign w:val="bottom"/>
          </w:tcPr>
          <w:p>
            <w:pPr>
              <w:spacing w:after="0"/>
              <w:rPr>
                <w:sz w:val="13"/>
                <w:szCs w:val="13"/>
                <w:color w:val="auto"/>
              </w:rPr>
            </w:pPr>
          </w:p>
        </w:tc>
        <w:tc>
          <w:tcPr>
            <w:tcW w:w="28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26,858</w:t>
            </w:r>
          </w:p>
        </w:tc>
        <w:tc>
          <w:tcPr>
            <w:tcW w:w="100" w:type="dxa"/>
            <w:vAlign w:val="bottom"/>
          </w:tcPr>
          <w:p>
            <w:pPr>
              <w:spacing w:after="0"/>
              <w:rPr>
                <w:sz w:val="13"/>
                <w:szCs w:val="13"/>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6,814</w:t>
            </w:r>
          </w:p>
        </w:tc>
        <w:tc>
          <w:tcPr>
            <w:tcW w:w="100" w:type="dxa"/>
            <w:vAlign w:val="bottom"/>
          </w:tcPr>
          <w:p>
            <w:pPr>
              <w:spacing w:after="0"/>
              <w:rPr>
                <w:sz w:val="13"/>
                <w:szCs w:val="13"/>
                <w:color w:val="auto"/>
              </w:rPr>
            </w:pPr>
          </w:p>
        </w:tc>
        <w:tc>
          <w:tcPr>
            <w:tcW w:w="2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4,327</w:t>
            </w:r>
          </w:p>
        </w:tc>
        <w:tc>
          <w:tcPr>
            <w:tcW w:w="100" w:type="dxa"/>
            <w:vAlign w:val="bottom"/>
          </w:tcPr>
          <w:p>
            <w:pPr>
              <w:spacing w:after="0"/>
              <w:rPr>
                <w:sz w:val="13"/>
                <w:szCs w:val="13"/>
                <w:color w:val="auto"/>
              </w:rPr>
            </w:pPr>
          </w:p>
        </w:tc>
        <w:tc>
          <w:tcPr>
            <w:tcW w:w="2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4,948</w:t>
            </w:r>
          </w:p>
        </w:tc>
        <w:tc>
          <w:tcPr>
            <w:tcW w:w="100" w:type="dxa"/>
            <w:vAlign w:val="bottom"/>
          </w:tcPr>
          <w:p>
            <w:pPr>
              <w:spacing w:after="0"/>
              <w:rPr>
                <w:sz w:val="13"/>
                <w:szCs w:val="13"/>
                <w:color w:val="auto"/>
              </w:rPr>
            </w:pPr>
          </w:p>
        </w:tc>
        <w:tc>
          <w:tcPr>
            <w:tcW w:w="30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31,292</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80,681</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183</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r>
      <w:tr>
        <w:trPr>
          <w:trHeight w:val="142"/>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Total Municipal lease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2"/>
        </w:trPr>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finance receivables</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0"/>
        </w:trPr>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6,442</w:t>
            </w:r>
          </w:p>
        </w:tc>
        <w:tc>
          <w:tcPr>
            <w:tcW w:w="100" w:type="dxa"/>
            <w:vAlign w:val="bottom"/>
          </w:tcPr>
          <w:p>
            <w:pPr>
              <w:spacing w:after="0"/>
              <w:rPr>
                <w:sz w:val="13"/>
                <w:szCs w:val="13"/>
                <w:color w:val="auto"/>
              </w:rPr>
            </w:pPr>
          </w:p>
        </w:tc>
        <w:tc>
          <w:tcPr>
            <w:tcW w:w="28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26,858</w:t>
            </w:r>
          </w:p>
        </w:tc>
        <w:tc>
          <w:tcPr>
            <w:tcW w:w="100" w:type="dxa"/>
            <w:vAlign w:val="bottom"/>
          </w:tcPr>
          <w:p>
            <w:pPr>
              <w:spacing w:after="0"/>
              <w:rPr>
                <w:sz w:val="13"/>
                <w:szCs w:val="13"/>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6,814</w:t>
            </w:r>
          </w:p>
        </w:tc>
        <w:tc>
          <w:tcPr>
            <w:tcW w:w="100" w:type="dxa"/>
            <w:vAlign w:val="bottom"/>
          </w:tcPr>
          <w:p>
            <w:pPr>
              <w:spacing w:after="0"/>
              <w:rPr>
                <w:sz w:val="13"/>
                <w:szCs w:val="13"/>
                <w:color w:val="auto"/>
              </w:rPr>
            </w:pPr>
          </w:p>
        </w:tc>
        <w:tc>
          <w:tcPr>
            <w:tcW w:w="2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4,327</w:t>
            </w:r>
          </w:p>
        </w:tc>
        <w:tc>
          <w:tcPr>
            <w:tcW w:w="100" w:type="dxa"/>
            <w:vAlign w:val="bottom"/>
          </w:tcPr>
          <w:p>
            <w:pPr>
              <w:spacing w:after="0"/>
              <w:rPr>
                <w:sz w:val="13"/>
                <w:szCs w:val="13"/>
                <w:color w:val="auto"/>
              </w:rPr>
            </w:pPr>
          </w:p>
        </w:tc>
        <w:tc>
          <w:tcPr>
            <w:tcW w:w="2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4,948</w:t>
            </w:r>
          </w:p>
        </w:tc>
        <w:tc>
          <w:tcPr>
            <w:tcW w:w="100" w:type="dxa"/>
            <w:vAlign w:val="bottom"/>
          </w:tcPr>
          <w:p>
            <w:pPr>
              <w:spacing w:after="0"/>
              <w:rPr>
                <w:sz w:val="13"/>
                <w:szCs w:val="13"/>
                <w:color w:val="auto"/>
              </w:rPr>
            </w:pPr>
          </w:p>
        </w:tc>
        <w:tc>
          <w:tcPr>
            <w:tcW w:w="30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31,737</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81,126</w:t>
            </w:r>
          </w:p>
        </w:tc>
        <w:tc>
          <w:tcPr>
            <w:tcW w:w="80" w:type="dxa"/>
            <w:vAlign w:val="bottom"/>
          </w:tcPr>
          <w:p>
            <w:pPr>
              <w:spacing w:after="0"/>
              <w:rPr>
                <w:sz w:val="13"/>
                <w:szCs w:val="13"/>
                <w:color w:val="auto"/>
              </w:rPr>
            </w:pPr>
          </w:p>
        </w:tc>
      </w:tr>
      <w:tr>
        <w:trPr>
          <w:trHeight w:val="152"/>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9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SFR mortgage loans:</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63,761</w:t>
            </w:r>
          </w:p>
        </w:tc>
        <w:tc>
          <w:tcPr>
            <w:tcW w:w="10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46,748</w:t>
            </w:r>
          </w:p>
        </w:tc>
        <w:tc>
          <w:tcPr>
            <w:tcW w:w="10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45,819</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33,585</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15,836</w:t>
            </w:r>
          </w:p>
        </w:tc>
        <w:tc>
          <w:tcPr>
            <w:tcW w:w="1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58,730</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264,479</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943</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602</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44"/>
        </w:trPr>
        <w:tc>
          <w:tcPr>
            <w:tcW w:w="19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SFR mortgage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63,761</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46,748</w:t>
            </w: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46,762</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33,585</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15,836</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58,944</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w:t>
            </w:r>
          </w:p>
        </w:tc>
        <w:tc>
          <w:tcPr>
            <w:tcW w:w="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266,024</w:t>
            </w:r>
          </w:p>
        </w:tc>
        <w:tc>
          <w:tcPr>
            <w:tcW w:w="80" w:type="dxa"/>
            <w:vAlign w:val="bottom"/>
            <w:shd w:val="clear" w:color="auto" w:fill="CFF0FC"/>
          </w:tcPr>
          <w:p>
            <w:pPr>
              <w:spacing w:after="0"/>
              <w:rPr>
                <w:sz w:val="12"/>
                <w:szCs w:val="12"/>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Consumer and other</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Pass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7,653</w:t>
            </w:r>
          </w:p>
        </w:tc>
        <w:tc>
          <w:tcPr>
            <w:tcW w:w="100" w:type="dxa"/>
            <w:vAlign w:val="bottom"/>
          </w:tcPr>
          <w:p>
            <w:pPr>
              <w:spacing w:after="0"/>
              <w:rPr>
                <w:sz w:val="13"/>
                <w:szCs w:val="13"/>
                <w:color w:val="auto"/>
              </w:rPr>
            </w:pPr>
          </w:p>
        </w:tc>
        <w:tc>
          <w:tcPr>
            <w:tcW w:w="28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3,722</w:t>
            </w:r>
          </w:p>
        </w:tc>
        <w:tc>
          <w:tcPr>
            <w:tcW w:w="100" w:type="dxa"/>
            <w:vAlign w:val="bottom"/>
          </w:tcPr>
          <w:p>
            <w:pPr>
              <w:spacing w:after="0"/>
              <w:rPr>
                <w:sz w:val="13"/>
                <w:szCs w:val="13"/>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1,298</w:t>
            </w:r>
          </w:p>
        </w:tc>
        <w:tc>
          <w:tcPr>
            <w:tcW w:w="100" w:type="dxa"/>
            <w:vAlign w:val="bottom"/>
          </w:tcPr>
          <w:p>
            <w:pPr>
              <w:spacing w:after="0"/>
              <w:rPr>
                <w:sz w:val="13"/>
                <w:szCs w:val="13"/>
                <w:color w:val="auto"/>
              </w:rPr>
            </w:pPr>
          </w:p>
        </w:tc>
        <w:tc>
          <w:tcPr>
            <w:tcW w:w="2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926</w:t>
            </w:r>
          </w:p>
        </w:tc>
        <w:tc>
          <w:tcPr>
            <w:tcW w:w="100" w:type="dxa"/>
            <w:vAlign w:val="bottom"/>
          </w:tcPr>
          <w:p>
            <w:pPr>
              <w:spacing w:after="0"/>
              <w:rPr>
                <w:sz w:val="13"/>
                <w:szCs w:val="13"/>
                <w:color w:val="auto"/>
              </w:rPr>
            </w:pPr>
          </w:p>
        </w:tc>
        <w:tc>
          <w:tcPr>
            <w:tcW w:w="2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3"/>
                <w:szCs w:val="13"/>
                <w:color w:val="auto"/>
              </w:rPr>
            </w:pPr>
          </w:p>
        </w:tc>
        <w:tc>
          <w:tcPr>
            <w:tcW w:w="30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1,277</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58,578</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1,107</w:t>
            </w:r>
          </w:p>
        </w:tc>
        <w:tc>
          <w:tcPr>
            <w:tcW w:w="80" w:type="dxa"/>
            <w:vAlign w:val="bottom"/>
          </w:tcPr>
          <w:p>
            <w:pPr>
              <w:spacing w:after="0"/>
              <w:rPr>
                <w:sz w:val="13"/>
                <w:szCs w:val="13"/>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74,640</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1,151</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972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990</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r>
      <w:tr>
        <w:trPr>
          <w:trHeight w:val="142"/>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Total Consumer and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0"/>
        </w:trPr>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other loans: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7,653</w:t>
            </w:r>
          </w:p>
        </w:tc>
        <w:tc>
          <w:tcPr>
            <w:tcW w:w="100" w:type="dxa"/>
            <w:vAlign w:val="bottom"/>
          </w:tcPr>
          <w:p>
            <w:pPr>
              <w:spacing w:after="0"/>
              <w:rPr>
                <w:sz w:val="13"/>
                <w:szCs w:val="13"/>
                <w:color w:val="auto"/>
              </w:rPr>
            </w:pPr>
          </w:p>
        </w:tc>
        <w:tc>
          <w:tcPr>
            <w:tcW w:w="28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4,283</w:t>
            </w:r>
          </w:p>
        </w:tc>
        <w:tc>
          <w:tcPr>
            <w:tcW w:w="100" w:type="dxa"/>
            <w:vAlign w:val="bottom"/>
          </w:tcPr>
          <w:p>
            <w:pPr>
              <w:spacing w:after="0"/>
              <w:rPr>
                <w:sz w:val="13"/>
                <w:szCs w:val="13"/>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1,298</w:t>
            </w:r>
          </w:p>
        </w:tc>
        <w:tc>
          <w:tcPr>
            <w:tcW w:w="100" w:type="dxa"/>
            <w:vAlign w:val="bottom"/>
          </w:tcPr>
          <w:p>
            <w:pPr>
              <w:spacing w:after="0"/>
              <w:rPr>
                <w:sz w:val="13"/>
                <w:szCs w:val="13"/>
                <w:color w:val="auto"/>
              </w:rPr>
            </w:pPr>
          </w:p>
        </w:tc>
        <w:tc>
          <w:tcPr>
            <w:tcW w:w="2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926</w:t>
            </w:r>
          </w:p>
        </w:tc>
        <w:tc>
          <w:tcPr>
            <w:tcW w:w="100" w:type="dxa"/>
            <w:vAlign w:val="bottom"/>
          </w:tcPr>
          <w:p>
            <w:pPr>
              <w:spacing w:after="0"/>
              <w:rPr>
                <w:sz w:val="13"/>
                <w:szCs w:val="13"/>
                <w:color w:val="auto"/>
              </w:rPr>
            </w:pPr>
          </w:p>
        </w:tc>
        <w:tc>
          <w:tcPr>
            <w:tcW w:w="2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3"/>
                <w:szCs w:val="13"/>
                <w:color w:val="auto"/>
              </w:rPr>
            </w:pPr>
          </w:p>
        </w:tc>
        <w:tc>
          <w:tcPr>
            <w:tcW w:w="30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1,290</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59,173</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2,079</w:t>
            </w:r>
          </w:p>
        </w:tc>
        <w:tc>
          <w:tcPr>
            <w:tcW w:w="80" w:type="dxa"/>
            <w:vAlign w:val="bottom"/>
          </w:tcPr>
          <w:p>
            <w:pPr>
              <w:spacing w:after="0"/>
              <w:rPr>
                <w:sz w:val="13"/>
                <w:szCs w:val="13"/>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76,781</w:t>
            </w:r>
          </w:p>
        </w:tc>
        <w:tc>
          <w:tcPr>
            <w:tcW w:w="80" w:type="dxa"/>
            <w:vAlign w:val="bottom"/>
          </w:tcPr>
          <w:p>
            <w:pPr>
              <w:spacing w:after="0"/>
              <w:rPr>
                <w:sz w:val="13"/>
                <w:szCs w:val="13"/>
                <w:color w:val="auto"/>
              </w:rPr>
            </w:pPr>
          </w:p>
        </w:tc>
      </w:tr>
      <w:tr>
        <w:trPr>
          <w:trHeight w:val="152"/>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4"/>
        </w:trPr>
        <w:tc>
          <w:tcPr>
            <w:tcW w:w="19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54"/>
        </w:trPr>
        <w:tc>
          <w:tcPr>
            <w:tcW w:w="190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1,674,387</w:t>
            </w:r>
          </w:p>
        </w:tc>
        <w:tc>
          <w:tcPr>
            <w:tcW w:w="10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1,499,083</w:t>
            </w:r>
          </w:p>
        </w:tc>
        <w:tc>
          <w:tcPr>
            <w:tcW w:w="10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1,149,567</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690,504</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599,162</w:t>
            </w:r>
          </w:p>
        </w:tc>
        <w:tc>
          <w:tcPr>
            <w:tcW w:w="1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2,163,284</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963,645</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48,948</w:t>
            </w:r>
          </w:p>
        </w:tc>
        <w:tc>
          <w:tcPr>
            <w:tcW w:w="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8,788,580</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7,240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13,436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36,589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28,398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78,625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33,783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212,154</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16,392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17,256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6,369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23,735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8,325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78,658</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98"/>
        </w:trPr>
        <w:tc>
          <w:tcPr>
            <w:tcW w:w="1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1,683,162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1,512,519</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1,178,645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744,349</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633,929</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2,265,644</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1,002,474</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58,670</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9,079,392</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Allowance for Credit Losses ("ACL")</w:t>
      </w:r>
    </w:p>
    <w:p>
      <w:pPr>
        <w:spacing w:after="0" w:line="184" w:lineRule="exact"/>
        <w:rPr>
          <w:sz w:val="20"/>
          <w:szCs w:val="20"/>
          <w:color w:val="auto"/>
        </w:rPr>
      </w:pPr>
    </w:p>
    <w:p>
      <w:pPr>
        <w:ind w:firstLine="432"/>
        <w:spacing w:after="0" w:line="272" w:lineRule="auto"/>
        <w:rPr>
          <w:sz w:val="20"/>
          <w:szCs w:val="20"/>
          <w:color w:val="auto"/>
        </w:rPr>
      </w:pPr>
      <w:r>
        <w:rPr>
          <w:rFonts w:ascii="Arial" w:cs="Arial" w:eastAsia="Arial" w:hAnsi="Arial"/>
          <w:sz w:val="14"/>
          <w:szCs w:val="14"/>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Paycheck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40" w:orient="portrait"/>
          <w:cols w:equalWidth="0" w:num="1">
            <w:col w:w="10560"/>
          </w:cols>
          <w:pgMar w:left="660" w:top="940" w:right="680"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 xml:space="preserve">conditions and forecasts to determine whether adjustments are needed to ensure that the life of loan loss rates reflect both the current state of the portfolio, and expectations for macroeconomic changes. Our methodology for assessing the appropriateness of the allowance is reviewed on a regular basis and considers overall risks in the Bank’s loan portfolio. 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included in our Annual Report on Form 10-K for the year ended December 31, 2022 for a more detailed discussion concerning the allowance for credit losses.</w:t>
      </w:r>
    </w:p>
    <w:p>
      <w:pPr>
        <w:spacing w:after="0" w:line="164" w:lineRule="exact"/>
        <w:rPr>
          <w:sz w:val="20"/>
          <w:szCs w:val="20"/>
          <w:color w:val="auto"/>
        </w:rPr>
      </w:pPr>
    </w:p>
    <w:p>
      <w:pPr>
        <w:ind w:right="140" w:firstLine="432"/>
        <w:spacing w:after="0" w:line="238" w:lineRule="auto"/>
        <w:rPr>
          <w:sz w:val="20"/>
          <w:szCs w:val="20"/>
          <w:color w:val="auto"/>
        </w:rPr>
      </w:pPr>
      <w:r>
        <w:rPr>
          <w:rFonts w:ascii="Arial" w:cs="Arial" w:eastAsia="Arial" w:hAnsi="Arial"/>
          <w:sz w:val="16"/>
          <w:szCs w:val="16"/>
          <w:color w:val="auto"/>
        </w:rPr>
        <w:t>The ACL totaled $87.0 million at June 30, 2023, compared to $85.1 million at December 31, 2022. The $1.9 million increase in the ACL from December 31, 2022 to June 30, 2023 was comprised of $2.0 million in provision for credit losses, offset by $150,000 in net charge- offs. At June 30, 2023, the ACL as a percentage of total loans and leases, at amortized cost, was 0.98%. This compares to 0.94% at December 31, 2022. Our economic forecast continues to be a blend of multiple forecasts produced by Moody’s. The baseline forecast continues to represent the largest weighting in our multi- weighted forecast scenario. As of June 30, 2023, the resulting weighted forecast assumes GDP will increase by 1.5% for all of 2023 and 0.8% for 2024 and then grow by 2.0% in 2025. The unemployment rate is forecasted to be 3.8% in 2023 and 5.0% in 2024 and 2025.</w:t>
      </w:r>
    </w:p>
    <w:p>
      <w:pPr>
        <w:spacing w:after="0" w:line="166" w:lineRule="exact"/>
        <w:rPr>
          <w:sz w:val="20"/>
          <w:szCs w:val="20"/>
          <w:color w:val="auto"/>
        </w:rPr>
      </w:pPr>
    </w:p>
    <w:p>
      <w:pPr>
        <w:jc w:val="both"/>
        <w:ind w:right="140" w:firstLine="432"/>
        <w:spacing w:after="0" w:line="243" w:lineRule="auto"/>
        <w:rPr>
          <w:sz w:val="20"/>
          <w:szCs w:val="20"/>
          <w:color w:val="auto"/>
        </w:rPr>
      </w:pPr>
      <w:r>
        <w:rPr>
          <w:rFonts w:ascii="Arial" w:cs="Arial" w:eastAsia="Arial" w:hAnsi="Arial"/>
          <w:sz w:val="16"/>
          <w:szCs w:val="16"/>
          <w:color w:val="auto"/>
        </w:rPr>
        <w:t>Management believes that the ACL was appropriate at June 30, 2023 and December 31, 2022. Due to inflationary pressures, rising interest rates and geopolitical events, no assurance can be given that economic conditions that adversely affect the Company’s service areas or other circumstances will not be reflected in increased provisions for credit losses in the future.</w:t>
      </w:r>
    </w:p>
    <w:p>
      <w:pPr>
        <w:spacing w:after="0" w:line="137" w:lineRule="exact"/>
        <w:rPr>
          <w:sz w:val="20"/>
          <w:szCs w:val="20"/>
          <w:color w:val="auto"/>
        </w:rPr>
      </w:pPr>
    </w:p>
    <w:p>
      <w:pPr>
        <w:ind w:right="80" w:firstLine="432"/>
        <w:spacing w:after="0" w:line="252" w:lineRule="auto"/>
        <w:rPr>
          <w:sz w:val="20"/>
          <w:szCs w:val="20"/>
          <w:color w:val="auto"/>
        </w:rPr>
      </w:pPr>
      <w:r>
        <w:rPr>
          <w:rFonts w:ascii="Arial" w:cs="Arial" w:eastAsia="Arial" w:hAnsi="Arial"/>
          <w:sz w:val="16"/>
          <w:szCs w:val="16"/>
          <w:color w:val="auto"/>
        </w:rPr>
        <w:t>The following tables present the balance and activity related to the allowance for credit losses for held-for-investment loans by type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gridSpan w:val="8"/>
          </w:tcPr>
          <w:p>
            <w:pPr>
              <w:jc w:val="right"/>
              <w:ind w:right="14"/>
              <w:spacing w:after="0"/>
              <w:rPr>
                <w:sz w:val="20"/>
                <w:szCs w:val="20"/>
                <w:color w:val="auto"/>
              </w:rPr>
            </w:pPr>
            <w:r>
              <w:rPr>
                <w:rFonts w:ascii="Arial" w:cs="Arial" w:eastAsia="Arial" w:hAnsi="Arial"/>
                <w:sz w:val="13"/>
                <w:szCs w:val="13"/>
                <w:b w:val="1"/>
                <w:bCs w:val="1"/>
                <w:color w:val="auto"/>
              </w:rPr>
              <w:t>Three Months Ended June 30, 2023</w:t>
            </w: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9"/>
              </w:rPr>
              <w:t>Provision for</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94"/>
              <w:spacing w:after="0"/>
              <w:rPr>
                <w:sz w:val="20"/>
                <w:szCs w:val="20"/>
                <w:color w:val="auto"/>
              </w:rPr>
            </w:pPr>
            <w:r>
              <w:rPr>
                <w:rFonts w:ascii="Arial" w:cs="Arial" w:eastAsia="Arial" w:hAnsi="Arial"/>
                <w:sz w:val="13"/>
                <w:szCs w:val="13"/>
                <w:b w:val="1"/>
                <w:bCs w:val="1"/>
                <w:color w:val="auto"/>
              </w:rPr>
              <w:t>Ending Balance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(Recapture of) Credit</w:t>
            </w:r>
          </w:p>
        </w:tc>
        <w:tc>
          <w:tcPr>
            <w:tcW w:w="14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Arial" w:cs="Arial" w:eastAsia="Arial" w:hAnsi="Arial"/>
                <w:sz w:val="13"/>
                <w:szCs w:val="13"/>
                <w:b w:val="1"/>
                <w:bCs w:val="1"/>
                <w:color w:val="auto"/>
              </w:rPr>
              <w:t>Ending Balance June</w:t>
            </w:r>
          </w:p>
        </w:tc>
        <w:tc>
          <w:tcPr>
            <w:tcW w:w="0" w:type="dxa"/>
            <w:vAlign w:val="bottom"/>
          </w:tcPr>
          <w:p>
            <w:pPr>
              <w:spacing w:after="0"/>
              <w:rPr>
                <w:sz w:val="1"/>
                <w:szCs w:val="1"/>
                <w:color w:val="auto"/>
              </w:rPr>
            </w:pPr>
          </w:p>
        </w:tc>
      </w:tr>
      <w:tr>
        <w:trPr>
          <w:trHeight w:val="182"/>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74"/>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Charge-offs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3"/>
                <w:szCs w:val="13"/>
                <w:b w:val="1"/>
                <w:bCs w:val="1"/>
                <w:color w:val="auto"/>
              </w:rPr>
              <w:t>Recoveries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Losses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74"/>
              <w:spacing w:after="0"/>
              <w:rPr>
                <w:sz w:val="20"/>
                <w:szCs w:val="20"/>
                <w:color w:val="auto"/>
              </w:rPr>
            </w:pPr>
            <w:r>
              <w:rPr>
                <w:rFonts w:ascii="Arial" w:cs="Arial" w:eastAsia="Arial" w:hAnsi="Arial"/>
                <w:sz w:val="13"/>
                <w:szCs w:val="13"/>
                <w:b w:val="1"/>
                <w:bCs w:val="1"/>
                <w:color w:val="auto"/>
              </w:rPr>
              <w:t>30, 2023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67,117</w:t>
            </w:r>
          </w:p>
        </w:tc>
        <w:tc>
          <w:tcPr>
            <w:tcW w:w="4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w:t>
            </w:r>
          </w:p>
        </w:tc>
        <w:tc>
          <w:tcPr>
            <w:tcW w:w="100" w:type="dxa"/>
            <w:vAlign w:val="bottom"/>
            <w:shd w:val="clear" w:color="auto" w:fill="CFF0FC"/>
          </w:tcPr>
          <w:p>
            <w:pPr>
              <w:spacing w:after="0"/>
              <w:rPr>
                <w:sz w:val="16"/>
                <w:szCs w:val="16"/>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67,943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(515 )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SBA</w:t>
            </w: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(87 )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SBA - PPP</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8,963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Dairy &amp; livestock and agribusiness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4,770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Municipal lease finance</w:t>
            </w:r>
          </w:p>
        </w:tc>
        <w:tc>
          <w:tcPr>
            <w:tcW w:w="1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(10 )</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2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rPr>
              <w:t>receivables</w:t>
            </w:r>
          </w:p>
        </w:tc>
        <w:tc>
          <w:tcPr>
            <w:tcW w:w="140" w:type="dxa"/>
            <w:vAlign w:val="bottom"/>
            <w:shd w:val="clear" w:color="auto" w:fill="CFF0FC"/>
          </w:tcPr>
          <w:p>
            <w:pPr>
              <w:spacing w:after="0"/>
              <w:rPr>
                <w:sz w:val="7"/>
                <w:szCs w:val="7"/>
                <w:color w:val="auto"/>
              </w:rPr>
            </w:pPr>
          </w:p>
        </w:tc>
        <w:tc>
          <w:tcPr>
            <w:tcW w:w="124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300" w:type="dxa"/>
            <w:vAlign w:val="bottom"/>
            <w:gridSpan w:val="2"/>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80" w:type="dxa"/>
            <w:vAlign w:val="bottom"/>
            <w:gridSpan w:val="2"/>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60" w:type="dxa"/>
            <w:vAlign w:val="bottom"/>
            <w:gridSpan w:val="2"/>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12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62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SFR mortgage</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Consumer and other loans</w:t>
            </w: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(192 )</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80"/>
              <w:spacing w:after="0"/>
              <w:rPr>
                <w:sz w:val="20"/>
                <w:szCs w:val="20"/>
                <w:color w:val="auto"/>
              </w:rPr>
            </w:pPr>
            <w:r>
              <w:rPr>
                <w:rFonts w:ascii="Arial" w:cs="Arial" w:eastAsia="Arial" w:hAnsi="Arial"/>
                <w:sz w:val="13"/>
                <w:szCs w:val="13"/>
                <w:color w:val="auto"/>
              </w:rPr>
              <w:t>Total allowance for credit losses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86,540</w:t>
            </w:r>
          </w:p>
        </w:tc>
        <w:tc>
          <w:tcPr>
            <w:tcW w:w="1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(88 )</w:t>
            </w:r>
          </w:p>
        </w:tc>
        <w:tc>
          <w:tcPr>
            <w:tcW w:w="3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36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5"/>
                <w:szCs w:val="15"/>
                <w:color w:val="auto"/>
              </w:rPr>
            </w:pPr>
          </w:p>
        </w:tc>
        <w:tc>
          <w:tcPr>
            <w:tcW w:w="3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86,967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gridSpan w:val="8"/>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gridSpan w:val="8"/>
          </w:tcPr>
          <w:p>
            <w:pPr>
              <w:jc w:val="right"/>
              <w:spacing w:after="0"/>
              <w:rPr>
                <w:sz w:val="20"/>
                <w:szCs w:val="20"/>
                <w:color w:val="auto"/>
              </w:rPr>
            </w:pPr>
            <w:r>
              <w:rPr>
                <w:rFonts w:ascii="Arial" w:cs="Arial" w:eastAsia="Arial" w:hAnsi="Arial"/>
                <w:sz w:val="13"/>
                <w:szCs w:val="13"/>
                <w:b w:val="1"/>
                <w:bCs w:val="1"/>
                <w:color w:val="auto"/>
              </w:rPr>
              <w:t>Three Months Ended June 30, 2022</w:t>
            </w: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9"/>
              </w:rPr>
              <w:t>Provision for</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94"/>
              <w:spacing w:after="0"/>
              <w:rPr>
                <w:sz w:val="20"/>
                <w:szCs w:val="20"/>
                <w:color w:val="auto"/>
              </w:rPr>
            </w:pPr>
            <w:r>
              <w:rPr>
                <w:rFonts w:ascii="Arial" w:cs="Arial" w:eastAsia="Arial" w:hAnsi="Arial"/>
                <w:sz w:val="13"/>
                <w:szCs w:val="13"/>
                <w:b w:val="1"/>
                <w:bCs w:val="1"/>
                <w:color w:val="auto"/>
              </w:rPr>
              <w:t>Ending Balance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(Recapture of) Credit</w:t>
            </w:r>
          </w:p>
        </w:tc>
        <w:tc>
          <w:tcPr>
            <w:tcW w:w="14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Ending Balance June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74"/>
              <w:spacing w:after="0"/>
              <w:rPr>
                <w:sz w:val="20"/>
                <w:szCs w:val="20"/>
                <w:color w:val="auto"/>
              </w:rPr>
            </w:pPr>
            <w:r>
              <w:rPr>
                <w:rFonts w:ascii="Arial" w:cs="Arial" w:eastAsia="Arial" w:hAnsi="Arial"/>
                <w:sz w:val="13"/>
                <w:szCs w:val="13"/>
                <w:b w:val="1"/>
                <w:bCs w:val="1"/>
                <w:color w:val="auto"/>
              </w:rPr>
              <w:t>March 31, 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Charge-offs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3"/>
                <w:szCs w:val="13"/>
                <w:b w:val="1"/>
                <w:bCs w:val="1"/>
                <w:color w:val="auto"/>
              </w:rPr>
              <w:t>Recoveries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Losses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74"/>
              <w:spacing w:after="0"/>
              <w:rPr>
                <w:sz w:val="20"/>
                <w:szCs w:val="20"/>
                <w:color w:val="auto"/>
              </w:rPr>
            </w:pPr>
            <w:r>
              <w:rPr>
                <w:rFonts w:ascii="Arial" w:cs="Arial" w:eastAsia="Arial" w:hAnsi="Arial"/>
                <w:sz w:val="13"/>
                <w:szCs w:val="13"/>
                <w:b w:val="1"/>
                <w:bCs w:val="1"/>
                <w:color w:val="auto"/>
              </w:rPr>
              <w:t>30, 2022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57,835</w:t>
            </w:r>
          </w:p>
        </w:tc>
        <w:tc>
          <w:tcPr>
            <w:tcW w:w="4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3,678</w:t>
            </w:r>
          </w:p>
        </w:tc>
        <w:tc>
          <w:tcPr>
            <w:tcW w:w="100" w:type="dxa"/>
            <w:vAlign w:val="bottom"/>
            <w:shd w:val="clear" w:color="auto" w:fill="CFF0FC"/>
          </w:tcPr>
          <w:p>
            <w:pPr>
              <w:spacing w:after="0"/>
              <w:rPr>
                <w:sz w:val="16"/>
                <w:szCs w:val="16"/>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SBA</w:t>
            </w: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(264 )</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SBA - PPP</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6,831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(84 )</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Dairy &amp; livestock and agribusiness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6,703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6,832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Municipal lease finance</w:t>
            </w:r>
          </w:p>
        </w:tc>
        <w:tc>
          <w:tcPr>
            <w:tcW w:w="1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2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rPr>
              <w:t>receivables</w:t>
            </w:r>
          </w:p>
        </w:tc>
        <w:tc>
          <w:tcPr>
            <w:tcW w:w="140" w:type="dxa"/>
            <w:vAlign w:val="bottom"/>
            <w:shd w:val="clear" w:color="auto" w:fill="CFF0FC"/>
          </w:tcPr>
          <w:p>
            <w:pPr>
              <w:spacing w:after="0"/>
              <w:rPr>
                <w:sz w:val="7"/>
                <w:szCs w:val="7"/>
                <w:color w:val="auto"/>
              </w:rPr>
            </w:pPr>
          </w:p>
        </w:tc>
        <w:tc>
          <w:tcPr>
            <w:tcW w:w="124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300" w:type="dxa"/>
            <w:vAlign w:val="bottom"/>
            <w:gridSpan w:val="2"/>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80" w:type="dxa"/>
            <w:vAlign w:val="bottom"/>
            <w:gridSpan w:val="2"/>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12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62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SFR mortgage</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Consumer and other loans</w:t>
            </w: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80"/>
              <w:spacing w:after="0"/>
              <w:rPr>
                <w:sz w:val="20"/>
                <w:szCs w:val="20"/>
                <w:color w:val="auto"/>
              </w:rPr>
            </w:pPr>
            <w:r>
              <w:rPr>
                <w:rFonts w:ascii="Arial" w:cs="Arial" w:eastAsia="Arial" w:hAnsi="Arial"/>
                <w:sz w:val="13"/>
                <w:szCs w:val="13"/>
                <w:color w:val="auto"/>
              </w:rPr>
              <w:t>Total allowance for credit losses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76,119</w:t>
            </w:r>
          </w:p>
        </w:tc>
        <w:tc>
          <w:tcPr>
            <w:tcW w:w="1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(8 )</w:t>
            </w:r>
          </w:p>
        </w:tc>
        <w:tc>
          <w:tcPr>
            <w:tcW w:w="3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5"/>
                <w:szCs w:val="15"/>
                <w:color w:val="auto"/>
              </w:rPr>
            </w:pPr>
          </w:p>
        </w:tc>
        <w:tc>
          <w:tcPr>
            <w:tcW w:w="36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3,600</w:t>
            </w:r>
          </w:p>
        </w:tc>
        <w:tc>
          <w:tcPr>
            <w:tcW w:w="100" w:type="dxa"/>
            <w:vAlign w:val="bottom"/>
          </w:tcPr>
          <w:p>
            <w:pPr>
              <w:spacing w:after="0"/>
              <w:rPr>
                <w:sz w:val="15"/>
                <w:szCs w:val="15"/>
                <w:color w:val="auto"/>
              </w:rPr>
            </w:pPr>
          </w:p>
        </w:tc>
        <w:tc>
          <w:tcPr>
            <w:tcW w:w="3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80,222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40" w:orient="portrait"/>
          <w:cols w:equalWidth="0" w:num="1">
            <w:col w:w="10560"/>
          </w:cols>
          <w:pgMar w:left="660" w:top="790" w:right="68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3"/>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60" w:type="dxa"/>
            <w:vAlign w:val="bottom"/>
            <w:gridSpan w:val="8"/>
          </w:tcPr>
          <w:p>
            <w:pPr>
              <w:jc w:val="right"/>
              <w:ind w:right="74"/>
              <w:spacing w:after="0"/>
              <w:rPr>
                <w:sz w:val="20"/>
                <w:szCs w:val="20"/>
                <w:color w:val="auto"/>
              </w:rPr>
            </w:pPr>
            <w:r>
              <w:rPr>
                <w:rFonts w:ascii="Arial" w:cs="Arial" w:eastAsia="Arial" w:hAnsi="Arial"/>
                <w:sz w:val="13"/>
                <w:szCs w:val="13"/>
                <w:b w:val="1"/>
                <w:bCs w:val="1"/>
                <w:color w:val="auto"/>
              </w:rPr>
              <w:t>Six Months Ended June 30, 2023</w:t>
            </w: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9"/>
              </w:rPr>
              <w:t>Provision for</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ind w:right="134"/>
              <w:spacing w:after="0"/>
              <w:rPr>
                <w:sz w:val="20"/>
                <w:szCs w:val="20"/>
                <w:color w:val="auto"/>
              </w:rPr>
            </w:pPr>
            <w:r>
              <w:rPr>
                <w:rFonts w:ascii="Arial" w:cs="Arial" w:eastAsia="Arial" w:hAnsi="Arial"/>
                <w:sz w:val="13"/>
                <w:szCs w:val="13"/>
                <w:b w:val="1"/>
                <w:bCs w:val="1"/>
                <w:color w:val="auto"/>
              </w:rPr>
              <w:t>Ending Balance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(Recapture of) Credit</w:t>
            </w:r>
          </w:p>
        </w:tc>
        <w:tc>
          <w:tcPr>
            <w:tcW w:w="14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Arial" w:cs="Arial" w:eastAsia="Arial" w:hAnsi="Arial"/>
                <w:sz w:val="13"/>
                <w:szCs w:val="13"/>
                <w:b w:val="1"/>
                <w:bCs w:val="1"/>
                <w:color w:val="auto"/>
              </w:rPr>
              <w:t>Ending Balance June</w:t>
            </w:r>
          </w:p>
        </w:tc>
        <w:tc>
          <w:tcPr>
            <w:tcW w:w="0" w:type="dxa"/>
            <w:vAlign w:val="bottom"/>
          </w:tcPr>
          <w:p>
            <w:pPr>
              <w:spacing w:after="0"/>
              <w:rPr>
                <w:sz w:val="1"/>
                <w:szCs w:val="1"/>
                <w:color w:val="auto"/>
              </w:rPr>
            </w:pPr>
          </w:p>
        </w:tc>
      </w:tr>
      <w:tr>
        <w:trPr>
          <w:trHeight w:val="182"/>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34"/>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Charge-offs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3"/>
                <w:szCs w:val="13"/>
                <w:b w:val="1"/>
                <w:bCs w:val="1"/>
                <w:color w:val="auto"/>
              </w:rPr>
              <w:t>Recoveries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Losses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74"/>
              <w:spacing w:after="0"/>
              <w:rPr>
                <w:sz w:val="20"/>
                <w:szCs w:val="20"/>
                <w:color w:val="auto"/>
              </w:rPr>
            </w:pPr>
            <w:r>
              <w:rPr>
                <w:rFonts w:ascii="Arial" w:cs="Arial" w:eastAsia="Arial" w:hAnsi="Arial"/>
                <w:sz w:val="13"/>
                <w:szCs w:val="13"/>
                <w:b w:val="1"/>
                <w:bCs w:val="1"/>
                <w:color w:val="auto"/>
              </w:rPr>
              <w:t>30, 2023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64,806</w:t>
            </w:r>
          </w:p>
        </w:tc>
        <w:tc>
          <w:tcPr>
            <w:tcW w:w="4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3,137</w:t>
            </w:r>
          </w:p>
        </w:tc>
        <w:tc>
          <w:tcPr>
            <w:tcW w:w="100" w:type="dxa"/>
            <w:vAlign w:val="bottom"/>
            <w:shd w:val="clear" w:color="auto" w:fill="CFF0FC"/>
          </w:tcPr>
          <w:p>
            <w:pPr>
              <w:spacing w:after="0"/>
              <w:rPr>
                <w:sz w:val="16"/>
                <w:szCs w:val="16"/>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67,943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(546 )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SBA</w:t>
            </w: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(181 )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SBA - PPP</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and industrial</w:t>
            </w: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(1,083 )</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Dairy &amp; livestock and agribusiness</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4,400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Municipal lease finance receivables</w:t>
            </w: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(23 )</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SFR mortgage</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Consumer and other loans</w:t>
            </w: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(129 )</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80"/>
              <w:spacing w:after="0"/>
              <w:rPr>
                <w:sz w:val="20"/>
                <w:szCs w:val="20"/>
                <w:color w:val="auto"/>
              </w:rPr>
            </w:pPr>
            <w:r>
              <w:rPr>
                <w:rFonts w:ascii="Arial" w:cs="Arial" w:eastAsia="Arial" w:hAnsi="Arial"/>
                <w:sz w:val="13"/>
                <w:szCs w:val="13"/>
                <w:color w:val="auto"/>
              </w:rPr>
              <w:t>Total allowance for credit losses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85,117</w:t>
            </w:r>
          </w:p>
        </w:tc>
        <w:tc>
          <w:tcPr>
            <w:tcW w:w="1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(198 )</w:t>
            </w:r>
          </w:p>
        </w:tc>
        <w:tc>
          <w:tcPr>
            <w:tcW w:w="3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3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86,967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gridSpan w:val="10"/>
          </w:tcPr>
          <w:p>
            <w:pPr>
              <w:jc w:val="center"/>
              <w:ind w:right="280"/>
              <w:spacing w:after="0"/>
              <w:rPr>
                <w:sz w:val="20"/>
                <w:szCs w:val="20"/>
                <w:color w:val="auto"/>
              </w:rPr>
            </w:pPr>
            <w:r>
              <w:rPr>
                <w:rFonts w:ascii="Arial" w:cs="Arial" w:eastAsia="Arial" w:hAnsi="Arial"/>
                <w:sz w:val="13"/>
                <w:szCs w:val="13"/>
                <w:b w:val="1"/>
                <w:bCs w:val="1"/>
                <w:color w:val="auto"/>
              </w:rPr>
              <w:t>Six Months Ended June 30, 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b w:val="1"/>
                <w:bCs w:val="1"/>
                <w:color w:val="auto"/>
              </w:rPr>
              <w:t>Ending Balance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Initial ACL for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Provision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PCD Loans at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Recorded at</w:t>
            </w: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(Recapture of)</w:t>
            </w: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Ending Balance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1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Charge-offs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b w:val="1"/>
                <w:bCs w:val="1"/>
                <w:color w:val="auto"/>
              </w:rPr>
              <w:t>Recoveries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Acquisition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Acquisition</w:t>
            </w:r>
          </w:p>
        </w:tc>
        <w:tc>
          <w:tcPr>
            <w:tcW w:w="10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Credit Losses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Arial" w:cs="Arial" w:eastAsia="Arial" w:hAnsi="Arial"/>
                <w:sz w:val="13"/>
                <w:szCs w:val="13"/>
                <w:b w:val="1"/>
                <w:bCs w:val="1"/>
                <w:color w:val="auto"/>
                <w:w w:val="99"/>
              </w:rPr>
              <w:t>June 30, 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gridSpan w:val="5"/>
          </w:tcPr>
          <w:p>
            <w:pPr>
              <w:jc w:val="center"/>
              <w:ind w:left="14"/>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50,950</w:t>
            </w:r>
          </w:p>
        </w:tc>
        <w:tc>
          <w:tcPr>
            <w:tcW w:w="10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5,086</w:t>
            </w:r>
          </w:p>
        </w:tc>
        <w:tc>
          <w:tcPr>
            <w:tcW w:w="10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4,127</w:t>
            </w:r>
          </w:p>
        </w:tc>
        <w:tc>
          <w:tcPr>
            <w:tcW w:w="1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1,350</w:t>
            </w:r>
          </w:p>
        </w:tc>
        <w:tc>
          <w:tcPr>
            <w:tcW w:w="100" w:type="dxa"/>
            <w:vAlign w:val="bottom"/>
            <w:shd w:val="clear" w:color="auto" w:fill="CFF0FC"/>
          </w:tcPr>
          <w:p>
            <w:pPr>
              <w:spacing w:after="0"/>
              <w:rPr>
                <w:sz w:val="16"/>
                <w:szCs w:val="16"/>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SBA</w:t>
            </w: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(239 )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3"/>
                <w:szCs w:val="13"/>
                <w:color w:val="auto"/>
              </w:rPr>
              <w:t>SBA - PPP</w:t>
            </w: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and industrial</w:t>
            </w: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(918 )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00" w:type="dxa"/>
            <w:vAlign w:val="bottom"/>
          </w:tcPr>
          <w:p>
            <w:pPr>
              <w:ind w:left="20"/>
              <w:spacing w:after="0"/>
              <w:rPr>
                <w:sz w:val="20"/>
                <w:szCs w:val="20"/>
                <w:color w:val="auto"/>
              </w:rPr>
            </w:pPr>
            <w:r>
              <w:rPr>
                <w:rFonts w:ascii="Arial" w:cs="Arial" w:eastAsia="Arial" w:hAnsi="Arial"/>
                <w:sz w:val="13"/>
                <w:szCs w:val="13"/>
                <w:color w:val="auto"/>
              </w:rPr>
              <w:t>Dairy &amp; livestock and</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3,066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2,832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783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6,832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00" w:type="dxa"/>
            <w:vAlign w:val="bottom"/>
            <w:vMerge w:val="restart"/>
          </w:tcPr>
          <w:p>
            <w:pPr>
              <w:ind w:left="20"/>
              <w:spacing w:after="0"/>
              <w:rPr>
                <w:sz w:val="20"/>
                <w:szCs w:val="20"/>
                <w:color w:val="auto"/>
              </w:rPr>
            </w:pPr>
            <w:r>
              <w:rPr>
                <w:rFonts w:ascii="Arial" w:cs="Arial" w:eastAsia="Arial" w:hAnsi="Arial"/>
                <w:sz w:val="13"/>
                <w:szCs w:val="13"/>
                <w:color w:val="auto"/>
              </w:rPr>
              <w:t>agribusiness</w:t>
            </w: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Municipal lease finance</w:t>
            </w:r>
          </w:p>
        </w:tc>
        <w:tc>
          <w:tcPr>
            <w:tcW w:w="8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0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rPr>
              <w:t>receivables</w:t>
            </w:r>
          </w:p>
        </w:tc>
        <w:tc>
          <w:tcPr>
            <w:tcW w:w="80" w:type="dxa"/>
            <w:vAlign w:val="bottom"/>
            <w:shd w:val="clear" w:color="auto" w:fill="CFF0FC"/>
          </w:tcPr>
          <w:p>
            <w:pPr>
              <w:spacing w:after="0"/>
              <w:rPr>
                <w:sz w:val="7"/>
                <w:szCs w:val="7"/>
                <w:color w:val="auto"/>
              </w:rPr>
            </w:pPr>
          </w:p>
        </w:tc>
        <w:tc>
          <w:tcPr>
            <w:tcW w:w="9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20" w:type="dxa"/>
            <w:vAlign w:val="bottom"/>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0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9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92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92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94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0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3"/>
                <w:szCs w:val="13"/>
                <w:color w:val="auto"/>
              </w:rPr>
              <w:t>SFR mortgage</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Consumer and other loans</w:t>
            </w: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(39 )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00" w:type="dxa"/>
            <w:vAlign w:val="bottom"/>
          </w:tcPr>
          <w:p>
            <w:pPr>
              <w:ind w:left="180"/>
              <w:spacing w:after="0"/>
              <w:rPr>
                <w:sz w:val="20"/>
                <w:szCs w:val="20"/>
                <w:color w:val="auto"/>
              </w:rPr>
            </w:pPr>
            <w:r>
              <w:rPr>
                <w:rFonts w:ascii="Arial" w:cs="Arial" w:eastAsia="Arial" w:hAnsi="Arial"/>
                <w:sz w:val="13"/>
                <w:szCs w:val="13"/>
                <w:color w:val="auto"/>
              </w:rPr>
              <w:t>Total allowance for credit</w:t>
            </w: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65,019</w:t>
            </w:r>
          </w:p>
        </w:tc>
        <w:tc>
          <w:tcPr>
            <w:tcW w:w="100" w:type="dxa"/>
            <w:vAlign w:val="bottom"/>
          </w:tcPr>
          <w:p>
            <w:pPr>
              <w:spacing w:after="0"/>
              <w:rPr>
                <w:sz w:val="13"/>
                <w:szCs w:val="13"/>
                <w:color w:val="auto"/>
              </w:rPr>
            </w:pP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(24 )</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8,605</w:t>
            </w:r>
          </w:p>
        </w:tc>
        <w:tc>
          <w:tcPr>
            <w:tcW w:w="100" w:type="dxa"/>
            <w:vAlign w:val="bottom"/>
          </w:tcPr>
          <w:p>
            <w:pPr>
              <w:spacing w:after="0"/>
              <w:rPr>
                <w:sz w:val="13"/>
                <w:szCs w:val="13"/>
                <w:color w:val="auto"/>
              </w:rPr>
            </w:pP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4,932</w:t>
            </w:r>
          </w:p>
        </w:tc>
        <w:tc>
          <w:tcPr>
            <w:tcW w:w="12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1,168</w:t>
            </w:r>
          </w:p>
        </w:tc>
        <w:tc>
          <w:tcPr>
            <w:tcW w:w="100" w:type="dxa"/>
            <w:vAlign w:val="bottom"/>
          </w:tcPr>
          <w:p>
            <w:pPr>
              <w:spacing w:after="0"/>
              <w:rPr>
                <w:sz w:val="13"/>
                <w:szCs w:val="13"/>
                <w:color w:val="auto"/>
              </w:rPr>
            </w:pPr>
          </w:p>
        </w:tc>
        <w:tc>
          <w:tcPr>
            <w:tcW w:w="180" w:type="dxa"/>
            <w:vAlign w:val="bottom"/>
            <w:gridSpan w:val="2"/>
            <w:vMerge w:val="restart"/>
          </w:tcPr>
          <w:p>
            <w:pPr>
              <w:ind w:left="100"/>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80,222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2000" w:type="dxa"/>
            <w:vAlign w:val="bottom"/>
            <w:vMerge w:val="restart"/>
          </w:tcPr>
          <w:p>
            <w:pPr>
              <w:ind w:left="180"/>
              <w:spacing w:after="0" w:line="139" w:lineRule="exact"/>
              <w:rPr>
                <w:sz w:val="20"/>
                <w:szCs w:val="20"/>
                <w:color w:val="auto"/>
              </w:rPr>
            </w:pPr>
            <w:r>
              <w:rPr>
                <w:rFonts w:ascii="Arial" w:cs="Arial" w:eastAsia="Arial" w:hAnsi="Arial"/>
                <w:sz w:val="13"/>
                <w:szCs w:val="13"/>
                <w:color w:val="auto"/>
              </w:rPr>
              <w:t>losses</w:t>
            </w:r>
          </w:p>
        </w:tc>
        <w:tc>
          <w:tcPr>
            <w:tcW w:w="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00" w:type="dxa"/>
            <w:vAlign w:val="bottom"/>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Due and Nonperforming Loans</w:t>
      </w:r>
    </w:p>
    <w:p>
      <w:pPr>
        <w:spacing w:after="0" w:line="184" w:lineRule="exact"/>
        <w:rPr>
          <w:sz w:val="20"/>
          <w:szCs w:val="20"/>
          <w:color w:val="auto"/>
        </w:rPr>
      </w:pPr>
    </w:p>
    <w:p>
      <w:pPr>
        <w:ind w:right="40" w:firstLine="432"/>
        <w:spacing w:after="0" w:line="237" w:lineRule="auto"/>
        <w:rPr>
          <w:sz w:val="20"/>
          <w:szCs w:val="20"/>
          <w:color w:val="auto"/>
        </w:rPr>
      </w:pPr>
      <w:r>
        <w:rPr>
          <w:rFonts w:ascii="Arial" w:cs="Arial" w:eastAsia="Arial" w:hAnsi="Arial"/>
          <w:sz w:val="16"/>
          <w:szCs w:val="16"/>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included in our Annual Report on Form 10-K for the year ended December 31, 2022, for additional discussion concerning</w:t>
      </w:r>
      <w:r>
        <w:rPr>
          <w:rFonts w:ascii="Arial" w:cs="Arial" w:eastAsia="Arial" w:hAnsi="Arial"/>
          <w:sz w:val="16"/>
          <w:szCs w:val="16"/>
          <w:i w:val="1"/>
          <w:iCs w:val="1"/>
          <w:color w:val="auto"/>
        </w:rPr>
        <w:t xml:space="preserve"> </w:t>
      </w:r>
      <w:r>
        <w:rPr>
          <w:rFonts w:ascii="Arial" w:cs="Arial" w:eastAsia="Arial" w:hAnsi="Arial"/>
          <w:sz w:val="16"/>
          <w:szCs w:val="16"/>
          <w:color w:val="auto"/>
        </w:rPr>
        <w:t>the Bank’s policy for past due and nonperforming loans.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40" w:orient="portrait"/>
          <w:cols w:equalWidth="0" w:num="1">
            <w:col w:w="10560"/>
          </w:cols>
          <w:pgMar w:left="660" w:top="1034" w:right="680" w:bottom="1440" w:gutter="0" w:footer="0" w:header="0"/>
        </w:sectPr>
      </w:pPr>
    </w:p>
    <w:bookmarkStart w:id="22" w:name="page23"/>
    <w:bookmarkEnd w:id="22"/>
    <w:p>
      <w:pPr>
        <w:ind w:right="200"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following table presents the recorded investment in, and the aging of, past due loans (including nonaccrual loans), by type of loans as of the dates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6"/>
          </w:tcPr>
          <w:p>
            <w:pPr>
              <w:jc w:val="center"/>
              <w:ind w:right="340"/>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Greater than 89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Total Loans and</w:t>
            </w: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rPr>
              <w:t>30-59 Days Past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60-89 Days Past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Days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Loans Not Past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Financing</w:t>
            </w: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74"/>
              <w:spacing w:after="0"/>
              <w:rPr>
                <w:sz w:val="20"/>
                <w:szCs w:val="20"/>
                <w:color w:val="auto"/>
              </w:rPr>
            </w:pPr>
            <w:r>
              <w:rPr>
                <w:rFonts w:ascii="Arial" w:cs="Arial" w:eastAsia="Arial" w:hAnsi="Arial"/>
                <w:sz w:val="13"/>
                <w:szCs w:val="13"/>
                <w:b w:val="1"/>
                <w:bCs w:val="1"/>
                <w:color w:val="auto"/>
              </w:rPr>
              <w:t>Due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Past Due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Total Past Due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Due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Receivables</w:t>
            </w:r>
          </w:p>
        </w:tc>
        <w:tc>
          <w:tcPr>
            <w:tcW w:w="0" w:type="dxa"/>
            <w:vAlign w:val="bottom"/>
          </w:tcPr>
          <w:p>
            <w:pPr>
              <w:spacing w:after="0"/>
              <w:rPr>
                <w:sz w:val="1"/>
                <w:szCs w:val="1"/>
                <w:color w:val="auto"/>
              </w:rPr>
            </w:pPr>
          </w:p>
        </w:tc>
      </w:tr>
      <w:tr>
        <w:trPr>
          <w:trHeight w:val="177"/>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00" w:type="dxa"/>
            <w:vAlign w:val="bottom"/>
            <w:vMerge w:val="restart"/>
          </w:tcPr>
          <w:p>
            <w:pPr>
              <w:ind w:left="180"/>
              <w:spacing w:after="0"/>
              <w:rPr>
                <w:sz w:val="20"/>
                <w:szCs w:val="20"/>
                <w:color w:val="auto"/>
              </w:rPr>
            </w:pPr>
            <w:r>
              <w:rPr>
                <w:rFonts w:ascii="Arial" w:cs="Arial" w:eastAsia="Arial" w:hAnsi="Arial"/>
                <w:sz w:val="13"/>
                <w:szCs w:val="13"/>
                <w:color w:val="auto"/>
              </w:rPr>
              <w:t>Owner occupied</w:t>
            </w:r>
          </w:p>
        </w:tc>
        <w:tc>
          <w:tcPr>
            <w:tcW w:w="260" w:type="dxa"/>
            <w:vAlign w:val="bottom"/>
            <w:vMerge w:val="restart"/>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3"/>
            <w:vMerge w:val="restart"/>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4"/>
                <w:szCs w:val="14"/>
                <w:color w:val="auto"/>
              </w:rPr>
            </w:pPr>
          </w:p>
        </w:tc>
        <w:tc>
          <w:tcPr>
            <w:tcW w:w="300" w:type="dxa"/>
            <w:vAlign w:val="bottom"/>
            <w:gridSpan w:val="2"/>
            <w:vMerge w:val="restart"/>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2,579</w:t>
            </w:r>
          </w:p>
        </w:tc>
        <w:tc>
          <w:tcPr>
            <w:tcW w:w="120" w:type="dxa"/>
            <w:vAlign w:val="bottom"/>
          </w:tcPr>
          <w:p>
            <w:pPr>
              <w:spacing w:after="0"/>
              <w:rPr>
                <w:sz w:val="14"/>
                <w:szCs w:val="14"/>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3,142</w:t>
            </w:r>
          </w:p>
        </w:tc>
        <w:tc>
          <w:tcPr>
            <w:tcW w:w="100" w:type="dxa"/>
            <w:vAlign w:val="bottom"/>
          </w:tcPr>
          <w:p>
            <w:pPr>
              <w:spacing w:after="0"/>
              <w:rPr>
                <w:sz w:val="14"/>
                <w:szCs w:val="14"/>
                <w:color w:val="auto"/>
              </w:rPr>
            </w:pPr>
          </w:p>
        </w:tc>
        <w:tc>
          <w:tcPr>
            <w:tcW w:w="360" w:type="dxa"/>
            <w:vAlign w:val="bottom"/>
            <w:gridSpan w:val="2"/>
            <w:vMerge w:val="restart"/>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2,494,095</w:t>
            </w:r>
          </w:p>
        </w:tc>
        <w:tc>
          <w:tcPr>
            <w:tcW w:w="100" w:type="dxa"/>
            <w:vAlign w:val="bottom"/>
          </w:tcPr>
          <w:p>
            <w:pPr>
              <w:spacing w:after="0"/>
              <w:rPr>
                <w:sz w:val="14"/>
                <w:szCs w:val="1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2,497,237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90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Non-owner occupied</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4,406,326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4,406,858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Speculative (1)</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57,312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57,312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Arial" w:cs="Arial" w:eastAsia="Arial" w:hAnsi="Arial"/>
                <w:sz w:val="13"/>
                <w:szCs w:val="13"/>
                <w:color w:val="auto"/>
              </w:rPr>
              <w:t>Non-speculative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11,524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11,524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SBA</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278,275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278,904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3"/>
                <w:szCs w:val="13"/>
                <w:color w:val="auto"/>
              </w:rPr>
              <w:t>SBA - PPP</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Commercial and industrial</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954,204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956,242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00" w:type="dxa"/>
            <w:vAlign w:val="bottom"/>
          </w:tcPr>
          <w:p>
            <w:pPr>
              <w:ind w:left="60"/>
              <w:spacing w:after="0"/>
              <w:rPr>
                <w:sz w:val="20"/>
                <w:szCs w:val="20"/>
                <w:color w:val="auto"/>
              </w:rPr>
            </w:pPr>
            <w:r>
              <w:rPr>
                <w:rFonts w:ascii="Arial" w:cs="Arial" w:eastAsia="Arial" w:hAnsi="Arial"/>
                <w:sz w:val="13"/>
                <w:szCs w:val="13"/>
                <w:color w:val="auto"/>
              </w:rPr>
              <w:t>Dairy &amp; livestock and agribusiness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297,627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298,247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Municipal lease finance receivables</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77,867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77,867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3"/>
                <w:szCs w:val="13"/>
                <w:color w:val="auto"/>
              </w:rPr>
              <w:t>SFR mortgage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263,201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263,201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Consumer and other loans</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54,988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54,988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260"/>
              <w:spacing w:after="0"/>
              <w:rPr>
                <w:sz w:val="20"/>
                <w:szCs w:val="20"/>
                <w:color w:val="auto"/>
              </w:rPr>
            </w:pPr>
            <w:r>
              <w:rPr>
                <w:rFonts w:ascii="Arial" w:cs="Arial" w:eastAsia="Arial" w:hAnsi="Arial"/>
                <w:sz w:val="13"/>
                <w:szCs w:val="13"/>
                <w:color w:val="auto"/>
              </w:rPr>
              <w:t>Total loans</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532</w:t>
            </w:r>
          </w:p>
        </w:tc>
        <w:tc>
          <w:tcPr>
            <w:tcW w:w="10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1,118</w:t>
            </w:r>
          </w:p>
        </w:tc>
        <w:tc>
          <w:tcPr>
            <w:tcW w:w="10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5,311</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6,961</w:t>
            </w:r>
          </w:p>
        </w:tc>
        <w:tc>
          <w:tcPr>
            <w:tcW w:w="10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8,900,436</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8,907,397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(1)Speculative construction loans are generally for properties where there is no identified buyer or renter.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2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Greater than 89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Loans and</w:t>
            </w:r>
          </w:p>
        </w:tc>
        <w:tc>
          <w:tcPr>
            <w:tcW w:w="80" w:type="dxa"/>
            <w:vAlign w:val="bottom"/>
          </w:tcPr>
          <w:p>
            <w:pPr>
              <w:spacing w:after="0"/>
              <w:rPr>
                <w:sz w:val="13"/>
                <w:szCs w:val="13"/>
                <w:color w:val="auto"/>
              </w:rPr>
            </w:pPr>
          </w:p>
        </w:tc>
      </w:tr>
      <w:tr>
        <w:trPr>
          <w:trHeight w:val="156"/>
        </w:trPr>
        <w:tc>
          <w:tcPr>
            <w:tcW w:w="292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30-59 Days Past</w:t>
            </w:r>
          </w:p>
        </w:tc>
        <w:tc>
          <w:tcPr>
            <w:tcW w:w="12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60-89 Days Past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Days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Loans Not Past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74"/>
              <w:spacing w:after="0"/>
              <w:rPr>
                <w:sz w:val="20"/>
                <w:szCs w:val="20"/>
                <w:color w:val="auto"/>
              </w:rPr>
            </w:pPr>
            <w:r>
              <w:rPr>
                <w:rFonts w:ascii="Arial" w:cs="Arial" w:eastAsia="Arial" w:hAnsi="Arial"/>
                <w:sz w:val="13"/>
                <w:szCs w:val="13"/>
                <w:b w:val="1"/>
                <w:bCs w:val="1"/>
                <w:color w:val="auto"/>
              </w:rPr>
              <w:t>Financing</w:t>
            </w:r>
          </w:p>
        </w:tc>
        <w:tc>
          <w:tcPr>
            <w:tcW w:w="80" w:type="dxa"/>
            <w:vAlign w:val="bottom"/>
          </w:tcPr>
          <w:p>
            <w:pPr>
              <w:spacing w:after="0"/>
              <w:rPr>
                <w:sz w:val="13"/>
                <w:szCs w:val="13"/>
                <w:color w:val="auto"/>
              </w:rPr>
            </w:pPr>
          </w:p>
        </w:tc>
      </w:tr>
      <w:tr>
        <w:trPr>
          <w:trHeight w:val="183"/>
        </w:trPr>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Due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Due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Past Due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Total Past Due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Due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Arial" w:cs="Arial" w:eastAsia="Arial" w:hAnsi="Arial"/>
                <w:sz w:val="13"/>
                <w:szCs w:val="13"/>
                <w:b w:val="1"/>
                <w:bCs w:val="1"/>
                <w:color w:val="auto"/>
              </w:rPr>
              <w:t>Receivables</w:t>
            </w:r>
          </w:p>
        </w:tc>
        <w:tc>
          <w:tcPr>
            <w:tcW w:w="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2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06"/>
        </w:trPr>
        <w:tc>
          <w:tcPr>
            <w:tcW w:w="29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r>
      <w:tr>
        <w:trPr>
          <w:trHeight w:val="175"/>
        </w:trPr>
        <w:tc>
          <w:tcPr>
            <w:tcW w:w="2920" w:type="dxa"/>
            <w:vAlign w:val="bottom"/>
          </w:tcPr>
          <w:p>
            <w:pPr>
              <w:ind w:left="180"/>
              <w:spacing w:after="0"/>
              <w:rPr>
                <w:sz w:val="20"/>
                <w:szCs w:val="20"/>
                <w:color w:val="auto"/>
              </w:rPr>
            </w:pPr>
            <w:r>
              <w:rPr>
                <w:rFonts w:ascii="Arial" w:cs="Arial" w:eastAsia="Arial" w:hAnsi="Arial"/>
                <w:sz w:val="13"/>
                <w:szCs w:val="13"/>
                <w:color w:val="auto"/>
              </w:rPr>
              <w:t>Owner occupied</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2,639</w:t>
            </w:r>
          </w:p>
        </w:tc>
        <w:tc>
          <w:tcPr>
            <w:tcW w:w="1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2,639</w:t>
            </w:r>
          </w:p>
        </w:tc>
        <w:tc>
          <w:tcPr>
            <w:tcW w:w="100" w:type="dxa"/>
            <w:vAlign w:val="bottom"/>
          </w:tcPr>
          <w:p>
            <w:pPr>
              <w:spacing w:after="0"/>
              <w:rPr>
                <w:sz w:val="15"/>
                <w:szCs w:val="15"/>
                <w:color w:val="auto"/>
              </w:rPr>
            </w:pPr>
          </w:p>
        </w:tc>
        <w:tc>
          <w:tcPr>
            <w:tcW w:w="36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2,482,471</w:t>
            </w:r>
          </w:p>
        </w:tc>
        <w:tc>
          <w:tcPr>
            <w:tcW w:w="80" w:type="dxa"/>
            <w:vAlign w:val="bottom"/>
          </w:tcPr>
          <w:p>
            <w:pPr>
              <w:spacing w:after="0"/>
              <w:rPr>
                <w:sz w:val="15"/>
                <w:szCs w:val="15"/>
                <w:color w:val="auto"/>
              </w:rPr>
            </w:pP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2,485,110</w:t>
            </w:r>
          </w:p>
        </w:tc>
        <w:tc>
          <w:tcPr>
            <w:tcW w:w="80" w:type="dxa"/>
            <w:vAlign w:val="bottom"/>
          </w:tcPr>
          <w:p>
            <w:pPr>
              <w:spacing w:after="0"/>
              <w:rPr>
                <w:sz w:val="15"/>
                <w:szCs w:val="15"/>
                <w:color w:val="auto"/>
              </w:rPr>
            </w:pPr>
          </w:p>
        </w:tc>
      </w:tr>
      <w:tr>
        <w:trPr>
          <w:trHeight w:val="185"/>
        </w:trPr>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Non-owner occupied</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4,399,838</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4,399,838</w:t>
            </w:r>
          </w:p>
        </w:tc>
        <w:tc>
          <w:tcPr>
            <w:tcW w:w="80" w:type="dxa"/>
            <w:vAlign w:val="bottom"/>
            <w:shd w:val="clear" w:color="auto" w:fill="CFF0FC"/>
          </w:tcPr>
          <w:p>
            <w:pPr>
              <w:spacing w:after="0"/>
              <w:rPr>
                <w:sz w:val="16"/>
                <w:szCs w:val="16"/>
                <w:color w:val="auto"/>
              </w:rPr>
            </w:pPr>
          </w:p>
        </w:tc>
      </w:tr>
      <w:tr>
        <w:trPr>
          <w:trHeight w:val="175"/>
        </w:trPr>
        <w:tc>
          <w:tcPr>
            <w:tcW w:w="292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Speculative (1)</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67,436</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67,436</w:t>
            </w:r>
          </w:p>
        </w:tc>
        <w:tc>
          <w:tcPr>
            <w:tcW w:w="80" w:type="dxa"/>
            <w:vAlign w:val="bottom"/>
            <w:shd w:val="clear" w:color="auto" w:fill="CFF0FC"/>
          </w:tcPr>
          <w:p>
            <w:pPr>
              <w:spacing w:after="0"/>
              <w:rPr>
                <w:sz w:val="16"/>
                <w:szCs w:val="16"/>
                <w:color w:val="auto"/>
              </w:rPr>
            </w:pPr>
          </w:p>
        </w:tc>
      </w:tr>
      <w:tr>
        <w:trPr>
          <w:trHeight w:val="175"/>
        </w:trPr>
        <w:tc>
          <w:tcPr>
            <w:tcW w:w="2920" w:type="dxa"/>
            <w:vAlign w:val="bottom"/>
          </w:tcPr>
          <w:p>
            <w:pPr>
              <w:ind w:left="180"/>
              <w:spacing w:after="0"/>
              <w:rPr>
                <w:sz w:val="20"/>
                <w:szCs w:val="20"/>
                <w:color w:val="auto"/>
              </w:rPr>
            </w:pPr>
            <w:r>
              <w:rPr>
                <w:rFonts w:ascii="Arial" w:cs="Arial" w:eastAsia="Arial" w:hAnsi="Arial"/>
                <w:sz w:val="13"/>
                <w:szCs w:val="13"/>
                <w:color w:val="auto"/>
              </w:rPr>
              <w:t>Non-speculative</w:t>
            </w: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20,835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20,835</w:t>
            </w:r>
          </w:p>
        </w:tc>
        <w:tc>
          <w:tcPr>
            <w:tcW w:w="80" w:type="dxa"/>
            <w:vAlign w:val="bottom"/>
          </w:tcPr>
          <w:p>
            <w:pPr>
              <w:spacing w:after="0"/>
              <w:rPr>
                <w:sz w:val="15"/>
                <w:szCs w:val="15"/>
                <w:color w:val="auto"/>
              </w:rPr>
            </w:pPr>
          </w:p>
        </w:tc>
      </w:tr>
      <w:tr>
        <w:trPr>
          <w:trHeight w:val="185"/>
        </w:trPr>
        <w:tc>
          <w:tcPr>
            <w:tcW w:w="2920" w:type="dxa"/>
            <w:vAlign w:val="bottom"/>
            <w:shd w:val="clear" w:color="auto" w:fill="CFF0FC"/>
          </w:tcPr>
          <w:p>
            <w:pPr>
              <w:ind w:left="60"/>
              <w:spacing w:after="0"/>
              <w:rPr>
                <w:sz w:val="20"/>
                <w:szCs w:val="20"/>
                <w:color w:val="auto"/>
              </w:rPr>
            </w:pPr>
            <w:r>
              <w:rPr>
                <w:rFonts w:ascii="Arial" w:cs="Arial" w:eastAsia="Arial" w:hAnsi="Arial"/>
                <w:sz w:val="13"/>
                <w:szCs w:val="13"/>
                <w:color w:val="auto"/>
              </w:rPr>
              <w:t>SBA</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289,909</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290,908</w:t>
            </w:r>
          </w:p>
        </w:tc>
        <w:tc>
          <w:tcPr>
            <w:tcW w:w="80" w:type="dxa"/>
            <w:vAlign w:val="bottom"/>
            <w:shd w:val="clear" w:color="auto" w:fill="CFF0FC"/>
          </w:tcPr>
          <w:p>
            <w:pPr>
              <w:spacing w:after="0"/>
              <w:rPr>
                <w:sz w:val="16"/>
                <w:szCs w:val="16"/>
                <w:color w:val="auto"/>
              </w:rPr>
            </w:pPr>
          </w:p>
        </w:tc>
      </w:tr>
      <w:tr>
        <w:trPr>
          <w:trHeight w:val="175"/>
        </w:trPr>
        <w:tc>
          <w:tcPr>
            <w:tcW w:w="2920" w:type="dxa"/>
            <w:vAlign w:val="bottom"/>
          </w:tcPr>
          <w:p>
            <w:pPr>
              <w:ind w:left="60"/>
              <w:spacing w:after="0"/>
              <w:rPr>
                <w:sz w:val="20"/>
                <w:szCs w:val="20"/>
                <w:color w:val="auto"/>
              </w:rPr>
            </w:pPr>
            <w:r>
              <w:rPr>
                <w:rFonts w:ascii="Arial" w:cs="Arial" w:eastAsia="Arial" w:hAnsi="Arial"/>
                <w:sz w:val="13"/>
                <w:szCs w:val="13"/>
                <w:color w:val="auto"/>
              </w:rPr>
              <w:t>SBA - PPP</w:t>
            </w: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9,087</w:t>
            </w:r>
          </w:p>
        </w:tc>
        <w:tc>
          <w:tcPr>
            <w:tcW w:w="80" w:type="dxa"/>
            <w:vAlign w:val="bottom"/>
          </w:tcPr>
          <w:p>
            <w:pPr>
              <w:spacing w:after="0"/>
              <w:rPr>
                <w:sz w:val="15"/>
                <w:szCs w:val="15"/>
                <w:color w:val="auto"/>
              </w:rPr>
            </w:pPr>
          </w:p>
        </w:tc>
      </w:tr>
      <w:tr>
        <w:trPr>
          <w:trHeight w:val="185"/>
        </w:trPr>
        <w:tc>
          <w:tcPr>
            <w:tcW w:w="292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Commercial and industrial</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947,365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948,683</w:t>
            </w:r>
          </w:p>
        </w:tc>
        <w:tc>
          <w:tcPr>
            <w:tcW w:w="80" w:type="dxa"/>
            <w:vAlign w:val="bottom"/>
            <w:shd w:val="clear" w:color="auto" w:fill="CFF0FC"/>
          </w:tcPr>
          <w:p>
            <w:pPr>
              <w:spacing w:after="0"/>
              <w:rPr>
                <w:sz w:val="16"/>
                <w:szCs w:val="16"/>
                <w:color w:val="auto"/>
              </w:rPr>
            </w:pPr>
          </w:p>
        </w:tc>
      </w:tr>
      <w:tr>
        <w:trPr>
          <w:trHeight w:val="175"/>
        </w:trPr>
        <w:tc>
          <w:tcPr>
            <w:tcW w:w="2920" w:type="dxa"/>
            <w:vAlign w:val="bottom"/>
          </w:tcPr>
          <w:p>
            <w:pPr>
              <w:ind w:left="60"/>
              <w:spacing w:after="0"/>
              <w:rPr>
                <w:sz w:val="20"/>
                <w:szCs w:val="20"/>
                <w:color w:val="auto"/>
              </w:rPr>
            </w:pPr>
            <w:r>
              <w:rPr>
                <w:rFonts w:ascii="Arial" w:cs="Arial" w:eastAsia="Arial" w:hAnsi="Arial"/>
                <w:sz w:val="13"/>
                <w:szCs w:val="13"/>
                <w:color w:val="auto"/>
              </w:rPr>
              <w:t>Dairy &amp; livestock and agribusiness</w:t>
            </w: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433,295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433,564</w:t>
            </w:r>
          </w:p>
        </w:tc>
        <w:tc>
          <w:tcPr>
            <w:tcW w:w="80" w:type="dxa"/>
            <w:vAlign w:val="bottom"/>
          </w:tcPr>
          <w:p>
            <w:pPr>
              <w:spacing w:after="0"/>
              <w:rPr>
                <w:sz w:val="15"/>
                <w:szCs w:val="15"/>
                <w:color w:val="auto"/>
              </w:rPr>
            </w:pPr>
          </w:p>
        </w:tc>
      </w:tr>
      <w:tr>
        <w:trPr>
          <w:trHeight w:val="185"/>
        </w:trPr>
        <w:tc>
          <w:tcPr>
            <w:tcW w:w="2920" w:type="dxa"/>
            <w:vAlign w:val="bottom"/>
            <w:shd w:val="clear" w:color="auto" w:fill="CFF0FC"/>
          </w:tcPr>
          <w:p>
            <w:pPr>
              <w:ind w:left="60"/>
              <w:spacing w:after="0"/>
              <w:rPr>
                <w:sz w:val="20"/>
                <w:szCs w:val="20"/>
                <w:color w:val="auto"/>
              </w:rPr>
            </w:pPr>
            <w:r>
              <w:rPr>
                <w:rFonts w:ascii="Arial" w:cs="Arial" w:eastAsia="Arial" w:hAnsi="Arial"/>
                <w:sz w:val="13"/>
                <w:szCs w:val="13"/>
                <w:color w:val="auto"/>
              </w:rPr>
              <w:t>Municipal lease finance receivables</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81,126</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81,126</w:t>
            </w:r>
          </w:p>
        </w:tc>
        <w:tc>
          <w:tcPr>
            <w:tcW w:w="80" w:type="dxa"/>
            <w:vAlign w:val="bottom"/>
            <w:shd w:val="clear" w:color="auto" w:fill="CFF0FC"/>
          </w:tcPr>
          <w:p>
            <w:pPr>
              <w:spacing w:after="0"/>
              <w:rPr>
                <w:sz w:val="16"/>
                <w:szCs w:val="16"/>
                <w:color w:val="auto"/>
              </w:rPr>
            </w:pPr>
          </w:p>
        </w:tc>
      </w:tr>
      <w:tr>
        <w:trPr>
          <w:trHeight w:val="175"/>
        </w:trPr>
        <w:tc>
          <w:tcPr>
            <w:tcW w:w="2920" w:type="dxa"/>
            <w:vAlign w:val="bottom"/>
          </w:tcPr>
          <w:p>
            <w:pPr>
              <w:ind w:left="60"/>
              <w:spacing w:after="0"/>
              <w:rPr>
                <w:sz w:val="20"/>
                <w:szCs w:val="20"/>
                <w:color w:val="auto"/>
              </w:rPr>
            </w:pPr>
            <w:r>
              <w:rPr>
                <w:rFonts w:ascii="Arial" w:cs="Arial" w:eastAsia="Arial" w:hAnsi="Arial"/>
                <w:sz w:val="13"/>
                <w:szCs w:val="13"/>
                <w:color w:val="auto"/>
              </w:rPr>
              <w:t>SFR mortgage</w:t>
            </w: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265,636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266,024</w:t>
            </w:r>
          </w:p>
        </w:tc>
        <w:tc>
          <w:tcPr>
            <w:tcW w:w="80" w:type="dxa"/>
            <w:vAlign w:val="bottom"/>
          </w:tcPr>
          <w:p>
            <w:pPr>
              <w:spacing w:after="0"/>
              <w:rPr>
                <w:sz w:val="15"/>
                <w:szCs w:val="15"/>
                <w:color w:val="auto"/>
              </w:rPr>
            </w:pPr>
          </w:p>
        </w:tc>
      </w:tr>
      <w:tr>
        <w:trPr>
          <w:trHeight w:val="185"/>
        </w:trPr>
        <w:tc>
          <w:tcPr>
            <w:tcW w:w="292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Consumer and other loans</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76,573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76,781</w:t>
            </w:r>
          </w:p>
        </w:tc>
        <w:tc>
          <w:tcPr>
            <w:tcW w:w="80" w:type="dxa"/>
            <w:vAlign w:val="bottom"/>
            <w:shd w:val="clear" w:color="auto" w:fill="CFF0FC"/>
          </w:tcPr>
          <w:p>
            <w:pPr>
              <w:spacing w:after="0"/>
              <w:rPr>
                <w:sz w:val="16"/>
                <w:szCs w:val="16"/>
                <w:color w:val="auto"/>
              </w:rPr>
            </w:pPr>
          </w:p>
        </w:tc>
      </w:tr>
      <w:tr>
        <w:trPr>
          <w:trHeight w:val="180"/>
        </w:trPr>
        <w:tc>
          <w:tcPr>
            <w:tcW w:w="2920" w:type="dxa"/>
            <w:vAlign w:val="bottom"/>
          </w:tcPr>
          <w:p>
            <w:pPr>
              <w:ind w:left="260"/>
              <w:spacing w:after="0"/>
              <w:rPr>
                <w:sz w:val="20"/>
                <w:szCs w:val="20"/>
                <w:color w:val="auto"/>
              </w:rPr>
            </w:pPr>
            <w:r>
              <w:rPr>
                <w:rFonts w:ascii="Arial" w:cs="Arial" w:eastAsia="Arial" w:hAnsi="Arial"/>
                <w:sz w:val="13"/>
                <w:szCs w:val="13"/>
                <w:color w:val="auto"/>
              </w:rPr>
              <w:t>Total loans</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549</w:t>
            </w:r>
          </w:p>
        </w:tc>
        <w:tc>
          <w:tcPr>
            <w:tcW w:w="10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5"/>
                <w:szCs w:val="15"/>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4,702</w:t>
            </w:r>
          </w:p>
        </w:tc>
        <w:tc>
          <w:tcPr>
            <w:tcW w:w="1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5,821</w:t>
            </w:r>
          </w:p>
        </w:tc>
        <w:tc>
          <w:tcPr>
            <w:tcW w:w="100" w:type="dxa"/>
            <w:vAlign w:val="bottom"/>
          </w:tcPr>
          <w:p>
            <w:pPr>
              <w:spacing w:after="0"/>
              <w:rPr>
                <w:sz w:val="15"/>
                <w:szCs w:val="15"/>
                <w:color w:val="auto"/>
              </w:rPr>
            </w:pPr>
          </w:p>
        </w:tc>
        <w:tc>
          <w:tcPr>
            <w:tcW w:w="36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9,073,571</w:t>
            </w:r>
          </w:p>
        </w:tc>
        <w:tc>
          <w:tcPr>
            <w:tcW w:w="80" w:type="dxa"/>
            <w:vAlign w:val="bottom"/>
          </w:tcPr>
          <w:p>
            <w:pPr>
              <w:spacing w:after="0"/>
              <w:rPr>
                <w:sz w:val="15"/>
                <w:szCs w:val="15"/>
                <w:color w:val="auto"/>
              </w:rPr>
            </w:pP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9,079,392</w:t>
            </w:r>
          </w:p>
        </w:tc>
        <w:tc>
          <w:tcPr>
            <w:tcW w:w="80" w:type="dxa"/>
            <w:vAlign w:val="bottom"/>
          </w:tcPr>
          <w:p>
            <w:pPr>
              <w:spacing w:after="0"/>
              <w:rPr>
                <w:sz w:val="15"/>
                <w:szCs w:val="15"/>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(1)Speculative construction loans are generally for properties where there is no identified buyer or renter.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40" w:orient="portrait"/>
          <w:cols w:equalWidth="0" w:num="1">
            <w:col w:w="10560"/>
          </w:cols>
          <w:pgMar w:left="660" w:top="790" w:right="680" w:bottom="1440" w:gutter="0" w:footer="0" w:header="0"/>
        </w:sectPr>
      </w:pPr>
    </w:p>
    <w:bookmarkStart w:id="23" w:name="page24"/>
    <w:bookmarkEnd w:id="23"/>
    <w:p>
      <w:pPr>
        <w:ind w:right="80"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Amortized cost of our finance receivables and loans that are on nonaccrual status, including loans with no allowance are presented as of June 30, 2023 and December 31, 2022 by type of loan.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Nonaccrual with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June 30, 2023</w:t>
            </w:r>
          </w:p>
        </w:tc>
        <w:tc>
          <w:tcPr>
            <w:tcW w:w="160" w:type="dxa"/>
            <w:vAlign w:val="bottom"/>
          </w:tcPr>
          <w:p>
            <w:pPr>
              <w:spacing w:after="0"/>
              <w:rPr>
                <w:sz w:val="18"/>
                <w:szCs w:val="18"/>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Loans Past Due</w:t>
            </w:r>
          </w:p>
        </w:tc>
        <w:tc>
          <w:tcPr>
            <w:tcW w:w="0" w:type="dxa"/>
            <w:vAlign w:val="bottom"/>
          </w:tcPr>
          <w:p>
            <w:pPr>
              <w:spacing w:after="0"/>
              <w:rPr>
                <w:sz w:val="1"/>
                <w:szCs w:val="1"/>
                <w:color w:val="auto"/>
              </w:rPr>
            </w:pPr>
          </w:p>
        </w:tc>
      </w:tr>
      <w:tr>
        <w:trPr>
          <w:trHeight w:val="167"/>
        </w:trPr>
        <w:tc>
          <w:tcPr>
            <w:tcW w:w="58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00" w:type="dxa"/>
            <w:vAlign w:val="bottom"/>
          </w:tcPr>
          <w:p>
            <w:pPr>
              <w:spacing w:after="0"/>
              <w:rPr>
                <w:sz w:val="15"/>
                <w:szCs w:val="15"/>
                <w:color w:val="auto"/>
              </w:rPr>
            </w:pPr>
          </w:p>
        </w:tc>
        <w:tc>
          <w:tcPr>
            <w:tcW w:w="128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w w:val="96"/>
              </w:rPr>
              <w:t>No Allowance for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7"/>
              </w:rPr>
              <w:t>Total Nonaccrual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20"/>
              <w:spacing w:after="0" w:line="180" w:lineRule="exact"/>
              <w:rPr>
                <w:sz w:val="20"/>
                <w:szCs w:val="20"/>
                <w:color w:val="auto"/>
              </w:rPr>
            </w:pPr>
            <w:r>
              <w:rPr>
                <w:rFonts w:ascii="Arial" w:cs="Arial" w:eastAsia="Arial" w:hAnsi="Arial"/>
                <w:sz w:val="16"/>
                <w:szCs w:val="16"/>
                <w:b w:val="1"/>
                <w:bCs w:val="1"/>
                <w:color w:val="auto"/>
              </w:rPr>
              <w:t>Over 89 Days</w:t>
            </w:r>
          </w:p>
        </w:tc>
        <w:tc>
          <w:tcPr>
            <w:tcW w:w="0" w:type="dxa"/>
            <w:vAlign w:val="bottom"/>
          </w:tcPr>
          <w:p>
            <w:pPr>
              <w:spacing w:after="0"/>
              <w:rPr>
                <w:sz w:val="1"/>
                <w:szCs w:val="1"/>
                <w:color w:val="auto"/>
              </w:rPr>
            </w:pPr>
          </w:p>
        </w:tc>
      </w:tr>
      <w:tr>
        <w:trPr>
          <w:trHeight w:val="217"/>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w w:val="98"/>
              </w:rPr>
              <w:t>Credit Losses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482"/>
              <w:spacing w:after="0"/>
              <w:rPr>
                <w:sz w:val="20"/>
                <w:szCs w:val="20"/>
                <w:color w:val="auto"/>
              </w:rPr>
            </w:pPr>
            <w:r>
              <w:rPr>
                <w:rFonts w:ascii="Arial" w:cs="Arial" w:eastAsia="Arial" w:hAnsi="Arial"/>
                <w:sz w:val="16"/>
                <w:szCs w:val="16"/>
                <w:b w:val="1"/>
                <w:bCs w:val="1"/>
                <w:color w:val="auto"/>
              </w:rPr>
              <w:t>(1) (3)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Still Accruing</w:t>
            </w: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Owner occupied</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3,142</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Non-owner occupied</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Speculative (2)</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Non-speculative</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SBA</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60"/>
              <w:spacing w:after="0"/>
              <w:rPr>
                <w:sz w:val="20"/>
                <w:szCs w:val="20"/>
                <w:color w:val="auto"/>
              </w:rPr>
            </w:pPr>
            <w:r>
              <w:rPr>
                <w:rFonts w:ascii="Arial" w:cs="Arial" w:eastAsia="Arial" w:hAnsi="Arial"/>
                <w:sz w:val="16"/>
                <w:szCs w:val="16"/>
                <w:color w:val="auto"/>
              </w:rPr>
              <w:t>SBA - PPP</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Commercial and industrial</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60"/>
              <w:spacing w:after="0"/>
              <w:rPr>
                <w:sz w:val="20"/>
                <w:szCs w:val="20"/>
                <w:color w:val="auto"/>
              </w:rPr>
            </w:pPr>
            <w:r>
              <w:rPr>
                <w:rFonts w:ascii="Arial" w:cs="Arial" w:eastAsia="Arial" w:hAnsi="Arial"/>
                <w:sz w:val="16"/>
                <w:szCs w:val="16"/>
                <w:color w:val="auto"/>
              </w:rPr>
              <w:t>Dairy &amp; livestock and agribusiness</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Municipal lease finance receivables</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60"/>
              <w:spacing w:after="0"/>
              <w:rPr>
                <w:sz w:val="20"/>
                <w:szCs w:val="20"/>
                <w:color w:val="auto"/>
              </w:rPr>
            </w:pPr>
            <w:r>
              <w:rPr>
                <w:rFonts w:ascii="Arial" w:cs="Arial" w:eastAsia="Arial" w:hAnsi="Arial"/>
                <w:sz w:val="16"/>
                <w:szCs w:val="16"/>
                <w:color w:val="auto"/>
              </w:rPr>
              <w:t>SFR mortgage</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Consumer and other loans</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800" w:type="dxa"/>
            <w:vAlign w:val="bottom"/>
          </w:tcPr>
          <w:p>
            <w:pPr>
              <w:ind w:left="260"/>
              <w:spacing w:after="0"/>
              <w:rPr>
                <w:sz w:val="20"/>
                <w:szCs w:val="20"/>
                <w:color w:val="auto"/>
              </w:rPr>
            </w:pPr>
            <w:r>
              <w:rPr>
                <w:rFonts w:ascii="Arial" w:cs="Arial" w:eastAsia="Arial" w:hAnsi="Arial"/>
                <w:sz w:val="16"/>
                <w:szCs w:val="16"/>
                <w:color w:val="auto"/>
              </w:rPr>
              <w:t>Total loans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4,791</w:t>
            </w:r>
          </w:p>
        </w:tc>
        <w:tc>
          <w:tcPr>
            <w:tcW w:w="1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6,454</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(1)As of June 30, 2023, $580,000 of nonaccruing loans were current, $563,000 were 60-89 days past due, and $5.3 million were 90+ days past due.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(2)Speculative construction loans are generally for properties where there is no identified buyer or renter.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40" w:type="dxa"/>
            <w:vAlign w:val="bottom"/>
          </w:tcPr>
          <w:p>
            <w:pPr>
              <w:spacing w:after="0"/>
              <w:rPr>
                <w:sz w:val="17"/>
                <w:szCs w:val="17"/>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7"/>
              </w:rPr>
              <w:t>Nonaccrual with</w:t>
            </w:r>
          </w:p>
        </w:tc>
        <w:tc>
          <w:tcPr>
            <w:tcW w:w="16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7"/>
              </w:rPr>
              <w:t>December 31, 2022</w:t>
            </w:r>
          </w:p>
        </w:tc>
        <w:tc>
          <w:tcPr>
            <w:tcW w:w="160" w:type="dxa"/>
            <w:vAlign w:val="bottom"/>
          </w:tcPr>
          <w:p>
            <w:pPr>
              <w:spacing w:after="0"/>
              <w:rPr>
                <w:sz w:val="17"/>
                <w:szCs w:val="17"/>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Loans Past Due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9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440" w:type="dxa"/>
            <w:vAlign w:val="bottom"/>
            <w:gridSpan w:val="3"/>
          </w:tcPr>
          <w:p>
            <w:pPr>
              <w:ind w:left="20"/>
              <w:spacing w:after="0" w:line="180" w:lineRule="exact"/>
              <w:rPr>
                <w:sz w:val="20"/>
                <w:szCs w:val="20"/>
                <w:color w:val="auto"/>
              </w:rPr>
            </w:pPr>
            <w:r>
              <w:rPr>
                <w:rFonts w:ascii="Arial" w:cs="Arial" w:eastAsia="Arial" w:hAnsi="Arial"/>
                <w:sz w:val="16"/>
                <w:szCs w:val="16"/>
                <w:b w:val="1"/>
                <w:bCs w:val="1"/>
                <w:color w:val="auto"/>
              </w:rPr>
              <w:t>No Allowance for</w:t>
            </w:r>
          </w:p>
        </w:tc>
        <w:tc>
          <w:tcPr>
            <w:tcW w:w="180" w:type="dxa"/>
            <w:vAlign w:val="bottom"/>
          </w:tcPr>
          <w:p>
            <w:pPr>
              <w:spacing w:after="0"/>
              <w:rPr>
                <w:sz w:val="15"/>
                <w:szCs w:val="15"/>
                <w:color w:val="auto"/>
              </w:rPr>
            </w:pPr>
          </w:p>
        </w:tc>
        <w:tc>
          <w:tcPr>
            <w:tcW w:w="1440" w:type="dxa"/>
            <w:vAlign w:val="bottom"/>
            <w:gridSpan w:val="3"/>
          </w:tcPr>
          <w:p>
            <w:pPr>
              <w:jc w:val="center"/>
              <w:ind w:right="160"/>
              <w:spacing w:after="0" w:line="180" w:lineRule="exact"/>
              <w:rPr>
                <w:sz w:val="20"/>
                <w:szCs w:val="20"/>
                <w:color w:val="auto"/>
              </w:rPr>
            </w:pPr>
            <w:r>
              <w:rPr>
                <w:rFonts w:ascii="Arial" w:cs="Arial" w:eastAsia="Arial" w:hAnsi="Arial"/>
                <w:sz w:val="16"/>
                <w:szCs w:val="16"/>
                <w:b w:val="1"/>
                <w:bCs w:val="1"/>
                <w:color w:val="auto"/>
                <w:w w:val="98"/>
              </w:rPr>
              <w:t>Total Nonaccrual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ind w:left="40"/>
              <w:spacing w:after="0" w:line="180" w:lineRule="exact"/>
              <w:rPr>
                <w:sz w:val="20"/>
                <w:szCs w:val="20"/>
                <w:color w:val="auto"/>
              </w:rPr>
            </w:pPr>
            <w:r>
              <w:rPr>
                <w:rFonts w:ascii="Arial" w:cs="Arial" w:eastAsia="Arial" w:hAnsi="Arial"/>
                <w:sz w:val="16"/>
                <w:szCs w:val="16"/>
                <w:b w:val="1"/>
                <w:bCs w:val="1"/>
                <w:color w:val="auto"/>
              </w:rPr>
              <w:t>Over 89 Days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Credit Losses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ind w:right="182"/>
              <w:spacing w:after="0"/>
              <w:rPr>
                <w:sz w:val="20"/>
                <w:szCs w:val="20"/>
                <w:color w:val="auto"/>
              </w:rPr>
            </w:pPr>
            <w:r>
              <w:rPr>
                <w:rFonts w:ascii="Arial" w:cs="Arial" w:eastAsia="Arial" w:hAnsi="Arial"/>
                <w:sz w:val="16"/>
                <w:szCs w:val="16"/>
                <w:b w:val="1"/>
                <w:bCs w:val="1"/>
                <w:color w:val="auto"/>
                <w:w w:val="96"/>
              </w:rPr>
              <w:t>(1) (3)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6"/>
                <w:szCs w:val="16"/>
                <w:b w:val="1"/>
                <w:bCs w:val="1"/>
                <w:color w:val="auto"/>
              </w:rPr>
              <w:t>Still Accruing</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180"/>
              <w:spacing w:after="0"/>
              <w:rPr>
                <w:sz w:val="20"/>
                <w:szCs w:val="20"/>
                <w:color w:val="auto"/>
              </w:rPr>
            </w:pPr>
            <w:r>
              <w:rPr>
                <w:rFonts w:ascii="Arial" w:cs="Arial" w:eastAsia="Arial" w:hAnsi="Arial"/>
                <w:sz w:val="16"/>
                <w:szCs w:val="16"/>
                <w:color w:val="auto"/>
              </w:rPr>
              <w:t>Owner occupied</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2,639</w:t>
            </w:r>
          </w:p>
        </w:tc>
        <w:tc>
          <w:tcPr>
            <w:tcW w:w="120" w:type="dxa"/>
            <w:vAlign w:val="bottom"/>
          </w:tcPr>
          <w:p>
            <w:pPr>
              <w:spacing w:after="0"/>
              <w:rPr>
                <w:sz w:val="17"/>
                <w:szCs w:val="17"/>
                <w:color w:val="auto"/>
              </w:rPr>
            </w:pPr>
          </w:p>
        </w:tc>
        <w:tc>
          <w:tcPr>
            <w:tcW w:w="46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2,639</w:t>
            </w:r>
          </w:p>
        </w:tc>
        <w:tc>
          <w:tcPr>
            <w:tcW w:w="1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Non-owner occupied</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Speculative (2)</w:t>
            </w: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180"/>
              <w:spacing w:after="0"/>
              <w:rPr>
                <w:sz w:val="20"/>
                <w:szCs w:val="20"/>
                <w:color w:val="auto"/>
              </w:rPr>
            </w:pPr>
            <w:r>
              <w:rPr>
                <w:rFonts w:ascii="Arial" w:cs="Arial" w:eastAsia="Arial" w:hAnsi="Arial"/>
                <w:sz w:val="16"/>
                <w:szCs w:val="16"/>
                <w:color w:val="auto"/>
              </w:rPr>
              <w:t>Non-speculative</w:t>
            </w:r>
          </w:p>
        </w:tc>
        <w:tc>
          <w:tcPr>
            <w:tcW w:w="12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SBA</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60"/>
              <w:spacing w:after="0"/>
              <w:rPr>
                <w:sz w:val="20"/>
                <w:szCs w:val="20"/>
                <w:color w:val="auto"/>
              </w:rPr>
            </w:pPr>
            <w:r>
              <w:rPr>
                <w:rFonts w:ascii="Arial" w:cs="Arial" w:eastAsia="Arial" w:hAnsi="Arial"/>
                <w:sz w:val="16"/>
                <w:szCs w:val="16"/>
                <w:color w:val="auto"/>
              </w:rPr>
              <w:t>SBA - PPP</w:t>
            </w:r>
          </w:p>
        </w:tc>
        <w:tc>
          <w:tcPr>
            <w:tcW w:w="12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Commercial and industrial</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60"/>
              <w:spacing w:after="0"/>
              <w:rPr>
                <w:sz w:val="20"/>
                <w:szCs w:val="20"/>
                <w:color w:val="auto"/>
              </w:rPr>
            </w:pPr>
            <w:r>
              <w:rPr>
                <w:rFonts w:ascii="Arial" w:cs="Arial" w:eastAsia="Arial" w:hAnsi="Arial"/>
                <w:sz w:val="16"/>
                <w:szCs w:val="16"/>
                <w:color w:val="auto"/>
              </w:rPr>
              <w:t>Dairy &amp; livestock and agribusiness</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Municipal lease finance receivables</w:t>
            </w: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60"/>
              <w:spacing w:after="0"/>
              <w:rPr>
                <w:sz w:val="20"/>
                <w:szCs w:val="20"/>
                <w:color w:val="auto"/>
              </w:rPr>
            </w:pPr>
            <w:r>
              <w:rPr>
                <w:rFonts w:ascii="Arial" w:cs="Arial" w:eastAsia="Arial" w:hAnsi="Arial"/>
                <w:sz w:val="16"/>
                <w:szCs w:val="16"/>
                <w:color w:val="auto"/>
              </w:rPr>
              <w:t>SFR mortgage</w:t>
            </w:r>
          </w:p>
        </w:tc>
        <w:tc>
          <w:tcPr>
            <w:tcW w:w="12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Consumer and other loans</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940" w:type="dxa"/>
            <w:vAlign w:val="bottom"/>
          </w:tcPr>
          <w:p>
            <w:pPr>
              <w:ind w:left="260"/>
              <w:spacing w:after="0"/>
              <w:rPr>
                <w:sz w:val="20"/>
                <w:szCs w:val="20"/>
                <w:color w:val="auto"/>
              </w:rPr>
            </w:pPr>
            <w:r>
              <w:rPr>
                <w:rFonts w:ascii="Arial" w:cs="Arial" w:eastAsia="Arial" w:hAnsi="Arial"/>
                <w:sz w:val="16"/>
                <w:szCs w:val="16"/>
                <w:color w:val="auto"/>
              </w:rPr>
              <w:t>Total loans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4,094</w:t>
            </w:r>
          </w:p>
        </w:tc>
        <w:tc>
          <w:tcPr>
            <w:tcW w:w="120" w:type="dxa"/>
            <w:vAlign w:val="bottom"/>
          </w:tcPr>
          <w:p>
            <w:pPr>
              <w:spacing w:after="0"/>
              <w:rPr>
                <w:sz w:val="17"/>
                <w:szCs w:val="17"/>
                <w:color w:val="auto"/>
              </w:rPr>
            </w:pPr>
          </w:p>
        </w:tc>
        <w:tc>
          <w:tcPr>
            <w:tcW w:w="46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4,930</w:t>
            </w:r>
          </w:p>
        </w:tc>
        <w:tc>
          <w:tcPr>
            <w:tcW w:w="1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(1)As of December 31, 2022, $228,000 of nonaccruing loans were current and $4.7 million were 90+ days past due.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(2)Speculative construction loans are generally for properties where there is no identified buyer or renter.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(3)Excludes $221,000 of guaranteed portion of nonaccrual SBA loans that are in process of collection.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40" w:orient="portrait"/>
          <w:cols w:equalWidth="0" w:num="1">
            <w:col w:w="10560"/>
          </w:cols>
          <w:pgMar w:left="660" w:top="790" w:right="680"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Collateral Dependent Loans</w:t>
      </w:r>
    </w:p>
    <w:p>
      <w:pPr>
        <w:spacing w:after="0" w:line="184" w:lineRule="exact"/>
        <w:rPr>
          <w:sz w:val="20"/>
          <w:szCs w:val="20"/>
          <w:color w:val="auto"/>
        </w:rPr>
      </w:pPr>
    </w:p>
    <w:p>
      <w:pPr>
        <w:ind w:right="60" w:firstLine="432"/>
        <w:spacing w:after="0" w:line="243" w:lineRule="auto"/>
        <w:rPr>
          <w:sz w:val="20"/>
          <w:szCs w:val="20"/>
          <w:color w:val="auto"/>
        </w:rPr>
      </w:pPr>
      <w:r>
        <w:rPr>
          <w:rFonts w:ascii="Arial" w:cs="Arial" w:eastAsia="Arial" w:hAnsi="Arial"/>
          <w:sz w:val="16"/>
          <w:szCs w:val="16"/>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Loans</w:t>
            </w:r>
          </w:p>
        </w:tc>
      </w:tr>
      <w:tr>
        <w:trPr>
          <w:trHeight w:val="168"/>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Dependent on</w:t>
            </w:r>
          </w:p>
        </w:tc>
      </w:tr>
      <w:tr>
        <w:trPr>
          <w:trHeight w:val="196"/>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48"/>
              <w:spacing w:after="0"/>
              <w:rPr>
                <w:sz w:val="20"/>
                <w:szCs w:val="20"/>
                <w:color w:val="auto"/>
              </w:rPr>
            </w:pPr>
            <w:r>
              <w:rPr>
                <w:rFonts w:ascii="Arial" w:cs="Arial" w:eastAsia="Arial" w:hAnsi="Arial"/>
                <w:sz w:val="14"/>
                <w:szCs w:val="14"/>
                <w:b w:val="1"/>
                <w:bCs w:val="1"/>
                <w:color w:val="auto"/>
              </w:rPr>
              <w:t>Real Estate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Business Assets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Collateral</w:t>
            </w:r>
          </w:p>
        </w:tc>
      </w:tr>
      <w:tr>
        <w:trPr>
          <w:trHeight w:val="189"/>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3,159</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SBA - PPP</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2"/>
        </w:trPr>
        <w:tc>
          <w:tcPr>
            <w:tcW w:w="3840" w:type="dxa"/>
            <w:vAlign w:val="bottom"/>
          </w:tcPr>
          <w:p>
            <w:pPr>
              <w:ind w:left="180"/>
              <w:spacing w:after="0"/>
              <w:rPr>
                <w:sz w:val="20"/>
                <w:szCs w:val="20"/>
                <w:color w:val="auto"/>
              </w:rPr>
            </w:pPr>
            <w:r>
              <w:rPr>
                <w:rFonts w:ascii="Arial" w:cs="Arial" w:eastAsia="Arial" w:hAnsi="Arial"/>
                <w:sz w:val="14"/>
                <w:szCs w:val="14"/>
                <w:color w:val="auto"/>
              </w:rPr>
              <w:t>Total collateral-dependent loans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4,486</w:t>
            </w:r>
          </w:p>
        </w:tc>
        <w:tc>
          <w:tcPr>
            <w:tcW w:w="12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Loans</w:t>
            </w:r>
          </w:p>
        </w:tc>
      </w:tr>
      <w:tr>
        <w:trPr>
          <w:trHeight w:val="164"/>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Dependent on</w:t>
            </w:r>
          </w:p>
        </w:tc>
      </w:tr>
      <w:tr>
        <w:trPr>
          <w:trHeight w:val="196"/>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Business Assets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Collateral</w:t>
            </w:r>
          </w:p>
        </w:tc>
      </w:tr>
      <w:tr>
        <w:trPr>
          <w:trHeight w:val="189"/>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17,935</w:t>
            </w:r>
          </w:p>
        </w:tc>
        <w:tc>
          <w:tcPr>
            <w:tcW w:w="1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SBA - PPP</w:t>
            </w:r>
          </w:p>
        </w:tc>
        <w:tc>
          <w:tcPr>
            <w:tcW w:w="2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26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2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6"/>
                <w:szCs w:val="16"/>
                <w:color w:val="auto"/>
              </w:rPr>
            </w:pPr>
          </w:p>
        </w:tc>
      </w:tr>
      <w:tr>
        <w:trPr>
          <w:trHeight w:val="192"/>
        </w:trPr>
        <w:tc>
          <w:tcPr>
            <w:tcW w:w="3840" w:type="dxa"/>
            <w:vAlign w:val="bottom"/>
          </w:tcPr>
          <w:p>
            <w:pPr>
              <w:ind w:left="180"/>
              <w:spacing w:after="0"/>
              <w:rPr>
                <w:sz w:val="20"/>
                <w:szCs w:val="20"/>
                <w:color w:val="auto"/>
              </w:rPr>
            </w:pPr>
            <w:r>
              <w:rPr>
                <w:rFonts w:ascii="Arial" w:cs="Arial" w:eastAsia="Arial" w:hAnsi="Arial"/>
                <w:sz w:val="14"/>
                <w:szCs w:val="14"/>
                <w:color w:val="auto"/>
              </w:rPr>
              <w:t>Total collateral-dependent loans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18,475</w:t>
            </w:r>
          </w:p>
        </w:tc>
        <w:tc>
          <w:tcPr>
            <w:tcW w:w="1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5,066</w:t>
            </w:r>
          </w:p>
        </w:tc>
        <w:tc>
          <w:tcPr>
            <w:tcW w:w="1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289</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40" w:orient="portrait"/>
          <w:cols w:equalWidth="0" w:num="1">
            <w:col w:w="10560"/>
          </w:cols>
          <w:pgMar w:left="660" w:top="782" w:right="680"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Reserve for Unfunded Loan Commitments</w:t>
      </w:r>
    </w:p>
    <w:p>
      <w:pPr>
        <w:spacing w:after="0" w:line="184" w:lineRule="exact"/>
        <w:rPr>
          <w:sz w:val="20"/>
          <w:szCs w:val="20"/>
          <w:color w:val="auto"/>
        </w:rPr>
      </w:pPr>
    </w:p>
    <w:p>
      <w:pPr>
        <w:ind w:right="360" w:firstLine="432"/>
        <w:spacing w:after="0" w:line="238" w:lineRule="auto"/>
        <w:rPr>
          <w:sz w:val="20"/>
          <w:szCs w:val="20"/>
          <w:color w:val="auto"/>
        </w:rPr>
      </w:pPr>
      <w:r>
        <w:rPr>
          <w:rFonts w:ascii="Arial" w:cs="Arial" w:eastAsia="Arial" w:hAnsi="Arial"/>
          <w:sz w:val="16"/>
          <w:szCs w:val="16"/>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$8.9 million for the off -balance sheet credit exposures as of June 30, 2023. There was $900,000 in provision for unfunded loan commitments for the six months ended June 30, 2023 and no provision for the six months ended June 30, 2022. As of June 30, 2023 and December 31,2022, the balance in this reserve was $8.9 million and $8.0 million, respectively, and was included in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Modifications of Loans to Borrowers Experiencing Financial Difficulty</w:t>
      </w:r>
    </w:p>
    <w:p>
      <w:pPr>
        <w:spacing w:after="0" w:line="184" w:lineRule="exact"/>
        <w:rPr>
          <w:sz w:val="20"/>
          <w:szCs w:val="20"/>
          <w:color w:val="auto"/>
        </w:rPr>
      </w:pPr>
    </w:p>
    <w:p>
      <w:pPr>
        <w:ind w:right="400" w:firstLine="432"/>
        <w:spacing w:after="0" w:line="243" w:lineRule="auto"/>
        <w:rPr>
          <w:sz w:val="20"/>
          <w:szCs w:val="20"/>
          <w:color w:val="auto"/>
        </w:rPr>
      </w:pPr>
      <w:r>
        <w:rPr>
          <w:rFonts w:ascii="Arial" w:cs="Arial" w:eastAsia="Arial" w:hAnsi="Arial"/>
          <w:sz w:val="16"/>
          <w:szCs w:val="16"/>
          <w:color w:val="auto"/>
        </w:rPr>
        <w:t>The Company adopted Accounting Standards Update (“ASU”) 2022- 02, Financial Instruments - Credit Losses (Topic 326) Troubled Debt Restructurings and Vintage Disclosures (“ASU 2022-02”) effective January 1,2023. The amendments in ASU 2022-02 eliminated the recognition and measurement of TDRs and enhanced disclosures for loan modifications to borrowers experiencing financial difficulty.</w:t>
      </w:r>
    </w:p>
    <w:p>
      <w:pPr>
        <w:spacing w:after="0" w:line="161" w:lineRule="exact"/>
        <w:rPr>
          <w:sz w:val="20"/>
          <w:szCs w:val="20"/>
          <w:color w:val="auto"/>
        </w:rPr>
      </w:pPr>
    </w:p>
    <w:p>
      <w:pPr>
        <w:ind w:right="140" w:firstLine="432"/>
        <w:spacing w:after="0" w:line="252" w:lineRule="auto"/>
        <w:rPr>
          <w:sz w:val="20"/>
          <w:szCs w:val="20"/>
          <w:color w:val="auto"/>
        </w:rPr>
      </w:pPr>
      <w:r>
        <w:rPr>
          <w:rFonts w:ascii="Arial" w:cs="Arial" w:eastAsia="Arial" w:hAnsi="Arial"/>
          <w:sz w:val="16"/>
          <w:szCs w:val="16"/>
          <w:color w:val="auto"/>
        </w:rPr>
        <w:t>The table below reflects the amortized cost of loans by type made to borrowers experiencing financial difficulty that were modified during the three months ended June 30,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60" w:type="dxa"/>
            <w:vAlign w:val="bottom"/>
          </w:tcPr>
          <w:p>
            <w:pPr>
              <w:spacing w:after="0"/>
              <w:rPr>
                <w:sz w:val="18"/>
                <w:szCs w:val="18"/>
                <w:color w:val="auto"/>
              </w:rPr>
            </w:pPr>
          </w:p>
        </w:tc>
        <w:tc>
          <w:tcPr>
            <w:tcW w:w="2200" w:type="dxa"/>
            <w:vAlign w:val="bottom"/>
            <w:vMerge w:val="restart"/>
          </w:tcPr>
          <w:p>
            <w:pPr>
              <w:jc w:val="center"/>
              <w:ind w:left="363"/>
              <w:spacing w:after="0"/>
              <w:rPr>
                <w:sz w:val="20"/>
                <w:szCs w:val="20"/>
                <w:color w:val="auto"/>
              </w:rPr>
            </w:pPr>
            <w:r>
              <w:rPr>
                <w:rFonts w:ascii="Arial" w:cs="Arial" w:eastAsia="Arial" w:hAnsi="Arial"/>
                <w:sz w:val="16"/>
                <w:szCs w:val="16"/>
                <w:b w:val="1"/>
                <w:bCs w:val="1"/>
                <w:color w:val="auto"/>
                <w:w w:val="96"/>
              </w:rPr>
              <w:t>Amortized Cost Basis</w:t>
            </w: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w w:val="99"/>
              </w:rPr>
              <w:t>Term Extension</w:t>
            </w:r>
          </w:p>
        </w:tc>
        <w:tc>
          <w:tcPr>
            <w:tcW w:w="2460" w:type="dxa"/>
            <w:vAlign w:val="bottom"/>
            <w:gridSpan w:val="2"/>
            <w:vMerge w:val="restart"/>
          </w:tcPr>
          <w:p>
            <w:pPr>
              <w:jc w:val="right"/>
              <w:ind w:right="860"/>
              <w:spacing w:after="0"/>
              <w:rPr>
                <w:sz w:val="20"/>
                <w:szCs w:val="20"/>
                <w:color w:val="auto"/>
              </w:rPr>
            </w:pPr>
            <w:r>
              <w:rPr>
                <w:rFonts w:ascii="Arial" w:cs="Arial" w:eastAsia="Arial" w:hAnsi="Arial"/>
                <w:sz w:val="16"/>
                <w:szCs w:val="16"/>
                <w:b w:val="1"/>
                <w:bCs w:val="1"/>
                <w:color w:val="auto"/>
              </w:rPr>
              <w:t>% of Total Class of</w:t>
            </w:r>
          </w:p>
        </w:tc>
        <w:tc>
          <w:tcPr>
            <w:tcW w:w="0" w:type="dxa"/>
            <w:vAlign w:val="bottom"/>
          </w:tcPr>
          <w:p>
            <w:pPr>
              <w:spacing w:after="0"/>
              <w:rPr>
                <w:sz w:val="1"/>
                <w:szCs w:val="1"/>
                <w:color w:val="auto"/>
              </w:rPr>
            </w:pPr>
          </w:p>
        </w:tc>
      </w:tr>
      <w:tr>
        <w:trPr>
          <w:trHeight w:val="191"/>
        </w:trPr>
        <w:tc>
          <w:tcPr>
            <w:tcW w:w="456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2200" w:type="dxa"/>
            <w:vAlign w:val="bottom"/>
          </w:tcPr>
          <w:p>
            <w:pPr>
              <w:jc w:val="center"/>
              <w:ind w:left="363"/>
              <w:spacing w:after="0"/>
              <w:rPr>
                <w:sz w:val="20"/>
                <w:szCs w:val="20"/>
                <w:color w:val="auto"/>
              </w:rPr>
            </w:pPr>
            <w:r>
              <w:rPr>
                <w:rFonts w:ascii="Arial" w:cs="Arial" w:eastAsia="Arial" w:hAnsi="Arial"/>
                <w:sz w:val="16"/>
                <w:szCs w:val="16"/>
                <w:b w:val="1"/>
                <w:bCs w:val="1"/>
                <w:color w:val="auto"/>
                <w:w w:val="98"/>
              </w:rPr>
              <w:t>at June 30,2023</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6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w w:val="99"/>
              </w:rPr>
              <w:t>Financing Receivables</w:t>
            </w: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2200" w:type="dxa"/>
            <w:vAlign w:val="bottom"/>
          </w:tcPr>
          <w:p>
            <w:pPr>
              <w:jc w:val="center"/>
              <w:ind w:left="363"/>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tcPr>
          <w:p>
            <w:pPr>
              <w:ind w:left="440"/>
              <w:spacing w:after="0"/>
              <w:rPr>
                <w:sz w:val="20"/>
                <w:szCs w:val="20"/>
                <w:color w:val="auto"/>
              </w:rPr>
            </w:pPr>
            <w:r>
              <w:rPr>
                <w:rFonts w:ascii="Arial" w:cs="Arial" w:eastAsia="Arial" w:hAnsi="Arial"/>
                <w:sz w:val="16"/>
                <w:szCs w:val="16"/>
                <w:color w:val="auto"/>
              </w:rPr>
              <w:t>Commercial real estate loans</w:t>
            </w:r>
          </w:p>
        </w:tc>
        <w:tc>
          <w:tcPr>
            <w:tcW w:w="2200" w:type="dxa"/>
            <w:vAlign w:val="bottom"/>
          </w:tcPr>
          <w:p>
            <w:pPr>
              <w:jc w:val="right"/>
              <w:ind w:right="202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1,579</w:t>
            </w:r>
          </w:p>
        </w:tc>
        <w:tc>
          <w:tcPr>
            <w:tcW w:w="96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4"/>
        </w:trPr>
        <w:tc>
          <w:tcPr>
            <w:tcW w:w="4560" w:type="dxa"/>
            <w:vAlign w:val="bottom"/>
          </w:tcPr>
          <w:p>
            <w:pPr>
              <w:ind w:left="440"/>
              <w:spacing w:after="0"/>
              <w:rPr>
                <w:sz w:val="20"/>
                <w:szCs w:val="20"/>
                <w:color w:val="auto"/>
              </w:rPr>
            </w:pPr>
            <w:r>
              <w:rPr>
                <w:rFonts w:ascii="Arial" w:cs="Arial" w:eastAsia="Arial" w:hAnsi="Arial"/>
                <w:sz w:val="16"/>
                <w:szCs w:val="16"/>
                <w:color w:val="auto"/>
              </w:rPr>
              <w:t>Commercial and industrial</w:t>
            </w:r>
          </w:p>
        </w:tc>
        <w:tc>
          <w:tcPr>
            <w:tcW w:w="2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1,000</w:t>
            </w:r>
          </w:p>
        </w:tc>
        <w:tc>
          <w:tcPr>
            <w:tcW w:w="96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5"/>
        </w:trPr>
        <w:tc>
          <w:tcPr>
            <w:tcW w:w="4560" w:type="dxa"/>
            <w:vAlign w:val="bottom"/>
          </w:tcPr>
          <w:p>
            <w:pPr>
              <w:ind w:left="440"/>
              <w:spacing w:after="0"/>
              <w:rPr>
                <w:sz w:val="20"/>
                <w:szCs w:val="20"/>
                <w:color w:val="auto"/>
              </w:rPr>
            </w:pPr>
            <w:r>
              <w:rPr>
                <w:rFonts w:ascii="Arial" w:cs="Arial" w:eastAsia="Arial" w:hAnsi="Arial"/>
                <w:sz w:val="16"/>
                <w:szCs w:val="16"/>
                <w:color w:val="auto"/>
              </w:rPr>
              <w:t>Dairy &amp; livestock and agribusiness</w:t>
            </w:r>
          </w:p>
        </w:tc>
        <w:tc>
          <w:tcPr>
            <w:tcW w:w="2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728</w:t>
            </w:r>
          </w:p>
        </w:tc>
        <w:tc>
          <w:tcPr>
            <w:tcW w:w="96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45"/>
        </w:trPr>
        <w:tc>
          <w:tcPr>
            <w:tcW w:w="45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b w:val="1"/>
                <w:bCs w:val="1"/>
                <w:color w:val="auto"/>
              </w:rPr>
              <w:t>Total</w:t>
            </w:r>
          </w:p>
        </w:tc>
        <w:tc>
          <w:tcPr>
            <w:tcW w:w="2200" w:type="dxa"/>
            <w:vAlign w:val="bottom"/>
            <w:tcBorders>
              <w:bottom w:val="single" w:sz="8" w:color="auto"/>
            </w:tcBorders>
            <w:shd w:val="clear" w:color="auto" w:fill="CFF0FC"/>
          </w:tcPr>
          <w:p>
            <w:pPr>
              <w:jc w:val="right"/>
              <w:ind w:right="202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3,307</w:t>
            </w:r>
          </w:p>
        </w:tc>
        <w:tc>
          <w:tcPr>
            <w:tcW w:w="960" w:type="dxa"/>
            <w:vAlign w:val="bottom"/>
            <w:tcBorders>
              <w:bottom w:val="single" w:sz="8" w:color="CFF0FC"/>
            </w:tcBorders>
            <w:shd w:val="clear" w:color="auto" w:fill="CFF0FC"/>
          </w:tcPr>
          <w:p>
            <w:pPr>
              <w:spacing w:after="0"/>
              <w:rPr>
                <w:sz w:val="21"/>
                <w:szCs w:val="21"/>
                <w:color w:val="auto"/>
              </w:rPr>
            </w:pPr>
          </w:p>
        </w:tc>
        <w:tc>
          <w:tcPr>
            <w:tcW w:w="24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520" w:firstLine="432"/>
        <w:spacing w:after="0" w:line="252" w:lineRule="auto"/>
        <w:rPr>
          <w:sz w:val="20"/>
          <w:szCs w:val="20"/>
          <w:color w:val="auto"/>
        </w:rPr>
      </w:pPr>
      <w:r>
        <w:rPr>
          <w:rFonts w:ascii="Arial" w:cs="Arial" w:eastAsia="Arial" w:hAnsi="Arial"/>
          <w:sz w:val="16"/>
          <w:szCs w:val="16"/>
          <w:color w:val="auto"/>
        </w:rPr>
        <w:t>The following table describes the financial effect of the loan modifications made to borrowers experiencing financial difficulty during the three months ended June 30,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408"/>
        </w:trPr>
        <w:tc>
          <w:tcPr>
            <w:tcW w:w="4760" w:type="dxa"/>
            <w:vAlign w:val="bottom"/>
          </w:tcPr>
          <w:p>
            <w:pPr>
              <w:ind w:left="2200"/>
              <w:spacing w:after="0"/>
              <w:rPr>
                <w:sz w:val="20"/>
                <w:szCs w:val="20"/>
                <w:color w:val="auto"/>
              </w:rPr>
            </w:pPr>
            <w:r>
              <w:rPr>
                <w:rFonts w:ascii="Arial" w:cs="Arial" w:eastAsia="Arial" w:hAnsi="Arial"/>
                <w:sz w:val="16"/>
                <w:szCs w:val="16"/>
                <w:b w:val="1"/>
                <w:bCs w:val="1"/>
                <w:color w:val="auto"/>
              </w:rPr>
              <w:t>Loan Type</w:t>
            </w:r>
          </w:p>
        </w:tc>
        <w:tc>
          <w:tcPr>
            <w:tcW w:w="5800" w:type="dxa"/>
            <w:vAlign w:val="bottom"/>
          </w:tcPr>
          <w:p>
            <w:pPr>
              <w:ind w:left="2540"/>
              <w:spacing w:after="0"/>
              <w:rPr>
                <w:sz w:val="20"/>
                <w:szCs w:val="20"/>
                <w:color w:val="auto"/>
              </w:rPr>
            </w:pPr>
            <w:r>
              <w:rPr>
                <w:rFonts w:ascii="Arial" w:cs="Arial" w:eastAsia="Arial" w:hAnsi="Arial"/>
                <w:sz w:val="16"/>
                <w:szCs w:val="16"/>
                <w:b w:val="1"/>
                <w:bCs w:val="1"/>
                <w:color w:val="auto"/>
              </w:rPr>
              <w:t>Financial Effect</w:t>
            </w:r>
          </w:p>
        </w:tc>
      </w:tr>
      <w:tr>
        <w:trPr>
          <w:trHeight w:val="413"/>
        </w:trPr>
        <w:tc>
          <w:tcPr>
            <w:tcW w:w="4760" w:type="dxa"/>
            <w:vAlign w:val="bottom"/>
          </w:tcPr>
          <w:p>
            <w:pPr>
              <w:spacing w:after="0"/>
              <w:rPr>
                <w:sz w:val="24"/>
                <w:szCs w:val="24"/>
                <w:color w:val="auto"/>
              </w:rPr>
            </w:pPr>
          </w:p>
        </w:tc>
        <w:tc>
          <w:tcPr>
            <w:tcW w:w="5800" w:type="dxa"/>
            <w:vAlign w:val="bottom"/>
          </w:tcPr>
          <w:p>
            <w:pPr>
              <w:ind w:left="2520"/>
              <w:spacing w:after="0"/>
              <w:rPr>
                <w:sz w:val="20"/>
                <w:szCs w:val="20"/>
                <w:color w:val="auto"/>
              </w:rPr>
            </w:pPr>
            <w:r>
              <w:rPr>
                <w:rFonts w:ascii="Arial" w:cs="Arial" w:eastAsia="Arial" w:hAnsi="Arial"/>
                <w:sz w:val="16"/>
                <w:szCs w:val="16"/>
                <w:b w:val="1"/>
                <w:bCs w:val="1"/>
                <w:color w:val="auto"/>
              </w:rPr>
              <w:t>Term Extension</w:t>
            </w:r>
          </w:p>
        </w:tc>
      </w:tr>
      <w:tr>
        <w:trPr>
          <w:trHeight w:val="180"/>
        </w:trPr>
        <w:tc>
          <w:tcPr>
            <w:tcW w:w="4760" w:type="dxa"/>
            <w:vAlign w:val="bottom"/>
          </w:tcPr>
          <w:p>
            <w:pPr>
              <w:ind w:left="420"/>
              <w:spacing w:after="0" w:line="180" w:lineRule="exact"/>
              <w:rPr>
                <w:sz w:val="20"/>
                <w:szCs w:val="20"/>
                <w:color w:val="auto"/>
              </w:rPr>
            </w:pPr>
            <w:r>
              <w:rPr>
                <w:rFonts w:ascii="Arial" w:cs="Arial" w:eastAsia="Arial" w:hAnsi="Arial"/>
                <w:sz w:val="16"/>
                <w:szCs w:val="16"/>
                <w:color w:val="auto"/>
              </w:rPr>
              <w:t>Commercial real estate loans</w:t>
            </w:r>
          </w:p>
        </w:tc>
        <w:tc>
          <w:tcPr>
            <w:tcW w:w="5800" w:type="dxa"/>
            <w:vAlign w:val="bottom"/>
          </w:tcPr>
          <w:p>
            <w:pPr>
              <w:ind w:left="420"/>
              <w:spacing w:after="0" w:line="180" w:lineRule="exact"/>
              <w:rPr>
                <w:sz w:val="20"/>
                <w:szCs w:val="20"/>
                <w:color w:val="auto"/>
              </w:rPr>
            </w:pPr>
            <w:r>
              <w:rPr>
                <w:rFonts w:ascii="Arial" w:cs="Arial" w:eastAsia="Arial" w:hAnsi="Arial"/>
                <w:sz w:val="16"/>
                <w:szCs w:val="16"/>
                <w:color w:val="auto"/>
              </w:rPr>
              <w:t>Added a weighted-average 1.1 years to the life of loans, which reduced</w:t>
            </w:r>
          </w:p>
        </w:tc>
      </w:tr>
      <w:tr>
        <w:trPr>
          <w:trHeight w:val="198"/>
        </w:trPr>
        <w:tc>
          <w:tcPr>
            <w:tcW w:w="4760" w:type="dxa"/>
            <w:vAlign w:val="bottom"/>
          </w:tcPr>
          <w:p>
            <w:pPr>
              <w:spacing w:after="0"/>
              <w:rPr>
                <w:sz w:val="17"/>
                <w:szCs w:val="17"/>
                <w:color w:val="auto"/>
              </w:rPr>
            </w:pPr>
          </w:p>
        </w:tc>
        <w:tc>
          <w:tcPr>
            <w:tcW w:w="5800" w:type="dxa"/>
            <w:vAlign w:val="bottom"/>
          </w:tcPr>
          <w:p>
            <w:pPr>
              <w:ind w:left="420"/>
              <w:spacing w:after="0"/>
              <w:rPr>
                <w:sz w:val="20"/>
                <w:szCs w:val="20"/>
                <w:color w:val="auto"/>
              </w:rPr>
            </w:pPr>
            <w:r>
              <w:rPr>
                <w:rFonts w:ascii="Arial" w:cs="Arial" w:eastAsia="Arial" w:hAnsi="Arial"/>
                <w:sz w:val="16"/>
                <w:szCs w:val="16"/>
                <w:color w:val="auto"/>
              </w:rPr>
              <w:t>monthly payment amounts for the borrowers.</w:t>
            </w:r>
          </w:p>
        </w:tc>
      </w:tr>
      <w:tr>
        <w:trPr>
          <w:trHeight w:val="186"/>
        </w:trPr>
        <w:tc>
          <w:tcPr>
            <w:tcW w:w="4760" w:type="dxa"/>
            <w:vAlign w:val="bottom"/>
            <w:shd w:val="clear" w:color="auto" w:fill="CFF0FC"/>
          </w:tcPr>
          <w:p>
            <w:pPr>
              <w:spacing w:after="0"/>
              <w:rPr>
                <w:sz w:val="16"/>
                <w:szCs w:val="16"/>
                <w:color w:val="auto"/>
              </w:rPr>
            </w:pPr>
          </w:p>
        </w:tc>
        <w:tc>
          <w:tcPr>
            <w:tcW w:w="58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Added a weighted-average 0.8 years to the life of loans, which reduced</w:t>
            </w:r>
          </w:p>
        </w:tc>
      </w:tr>
      <w:tr>
        <w:trPr>
          <w:trHeight w:val="199"/>
        </w:trPr>
        <w:tc>
          <w:tcPr>
            <w:tcW w:w="47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Commercial and industrial</w:t>
            </w:r>
          </w:p>
        </w:tc>
        <w:tc>
          <w:tcPr>
            <w:tcW w:w="58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monthly payment amounts for the borrowers.</w:t>
            </w:r>
          </w:p>
        </w:tc>
      </w:tr>
      <w:tr>
        <w:trPr>
          <w:trHeight w:val="185"/>
        </w:trPr>
        <w:tc>
          <w:tcPr>
            <w:tcW w:w="4760" w:type="dxa"/>
            <w:vAlign w:val="bottom"/>
          </w:tcPr>
          <w:p>
            <w:pPr>
              <w:spacing w:after="0"/>
              <w:rPr>
                <w:sz w:val="16"/>
                <w:szCs w:val="16"/>
                <w:color w:val="auto"/>
              </w:rPr>
            </w:pPr>
          </w:p>
        </w:tc>
        <w:tc>
          <w:tcPr>
            <w:tcW w:w="5800" w:type="dxa"/>
            <w:vAlign w:val="bottom"/>
          </w:tcPr>
          <w:p>
            <w:pPr>
              <w:ind w:left="420"/>
              <w:spacing w:after="0"/>
              <w:rPr>
                <w:sz w:val="20"/>
                <w:szCs w:val="20"/>
                <w:color w:val="auto"/>
              </w:rPr>
            </w:pPr>
            <w:r>
              <w:rPr>
                <w:rFonts w:ascii="Arial" w:cs="Arial" w:eastAsia="Arial" w:hAnsi="Arial"/>
                <w:sz w:val="16"/>
                <w:szCs w:val="16"/>
                <w:color w:val="auto"/>
              </w:rPr>
              <w:t>Added a weighted-average 1.4 years to the life of loans, which reduced</w:t>
            </w:r>
          </w:p>
        </w:tc>
      </w:tr>
      <w:tr>
        <w:trPr>
          <w:trHeight w:val="197"/>
        </w:trPr>
        <w:tc>
          <w:tcPr>
            <w:tcW w:w="4760" w:type="dxa"/>
            <w:vAlign w:val="bottom"/>
          </w:tcPr>
          <w:p>
            <w:pPr>
              <w:ind w:left="420"/>
              <w:spacing w:after="0"/>
              <w:rPr>
                <w:sz w:val="20"/>
                <w:szCs w:val="20"/>
                <w:color w:val="auto"/>
              </w:rPr>
            </w:pPr>
            <w:r>
              <w:rPr>
                <w:rFonts w:ascii="Arial" w:cs="Arial" w:eastAsia="Arial" w:hAnsi="Arial"/>
                <w:sz w:val="16"/>
                <w:szCs w:val="16"/>
                <w:color w:val="auto"/>
              </w:rPr>
              <w:t>Dairy &amp; livestock and agribusiness</w:t>
            </w:r>
          </w:p>
        </w:tc>
        <w:tc>
          <w:tcPr>
            <w:tcW w:w="5800" w:type="dxa"/>
            <w:vAlign w:val="bottom"/>
          </w:tcPr>
          <w:p>
            <w:pPr>
              <w:ind w:left="420"/>
              <w:spacing w:after="0"/>
              <w:rPr>
                <w:sz w:val="20"/>
                <w:szCs w:val="20"/>
                <w:color w:val="auto"/>
              </w:rPr>
            </w:pPr>
            <w:r>
              <w:rPr>
                <w:rFonts w:ascii="Arial" w:cs="Arial" w:eastAsia="Arial" w:hAnsi="Arial"/>
                <w:sz w:val="16"/>
                <w:szCs w:val="16"/>
                <w:color w:val="auto"/>
              </w:rPr>
              <w:t>monthly payment amounts for the borrowers.</w:t>
            </w:r>
          </w:p>
        </w:tc>
      </w:tr>
      <w:tr>
        <w:trPr>
          <w:trHeight w:val="206"/>
        </w:trPr>
        <w:tc>
          <w:tcPr>
            <w:tcW w:w="476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694"/>
        </w:trPr>
        <w:tc>
          <w:tcPr>
            <w:tcW w:w="4760" w:type="dxa"/>
            <w:vAlign w:val="bottom"/>
          </w:tcPr>
          <w:p>
            <w:pPr>
              <w:spacing w:after="0"/>
              <w:rPr>
                <w:sz w:val="24"/>
                <w:szCs w:val="24"/>
                <w:color w:val="auto"/>
              </w:rPr>
            </w:pPr>
          </w:p>
        </w:tc>
        <w:tc>
          <w:tcPr>
            <w:tcW w:w="5800" w:type="dxa"/>
            <w:vAlign w:val="bottom"/>
          </w:tcPr>
          <w:p>
            <w:pPr>
              <w:ind w:left="440"/>
              <w:spacing w:after="0"/>
              <w:rPr>
                <w:sz w:val="20"/>
                <w:szCs w:val="20"/>
                <w:color w:val="auto"/>
              </w:rPr>
            </w:pPr>
            <w:r>
              <w:rPr>
                <w:rFonts w:ascii="Arial" w:cs="Arial" w:eastAsia="Arial" w:hAnsi="Arial"/>
                <w:sz w:val="16"/>
                <w:szCs w:val="16"/>
                <w:color w:val="auto"/>
              </w:rPr>
              <w:t>26</w:t>
            </w:r>
          </w:p>
        </w:tc>
      </w:tr>
      <w:tr>
        <w:trPr>
          <w:trHeight w:val="278"/>
        </w:trPr>
        <w:tc>
          <w:tcPr>
            <w:tcW w:w="4760" w:type="dxa"/>
            <w:vAlign w:val="bottom"/>
            <w:tcBorders>
              <w:bottom w:val="single" w:sz="8" w:color="EEEEEE"/>
            </w:tcBorders>
          </w:tcPr>
          <w:p>
            <w:pPr>
              <w:spacing w:after="0"/>
              <w:rPr>
                <w:sz w:val="24"/>
                <w:szCs w:val="24"/>
                <w:color w:val="auto"/>
              </w:rPr>
            </w:pPr>
          </w:p>
        </w:tc>
        <w:tc>
          <w:tcPr>
            <w:tcW w:w="5800" w:type="dxa"/>
            <w:vAlign w:val="bottom"/>
            <w:tcBorders>
              <w:bottom w:val="single" w:sz="8" w:color="EEEEEE"/>
            </w:tcBorders>
          </w:tcPr>
          <w:p>
            <w:pPr>
              <w:spacing w:after="0"/>
              <w:rPr>
                <w:sz w:val="24"/>
                <w:szCs w:val="24"/>
                <w:color w:val="auto"/>
              </w:rPr>
            </w:pPr>
          </w:p>
        </w:tc>
      </w:tr>
    </w:tbl>
    <w:p>
      <w:pPr>
        <w:sectPr>
          <w:pgSz w:w="11900" w:h="16840" w:orient="portrait"/>
          <w:cols w:equalWidth="0" w:num="1">
            <w:col w:w="10620"/>
          </w:cols>
          <w:pgMar w:left="660" w:top="782" w:right="620" w:bottom="1440" w:gutter="0" w:footer="0" w:header="0"/>
        </w:sectPr>
      </w:pPr>
    </w:p>
    <w:bookmarkStart w:id="26" w:name="page27"/>
    <w:bookmarkEnd w:id="26"/>
    <w:p>
      <w:pPr>
        <w:ind w:right="40" w:firstLine="432"/>
        <w:spacing w:after="0" w:line="24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As of June 30, 2023, the Company did not have any loans made to borrowers experiencing financial difficulty that were modified during the first six months of 2023 that subsequently defaulted. Payment default is defined as movement to nonaccrual (nonperforming) status, foreclosure or charge-off, whichever occurs first.</w:t>
      </w:r>
    </w:p>
    <w:p>
      <w:pPr>
        <w:spacing w:after="0" w:line="161"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following table presents the recorded investment in, and the aging of, past due loans at amortized cost (including nonaccrual loans), by type of loans, made to borrowers experiencing financial difficulty that were modified on or after January 1, 2023, the date we adopted ASU 2022-02.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540" w:type="dxa"/>
            <w:vAlign w:val="bottom"/>
            <w:gridSpan w:val="8"/>
          </w:tcPr>
          <w:p>
            <w:pPr>
              <w:jc w:val="center"/>
              <w:ind w:left="122"/>
              <w:spacing w:after="0"/>
              <w:rPr>
                <w:sz w:val="20"/>
                <w:szCs w:val="20"/>
                <w:color w:val="auto"/>
              </w:rPr>
            </w:pPr>
            <w:r>
              <w:rPr>
                <w:rFonts w:ascii="Arial" w:cs="Arial" w:eastAsia="Arial" w:hAnsi="Arial"/>
                <w:sz w:val="16"/>
                <w:szCs w:val="16"/>
                <w:b w:val="1"/>
                <w:bCs w:val="1"/>
                <w:color w:val="auto"/>
                <w:w w:val="97"/>
              </w:rPr>
              <w:t>Payment Status (amortized cost basis)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98"/>
              </w:rPr>
              <w:t>30-89 Days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220"/>
              <w:spacing w:after="0" w:line="180" w:lineRule="exact"/>
              <w:rPr>
                <w:sz w:val="20"/>
                <w:szCs w:val="20"/>
                <w:color w:val="auto"/>
              </w:rPr>
            </w:pPr>
            <w:r>
              <w:rPr>
                <w:rFonts w:ascii="Arial" w:cs="Arial" w:eastAsia="Arial" w:hAnsi="Arial"/>
                <w:sz w:val="16"/>
                <w:szCs w:val="16"/>
                <w:b w:val="1"/>
                <w:bCs w:val="1"/>
                <w:color w:val="auto"/>
              </w:rPr>
              <w:t>90+ Days</w:t>
            </w:r>
          </w:p>
        </w:tc>
      </w:tr>
      <w:tr>
        <w:trPr>
          <w:trHeight w:val="206"/>
        </w:trPr>
        <w:tc>
          <w:tcPr>
            <w:tcW w:w="4240" w:type="dxa"/>
            <w:vAlign w:val="bottom"/>
          </w:tcPr>
          <w:p>
            <w:pPr>
              <w:spacing w:after="0"/>
              <w:rPr>
                <w:sz w:val="17"/>
                <w:szCs w:val="17"/>
                <w:color w:val="auto"/>
              </w:rPr>
            </w:pPr>
          </w:p>
        </w:tc>
        <w:tc>
          <w:tcPr>
            <w:tcW w:w="1240" w:type="dxa"/>
            <w:vAlign w:val="bottom"/>
          </w:tcPr>
          <w:p>
            <w:pPr>
              <w:jc w:val="right"/>
              <w:ind w:right="26"/>
              <w:spacing w:after="0"/>
              <w:rPr>
                <w:sz w:val="20"/>
                <w:szCs w:val="20"/>
                <w:color w:val="auto"/>
              </w:rPr>
            </w:pPr>
            <w:r>
              <w:rPr>
                <w:rFonts w:ascii="Arial" w:cs="Arial" w:eastAsia="Arial" w:hAnsi="Arial"/>
                <w:sz w:val="16"/>
                <w:szCs w:val="16"/>
                <w:b w:val="1"/>
                <w:bCs w:val="1"/>
                <w:color w:val="auto"/>
              </w:rPr>
              <w:t>Current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Past Due</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Past Due</w:t>
            </w:r>
          </w:p>
        </w:tc>
      </w:t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i w:val="1"/>
                <w:iCs w:val="1"/>
                <w:color w:val="auto"/>
                <w:w w:val="97"/>
              </w:rPr>
              <w:t>(Dollars in thousands)</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Commercial real estate loans</w:t>
            </w:r>
          </w:p>
        </w:tc>
        <w:tc>
          <w:tcPr>
            <w:tcW w:w="1240" w:type="dxa"/>
            <w:vAlign w:val="bottom"/>
            <w:shd w:val="clear" w:color="auto" w:fill="CFF0FC"/>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FF0FC"/>
          </w:tcPr>
          <w:p>
            <w:pPr>
              <w:ind w:left="15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3"/>
        </w:trPr>
        <w:tc>
          <w:tcPr>
            <w:tcW w:w="4240" w:type="dxa"/>
            <w:vAlign w:val="bottom"/>
          </w:tcPr>
          <w:p>
            <w:pPr>
              <w:ind w:left="400"/>
              <w:spacing w:after="0"/>
              <w:rPr>
                <w:sz w:val="20"/>
                <w:szCs w:val="20"/>
                <w:color w:val="auto"/>
              </w:rPr>
            </w:pPr>
            <w:r>
              <w:rPr>
                <w:rFonts w:ascii="Arial" w:cs="Arial" w:eastAsia="Arial" w:hAnsi="Arial"/>
                <w:sz w:val="16"/>
                <w:szCs w:val="16"/>
                <w:color w:val="auto"/>
              </w:rPr>
              <w:t>Commercial and industrial</w:t>
            </w:r>
          </w:p>
        </w:tc>
        <w:tc>
          <w:tcPr>
            <w:tcW w:w="1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205"/>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Dairy &amp; livestock and agribusiness</w:t>
            </w:r>
          </w:p>
        </w:tc>
        <w:tc>
          <w:tcPr>
            <w:tcW w:w="1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ind w:left="15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4"/>
        </w:trPr>
        <w:tc>
          <w:tcPr>
            <w:tcW w:w="4240" w:type="dxa"/>
            <w:vAlign w:val="bottom"/>
          </w:tcPr>
          <w:p>
            <w:pPr>
              <w:ind w:left="540"/>
              <w:spacing w:after="0"/>
              <w:rPr>
                <w:sz w:val="20"/>
                <w:szCs w:val="20"/>
                <w:color w:val="auto"/>
              </w:rPr>
            </w:pPr>
            <w:r>
              <w:rPr>
                <w:rFonts w:ascii="Arial" w:cs="Arial" w:eastAsia="Arial" w:hAnsi="Arial"/>
                <w:sz w:val="16"/>
                <w:szCs w:val="16"/>
                <w:b w:val="1"/>
                <w:bCs w:val="1"/>
                <w:color w:val="auto"/>
              </w:rPr>
              <w:t>Total</w:t>
            </w:r>
          </w:p>
        </w:tc>
        <w:tc>
          <w:tcPr>
            <w:tcW w:w="1240" w:type="dxa"/>
            <w:vAlign w:val="bottom"/>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3,307</w:t>
            </w:r>
          </w:p>
        </w:tc>
        <w:tc>
          <w:tcPr>
            <w:tcW w:w="1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20"/>
        </w:trPr>
        <w:tc>
          <w:tcPr>
            <w:tcW w:w="4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right="260" w:firstLine="432"/>
        <w:spacing w:after="0"/>
        <w:rPr>
          <w:sz w:val="20"/>
          <w:szCs w:val="20"/>
          <w:color w:val="auto"/>
        </w:rPr>
      </w:pPr>
      <w:r>
        <w:rPr>
          <w:rFonts w:ascii="Arial" w:cs="Arial" w:eastAsia="Arial" w:hAnsi="Arial"/>
          <w:sz w:val="16"/>
          <w:szCs w:val="16"/>
          <w:color w:val="auto"/>
        </w:rPr>
        <w:t xml:space="preserve">Prior to January 1, 2023, loans reported as TDRs were considered impaired and charge-off amounts were taken on an individual loan basis, as deemed appropriate. The majority of restructured loans are loans for which the terms of repayment have been renegotiated, resulting in a reduction in interest rate or deferral of principal. 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included in our Annual Report on Form 10-K for the year ended December 31, 2022 for a more detailed discussion regarding TDRs.</w:t>
      </w:r>
    </w:p>
    <w:p>
      <w:pPr>
        <w:spacing w:after="0" w:line="164" w:lineRule="exact"/>
        <w:rPr>
          <w:sz w:val="20"/>
          <w:szCs w:val="20"/>
          <w:color w:val="auto"/>
        </w:rPr>
      </w:pPr>
    </w:p>
    <w:p>
      <w:pPr>
        <w:ind w:right="80" w:firstLine="432"/>
        <w:spacing w:after="0" w:line="239" w:lineRule="auto"/>
        <w:rPr>
          <w:sz w:val="20"/>
          <w:szCs w:val="20"/>
          <w:color w:val="auto"/>
        </w:rPr>
      </w:pPr>
      <w:r>
        <w:rPr>
          <w:rFonts w:ascii="Arial" w:cs="Arial" w:eastAsia="Arial" w:hAnsi="Arial"/>
          <w:sz w:val="16"/>
          <w:szCs w:val="16"/>
          <w:color w:val="auto"/>
        </w:rPr>
        <w:t>As of December 31, 2022, there were $7.8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December 31, 2022, performing TDRs were comprised of four commercial and industrial loans of $4.8 million, one dairy &amp; livestock and agribusiness loan of $2.0 million, and five SFR mortgage loans of $1.0 million.</w:t>
      </w:r>
    </w:p>
    <w:p>
      <w:pPr>
        <w:spacing w:after="0" w:line="164" w:lineRule="exact"/>
        <w:rPr>
          <w:sz w:val="20"/>
          <w:szCs w:val="20"/>
          <w:color w:val="auto"/>
        </w:rPr>
      </w:pPr>
    </w:p>
    <w:p>
      <w:pPr>
        <w:ind w:right="260" w:firstLine="432"/>
        <w:spacing w:after="0" w:line="252" w:lineRule="auto"/>
        <w:rPr>
          <w:sz w:val="20"/>
          <w:szCs w:val="20"/>
          <w:color w:val="auto"/>
        </w:rPr>
      </w:pPr>
      <w:r>
        <w:rPr>
          <w:rFonts w:ascii="Arial" w:cs="Arial" w:eastAsia="Arial" w:hAnsi="Arial"/>
          <w:sz w:val="16"/>
          <w:szCs w:val="16"/>
          <w:color w:val="auto"/>
        </w:rPr>
        <w:t>The majority of TDRs have no specific allowance allocated as any impairment amount is normally charged off at the time the loan is considered uncollectible. We had no allocated allowance to TDRs as of December 31, 2022 and June 30, 2022.</w:t>
      </w:r>
    </w:p>
    <w:p>
      <w:pPr>
        <w:spacing w:after="0" w:line="154" w:lineRule="exact"/>
        <w:rPr>
          <w:sz w:val="20"/>
          <w:szCs w:val="20"/>
          <w:color w:val="auto"/>
        </w:rPr>
      </w:pPr>
    </w:p>
    <w:p>
      <w:pPr>
        <w:ind w:right="180" w:firstLine="432"/>
        <w:spacing w:after="0" w:line="252" w:lineRule="auto"/>
        <w:rPr>
          <w:sz w:val="20"/>
          <w:szCs w:val="20"/>
          <w:color w:val="auto"/>
        </w:rPr>
      </w:pPr>
      <w:r>
        <w:rPr>
          <w:rFonts w:ascii="Arial" w:cs="Arial" w:eastAsia="Arial" w:hAnsi="Arial"/>
          <w:sz w:val="16"/>
          <w:szCs w:val="16"/>
          <w:color w:val="auto"/>
        </w:rPr>
        <w:t>As of December 31, 2022 and June 30, 2022, there were no loans that were modified as a TDR within the previous 12 months that subsequently defaulted during the six months ended December 31, 2022 and June 30, 2022, respectively.</w:t>
      </w:r>
    </w:p>
    <w:p>
      <w:pPr>
        <w:spacing w:after="0" w:line="200" w:lineRule="exact"/>
        <w:rPr>
          <w:sz w:val="20"/>
          <w:szCs w:val="20"/>
          <w:color w:val="auto"/>
        </w:rPr>
      </w:pPr>
    </w:p>
    <w:p>
      <w:pPr>
        <w:spacing w:after="0" w:line="258" w:lineRule="exact"/>
        <w:rPr>
          <w:sz w:val="20"/>
          <w:szCs w:val="20"/>
          <w:color w:val="auto"/>
        </w:rPr>
      </w:pPr>
    </w:p>
    <w:p>
      <w:pPr>
        <w:ind w:left="300" w:hanging="294"/>
        <w:spacing w:after="0"/>
        <w:tabs>
          <w:tab w:leader="none" w:pos="3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BORROWINGS</w:t>
      </w:r>
    </w:p>
    <w:p>
      <w:pPr>
        <w:spacing w:after="0" w:line="184" w:lineRule="exact"/>
        <w:rPr>
          <w:sz w:val="20"/>
          <w:szCs w:val="20"/>
          <w:color w:val="auto"/>
        </w:rPr>
      </w:pPr>
    </w:p>
    <w:p>
      <w:pPr>
        <w:ind w:right="40" w:firstLine="432"/>
        <w:spacing w:after="0" w:line="239" w:lineRule="auto"/>
        <w:rPr>
          <w:sz w:val="20"/>
          <w:szCs w:val="20"/>
          <w:color w:val="auto"/>
        </w:rPr>
      </w:pPr>
      <w:r>
        <w:rPr>
          <w:rFonts w:ascii="Arial" w:cs="Arial" w:eastAsia="Arial" w:hAnsi="Arial"/>
          <w:sz w:val="16"/>
          <w:szCs w:val="16"/>
          <w:color w:val="auto"/>
        </w:rPr>
        <w:t>Borrowings as of June 30, 2023, consisted of $695 million from the Federal Reserve's Bank Term Funding Program that were borrowed during the second quarter of 2023 at a rate of 4.7%. These borrowings can be prepaid without penalty and mature in May, 2024. These borrowings replaced higher cost borrowings from the FHLB. FHLB borrowings consist of short-term advances that declined from $1.4 billion at March 31, 2023 to $800 million with a cost of approximately 5% at June 30, 2023. These FHLB advances will mature over the next two quarters, with the final maturity at the end of November.</w:t>
      </w:r>
    </w:p>
    <w:p>
      <w:pPr>
        <w:spacing w:after="0" w:line="164" w:lineRule="exact"/>
        <w:rPr>
          <w:sz w:val="20"/>
          <w:szCs w:val="20"/>
          <w:color w:val="auto"/>
        </w:rPr>
      </w:pPr>
    </w:p>
    <w:p>
      <w:pPr>
        <w:jc w:val="both"/>
        <w:ind w:right="120" w:firstLine="432"/>
        <w:spacing w:after="0" w:line="243" w:lineRule="auto"/>
        <w:rPr>
          <w:sz w:val="20"/>
          <w:szCs w:val="20"/>
          <w:color w:val="auto"/>
        </w:rPr>
      </w:pPr>
      <w:r>
        <w:rPr>
          <w:rFonts w:ascii="Arial" w:cs="Arial" w:eastAsia="Arial" w:hAnsi="Arial"/>
          <w:sz w:val="16"/>
          <w:szCs w:val="16"/>
          <w:color w:val="auto"/>
        </w:rPr>
        <w:t>The Bank has $ 4.1 billion of secured and unused capacity with the FHLB, $1.3 billion of secured unused borrowing capacity at the Fed’s discount window or Bank Term Funding Program, more than $550 million of unpledged AFS securities that could be pledged at the discount window or the Fed’s Bank Term Funding Program and $300 million of unsecured lines of credit.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40" w:orient="portrait"/>
          <w:cols w:equalWidth="0" w:num="1">
            <w:col w:w="10560"/>
          </w:cols>
          <w:pgMar w:left="660" w:top="790" w:right="680" w:bottom="1440" w:gutter="0" w:footer="0" w:header="0"/>
        </w:sectPr>
      </w:pPr>
    </w:p>
    <w:bookmarkStart w:id="27" w:name="page28"/>
    <w:bookmarkEnd w:id="27"/>
    <w:p>
      <w:pPr>
        <w:ind w:left="300" w:hanging="294"/>
        <w:spacing w:after="0"/>
        <w:tabs>
          <w:tab w:leader="none" w:pos="3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EARNINGS PER SHARE RECONCILIATION</w:t>
      </w:r>
    </w:p>
    <w:p>
      <w:pPr>
        <w:spacing w:after="0" w:line="184" w:lineRule="exact"/>
        <w:rPr>
          <w:sz w:val="20"/>
          <w:szCs w:val="20"/>
          <w:color w:val="auto"/>
        </w:rPr>
      </w:pPr>
    </w:p>
    <w:p>
      <w:pPr>
        <w:ind w:right="160" w:firstLine="432"/>
        <w:spacing w:after="0" w:line="238" w:lineRule="auto"/>
        <w:rPr>
          <w:sz w:val="20"/>
          <w:szCs w:val="20"/>
          <w:color w:val="auto"/>
        </w:rPr>
      </w:pPr>
      <w:r>
        <w:rPr>
          <w:rFonts w:ascii="Arial" w:cs="Arial" w:eastAsia="Arial" w:hAnsi="Arial"/>
          <w:sz w:val="16"/>
          <w:szCs w:val="16"/>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six months ended June 30, 2023, shares deemed to be antidilutive, and thus excluded from the computation of earnings per common share, were 1,412,000 and 1,058,000, respectively. For the three and six months ended June 30, 2022, shares deemed to be antidilutive, and thus excluded from the computation of earnings per common share, were 99,000 and 540,000, respectively.</w:t>
      </w:r>
    </w:p>
    <w:p>
      <w:pPr>
        <w:spacing w:after="0" w:line="166" w:lineRule="exact"/>
        <w:rPr>
          <w:sz w:val="20"/>
          <w:szCs w:val="20"/>
          <w:color w:val="auto"/>
        </w:rPr>
      </w:pPr>
    </w:p>
    <w:p>
      <w:pPr>
        <w:ind w:firstLine="432"/>
        <w:spacing w:after="0" w:line="252" w:lineRule="auto"/>
        <w:rPr>
          <w:sz w:val="20"/>
          <w:szCs w:val="20"/>
          <w:color w:val="auto"/>
        </w:rPr>
      </w:pPr>
      <w:r>
        <w:rPr>
          <w:rFonts w:ascii="Arial" w:cs="Arial" w:eastAsia="Arial" w:hAnsi="Arial"/>
          <w:sz w:val="16"/>
          <w:szCs w:val="16"/>
          <w:color w:val="auto"/>
        </w:rPr>
        <w:t>The table below shows earnings per common share and diluted earnings per common share and reconciles the numerator and denominator of both earnings per common share calculations.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6"/>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ind w:left="320"/>
              <w:spacing w:after="0"/>
              <w:rPr>
                <w:sz w:val="20"/>
                <w:szCs w:val="20"/>
                <w:color w:val="auto"/>
              </w:rPr>
            </w:pPr>
            <w:r>
              <w:rPr>
                <w:rFonts w:ascii="Arial" w:cs="Arial" w:eastAsia="Arial" w:hAnsi="Arial"/>
                <w:sz w:val="16"/>
                <w:szCs w:val="16"/>
                <w:b w:val="1"/>
                <w:bCs w:val="1"/>
                <w:color w:val="auto"/>
              </w:rPr>
              <w:t>Six Months Ended</w:t>
            </w:r>
          </w:p>
        </w:tc>
      </w:tr>
      <w:tr>
        <w:trPr>
          <w:trHeight w:val="204"/>
        </w:trPr>
        <w:tc>
          <w:tcPr>
            <w:tcW w:w="4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4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0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191"/>
        </w:trPr>
        <w:tc>
          <w:tcPr>
            <w:tcW w:w="4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38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55,770</w:t>
            </w:r>
          </w:p>
        </w:tc>
        <w:tc>
          <w:tcPr>
            <w:tcW w:w="5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59,058</w:t>
            </w:r>
          </w:p>
        </w:tc>
        <w:tc>
          <w:tcPr>
            <w:tcW w:w="1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115,040</w:t>
            </w:r>
          </w:p>
        </w:tc>
        <w:tc>
          <w:tcPr>
            <w:tcW w:w="1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104,618</w:t>
            </w:r>
          </w:p>
        </w:tc>
        <w:tc>
          <w:tcPr>
            <w:tcW w:w="80" w:type="dxa"/>
            <w:vAlign w:val="bottom"/>
          </w:tcPr>
          <w:p>
            <w:pPr>
              <w:spacing w:after="0"/>
              <w:rPr>
                <w:sz w:val="17"/>
                <w:szCs w:val="17"/>
                <w:color w:val="auto"/>
              </w:rPr>
            </w:pPr>
          </w:p>
        </w:tc>
      </w:tr>
      <w:tr>
        <w:trPr>
          <w:trHeight w:val="205"/>
        </w:trPr>
        <w:tc>
          <w:tcPr>
            <w:tcW w:w="43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Less: Net earnings allocated to restricted stock</w:t>
            </w: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w:t>
            </w:r>
          </w:p>
        </w:tc>
        <w:tc>
          <w:tcPr>
            <w:tcW w:w="8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Net earnings allocated to common shareholders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55,380</w:t>
            </w:r>
          </w:p>
        </w:tc>
        <w:tc>
          <w:tcPr>
            <w:tcW w:w="10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58,660</w:t>
            </w:r>
          </w:p>
        </w:tc>
        <w:tc>
          <w:tcPr>
            <w:tcW w:w="1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114,242</w:t>
            </w:r>
          </w:p>
        </w:tc>
        <w:tc>
          <w:tcPr>
            <w:tcW w:w="1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103,968</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4380" w:type="dxa"/>
            <w:vAlign w:val="bottom"/>
            <w:shd w:val="clear" w:color="auto" w:fill="CFF0FC"/>
          </w:tcPr>
          <w:p>
            <w:pPr>
              <w:ind w:left="180"/>
              <w:spacing w:after="0" w:line="180" w:lineRule="exact"/>
              <w:rPr>
                <w:sz w:val="20"/>
                <w:szCs w:val="20"/>
                <w:color w:val="auto"/>
              </w:rPr>
            </w:pPr>
            <w:r>
              <w:rPr>
                <w:rFonts w:ascii="Arial" w:cs="Arial" w:eastAsia="Arial" w:hAnsi="Arial"/>
                <w:sz w:val="16"/>
                <w:szCs w:val="16"/>
                <w:color w:val="auto"/>
              </w:rPr>
              <w:t>Weighted average shares outstanding</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138,330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139,748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138,420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140,467</w:t>
            </w:r>
          </w:p>
        </w:tc>
        <w:tc>
          <w:tcPr>
            <w:tcW w:w="80" w:type="dxa"/>
            <w:vAlign w:val="bottom"/>
            <w:shd w:val="clear" w:color="auto" w:fill="CFF0FC"/>
          </w:tcPr>
          <w:p>
            <w:pPr>
              <w:spacing w:after="0"/>
              <w:rPr>
                <w:sz w:val="15"/>
                <w:szCs w:val="15"/>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Basic earnings per common share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0.74</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4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Net income allocated to common shareholders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55,380</w:t>
            </w:r>
          </w:p>
        </w:tc>
        <w:tc>
          <w:tcPr>
            <w:tcW w:w="10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58,660</w:t>
            </w:r>
          </w:p>
        </w:tc>
        <w:tc>
          <w:tcPr>
            <w:tcW w:w="1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114,242</w:t>
            </w:r>
          </w:p>
        </w:tc>
        <w:tc>
          <w:tcPr>
            <w:tcW w:w="1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103,968</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4380" w:type="dxa"/>
            <w:vAlign w:val="bottom"/>
            <w:shd w:val="clear" w:color="auto" w:fill="CFF0FC"/>
          </w:tcPr>
          <w:p>
            <w:pPr>
              <w:ind w:left="340"/>
              <w:spacing w:after="0" w:line="180" w:lineRule="exact"/>
              <w:rPr>
                <w:sz w:val="20"/>
                <w:szCs w:val="20"/>
                <w:color w:val="auto"/>
              </w:rPr>
            </w:pPr>
            <w:r>
              <w:rPr>
                <w:rFonts w:ascii="Arial" w:cs="Arial" w:eastAsia="Arial" w:hAnsi="Arial"/>
                <w:sz w:val="16"/>
                <w:szCs w:val="16"/>
                <w:color w:val="auto"/>
              </w:rPr>
              <w:t>Weighted average shares outstanding</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138,330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139,748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138,420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140,467</w:t>
            </w:r>
          </w:p>
        </w:tc>
        <w:tc>
          <w:tcPr>
            <w:tcW w:w="80" w:type="dxa"/>
            <w:vAlign w:val="bottom"/>
            <w:shd w:val="clear" w:color="auto" w:fill="CFF0FC"/>
          </w:tcPr>
          <w:p>
            <w:pPr>
              <w:spacing w:after="0"/>
              <w:rPr>
                <w:sz w:val="15"/>
                <w:szCs w:val="15"/>
                <w:color w:val="auto"/>
              </w:rPr>
            </w:pPr>
          </w:p>
        </w:tc>
      </w:tr>
      <w:tr>
        <w:trPr>
          <w:trHeight w:val="185"/>
        </w:trPr>
        <w:tc>
          <w:tcPr>
            <w:tcW w:w="4380" w:type="dxa"/>
            <w:vAlign w:val="bottom"/>
          </w:tcPr>
          <w:p>
            <w:pPr>
              <w:ind w:left="340"/>
              <w:spacing w:after="0"/>
              <w:rPr>
                <w:sz w:val="20"/>
                <w:szCs w:val="20"/>
                <w:color w:val="auto"/>
              </w:rPr>
            </w:pPr>
            <w:r>
              <w:rPr>
                <w:rFonts w:ascii="Arial" w:cs="Arial" w:eastAsia="Arial" w:hAnsi="Arial"/>
                <w:sz w:val="16"/>
                <w:szCs w:val="16"/>
                <w:color w:val="auto"/>
              </w:rPr>
              <w:t>Incremental shares from assumed exercise of</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4380" w:type="dxa"/>
            <w:vAlign w:val="bottom"/>
          </w:tcPr>
          <w:p>
            <w:pPr>
              <w:ind w:left="460"/>
              <w:spacing w:after="0"/>
              <w:rPr>
                <w:sz w:val="20"/>
                <w:szCs w:val="20"/>
                <w:color w:val="auto"/>
              </w:rPr>
            </w:pPr>
            <w:r>
              <w:rPr>
                <w:rFonts w:ascii="Arial" w:cs="Arial" w:eastAsia="Arial" w:hAnsi="Arial"/>
                <w:sz w:val="16"/>
                <w:szCs w:val="16"/>
                <w:color w:val="auto"/>
              </w:rPr>
              <w:t>outstanding options</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7"/>
                <w:szCs w:val="17"/>
                <w:color w:val="auto"/>
              </w:rPr>
            </w:pPr>
          </w:p>
        </w:tc>
      </w:tr>
      <w:tr>
        <w:trPr>
          <w:trHeight w:val="205"/>
        </w:trPr>
        <w:tc>
          <w:tcPr>
            <w:tcW w:w="4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Diluted weighted average shares outstanding</w:t>
            </w: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138,383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140,053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138,557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140,730</w:t>
            </w:r>
          </w:p>
        </w:tc>
        <w:tc>
          <w:tcPr>
            <w:tcW w:w="8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Diluted earnings per common share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0.74</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6"/>
        </w:trPr>
        <w:tc>
          <w:tcPr>
            <w:tcW w:w="43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43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ectPr>
          <w:pgSz w:w="11900" w:h="16840" w:orient="portrait"/>
          <w:cols w:equalWidth="0" w:num="1">
            <w:col w:w="10600"/>
          </w:cols>
          <w:pgMar w:left="660" w:top="782" w:right="640" w:bottom="1440" w:gutter="0" w:footer="0" w:header="0"/>
        </w:sectPr>
      </w:pPr>
    </w:p>
    <w:bookmarkStart w:id="28" w:name="page29"/>
    <w:bookmarkEnd w:id="28"/>
    <w:p>
      <w:pPr>
        <w:ind w:left="300" w:hanging="294"/>
        <w:spacing w:after="0"/>
        <w:tabs>
          <w:tab w:leader="none" w:pos="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FAIR VALUE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Hierarchy</w:t>
      </w:r>
    </w:p>
    <w:p>
      <w:pPr>
        <w:spacing w:after="0" w:line="184" w:lineRule="exact"/>
        <w:rPr>
          <w:sz w:val="20"/>
          <w:szCs w:val="20"/>
          <w:color w:val="auto"/>
        </w:rPr>
      </w:pPr>
    </w:p>
    <w:p>
      <w:pPr>
        <w:ind w:right="160" w:firstLine="432"/>
        <w:spacing w:after="0" w:line="252" w:lineRule="auto"/>
        <w:rPr>
          <w:sz w:val="20"/>
          <w:szCs w:val="20"/>
          <w:color w:val="auto"/>
        </w:rPr>
      </w:pPr>
      <w:r>
        <w:rPr>
          <w:rFonts w:ascii="Arial" w:cs="Arial" w:eastAsia="Arial" w:hAnsi="Arial"/>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54" w:lineRule="exact"/>
        <w:rPr>
          <w:sz w:val="20"/>
          <w:szCs w:val="20"/>
          <w:color w:val="auto"/>
        </w:rPr>
      </w:pPr>
    </w:p>
    <w:p>
      <w:pPr>
        <w:ind w:right="60" w:firstLine="432"/>
        <w:spacing w:after="0" w:line="252" w:lineRule="auto"/>
        <w:rPr>
          <w:sz w:val="20"/>
          <w:szCs w:val="20"/>
          <w:color w:val="auto"/>
        </w:rPr>
      </w:pPr>
      <w:r>
        <w:rPr>
          <w:rFonts w:ascii="Arial" w:cs="Arial" w:eastAsia="Arial" w:hAnsi="Arial"/>
          <w:sz w:val="16"/>
          <w:szCs w:val="16"/>
          <w:color w:val="auto"/>
        </w:rPr>
        <w:t xml:space="preserve">The valuation methodologies for financial assets and liabilities measured at fair value on a recurring and non-recurring basis are described in Note 19 — </w:t>
      </w:r>
      <w:r>
        <w:rPr>
          <w:rFonts w:ascii="Arial" w:cs="Arial" w:eastAsia="Arial" w:hAnsi="Arial"/>
          <w:sz w:val="16"/>
          <w:szCs w:val="16"/>
          <w:i w:val="1"/>
          <w:iCs w:val="1"/>
          <w:color w:val="auto"/>
        </w:rPr>
        <w:t>Fair Value Information,</w:t>
      </w:r>
      <w:r>
        <w:rPr>
          <w:rFonts w:ascii="Arial" w:cs="Arial" w:eastAsia="Arial" w:hAnsi="Arial"/>
          <w:sz w:val="16"/>
          <w:szCs w:val="16"/>
          <w:color w:val="auto"/>
        </w:rPr>
        <w:t xml:space="preserve"> included in our Annual Report on Form 10-K for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tables below present the balances of assets and liabilities measured at fair value on a recurring basis as of the dates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left="109"/>
              <w:spacing w:after="0"/>
              <w:rPr>
                <w:sz w:val="20"/>
                <w:szCs w:val="20"/>
                <w:color w:val="auto"/>
              </w:rPr>
            </w:pPr>
            <w:r>
              <w:rPr>
                <w:rFonts w:ascii="Arial" w:cs="Arial" w:eastAsia="Arial" w:hAnsi="Arial"/>
                <w:sz w:val="14"/>
                <w:szCs w:val="14"/>
                <w:b w:val="1"/>
                <w:bCs w:val="1"/>
                <w:color w:val="auto"/>
              </w:rPr>
              <w:t>Quoted Prices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29"/>
              <w:spacing w:after="0"/>
              <w:rPr>
                <w:sz w:val="20"/>
                <w:szCs w:val="20"/>
                <w:color w:val="auto"/>
              </w:rPr>
            </w:pPr>
            <w:r>
              <w:rPr>
                <w:rFonts w:ascii="Arial" w:cs="Arial" w:eastAsia="Arial" w:hAnsi="Arial"/>
                <w:sz w:val="14"/>
                <w:szCs w:val="14"/>
                <w:b w:val="1"/>
                <w:bCs w:val="1"/>
                <w:color w:val="auto"/>
              </w:rPr>
              <w:t>in Active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left="109"/>
              <w:spacing w:after="0"/>
              <w:rPr>
                <w:sz w:val="20"/>
                <w:szCs w:val="20"/>
                <w:color w:val="auto"/>
              </w:rPr>
            </w:pPr>
            <w:r>
              <w:rPr>
                <w:rFonts w:ascii="Arial" w:cs="Arial" w:eastAsia="Arial" w:hAnsi="Arial"/>
                <w:sz w:val="14"/>
                <w:szCs w:val="14"/>
                <w:b w:val="1"/>
                <w:bCs w:val="1"/>
                <w:color w:val="auto"/>
              </w:rPr>
              <w:t>Markets for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r>
      <w:tr>
        <w:trPr>
          <w:trHeight w:val="168"/>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b w:val="1"/>
                <w:bCs w:val="1"/>
                <w:color w:val="auto"/>
              </w:rPr>
              <w:t>Carrying Value at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left="109"/>
              <w:spacing w:after="0"/>
              <w:rPr>
                <w:sz w:val="20"/>
                <w:szCs w:val="20"/>
                <w:color w:val="auto"/>
              </w:rPr>
            </w:pPr>
            <w:r>
              <w:rPr>
                <w:rFonts w:ascii="Arial" w:cs="Arial" w:eastAsia="Arial" w:hAnsi="Arial"/>
                <w:sz w:val="14"/>
                <w:szCs w:val="14"/>
                <w:b w:val="1"/>
                <w:bCs w:val="1"/>
                <w:color w:val="auto"/>
              </w:rPr>
              <w:t>Identical Assets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 Inputs</w:t>
            </w:r>
          </w:p>
        </w:tc>
      </w:tr>
      <w:tr>
        <w:trPr>
          <w:trHeight w:val="195"/>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left="109"/>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3)</w:t>
            </w:r>
          </w:p>
        </w:tc>
      </w:tr>
      <w:tr>
        <w:trPr>
          <w:trHeight w:val="17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7"/>
          </w:tcPr>
          <w:p>
            <w:pPr>
              <w:ind w:left="1020"/>
              <w:spacing w:after="0"/>
              <w:rPr>
                <w:sz w:val="20"/>
                <w:szCs w:val="20"/>
                <w:color w:val="auto"/>
              </w:rPr>
            </w:pPr>
            <w:r>
              <w:rPr>
                <w:rFonts w:ascii="Arial" w:cs="Arial" w:eastAsia="Arial" w:hAnsi="Arial"/>
                <w:sz w:val="13"/>
                <w:szCs w:val="13"/>
                <w:i w:val="1"/>
                <w:iCs w:val="1"/>
                <w:color w:val="auto"/>
              </w:rPr>
              <w:t>(Dollars in thousands)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assets</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Investment securities - AFS: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3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2,633,021</w:t>
            </w:r>
          </w:p>
        </w:tc>
        <w:tc>
          <w:tcPr>
            <w:tcW w:w="1660" w:type="dxa"/>
            <w:vAlign w:val="bottom"/>
            <w:gridSpan w:val="3"/>
            <w:shd w:val="clear" w:color="auto" w:fill="CFF0FC"/>
          </w:tcPr>
          <w:p>
            <w:pPr>
              <w:jc w:val="right"/>
              <w:ind w:right="1189"/>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2,633,021</w:t>
            </w:r>
          </w:p>
        </w:tc>
        <w:tc>
          <w:tcPr>
            <w:tcW w:w="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440" w:type="dxa"/>
            <w:vAlign w:val="bottom"/>
          </w:tcPr>
          <w:p>
            <w:pPr>
              <w:ind w:left="260"/>
              <w:spacing w:after="0"/>
              <w:rPr>
                <w:sz w:val="20"/>
                <w:szCs w:val="20"/>
                <w:color w:val="auto"/>
              </w:rPr>
            </w:pPr>
            <w:r>
              <w:rPr>
                <w:rFonts w:ascii="Arial" w:cs="Arial" w:eastAsia="Arial" w:hAnsi="Arial"/>
                <w:sz w:val="14"/>
                <w:szCs w:val="14"/>
                <w:color w:val="auto"/>
              </w:rPr>
              <w:t>CMO/REMIC</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408,459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408,459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3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25,566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25,566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440" w:type="dxa"/>
            <w:vAlign w:val="bottom"/>
          </w:tcPr>
          <w:p>
            <w:pPr>
              <w:ind w:left="260"/>
              <w:spacing w:after="0"/>
              <w:rPr>
                <w:sz w:val="20"/>
                <w:szCs w:val="20"/>
                <w:color w:val="auto"/>
              </w:rPr>
            </w:pPr>
            <w:r>
              <w:rPr>
                <w:rFonts w:ascii="Arial" w:cs="Arial" w:eastAsia="Arial" w:hAnsi="Arial"/>
                <w:sz w:val="14"/>
                <w:szCs w:val="14"/>
                <w:color w:val="auto"/>
              </w:rPr>
              <w:t>Other securities</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34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investment securities - AFS</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3,068,151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3,068,151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72"/>
        </w:trPr>
        <w:tc>
          <w:tcPr>
            <w:tcW w:w="3440" w:type="dxa"/>
            <w:vAlign w:val="bottom"/>
          </w:tcPr>
          <w:p>
            <w:pPr>
              <w:ind w:left="180"/>
              <w:spacing w:after="0"/>
              <w:rPr>
                <w:sz w:val="20"/>
                <w:szCs w:val="20"/>
                <w:color w:val="auto"/>
              </w:rPr>
            </w:pPr>
            <w:r>
              <w:rPr>
                <w:rFonts w:ascii="Arial" w:cs="Arial" w:eastAsia="Arial" w:hAnsi="Arial"/>
                <w:sz w:val="14"/>
                <w:szCs w:val="14"/>
                <w:color w:val="auto"/>
              </w:rPr>
              <w:t>Derivatives not designated as hedging</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440" w:type="dxa"/>
            <w:vAlign w:val="bottom"/>
          </w:tcPr>
          <w:p>
            <w:pPr>
              <w:ind w:left="180"/>
              <w:spacing w:after="0"/>
              <w:rPr>
                <w:sz w:val="20"/>
                <w:szCs w:val="20"/>
                <w:color w:val="auto"/>
              </w:rPr>
            </w:pPr>
            <w:r>
              <w:rPr>
                <w:rFonts w:ascii="Arial" w:cs="Arial" w:eastAsia="Arial" w:hAnsi="Arial"/>
                <w:sz w:val="14"/>
                <w:szCs w:val="14"/>
                <w:color w:val="auto"/>
              </w:rPr>
              <w:t>instruments: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34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Interest rate swaps</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95"/>
        </w:trPr>
        <w:tc>
          <w:tcPr>
            <w:tcW w:w="3440" w:type="dxa"/>
            <w:vAlign w:val="bottom"/>
          </w:tcPr>
          <w:p>
            <w:pPr>
              <w:ind w:left="180"/>
              <w:spacing w:after="0"/>
              <w:rPr>
                <w:sz w:val="20"/>
                <w:szCs w:val="20"/>
                <w:color w:val="auto"/>
              </w:rPr>
            </w:pPr>
            <w:r>
              <w:rPr>
                <w:rFonts w:ascii="Arial" w:cs="Arial" w:eastAsia="Arial" w:hAnsi="Arial"/>
                <w:sz w:val="14"/>
                <w:szCs w:val="14"/>
                <w:color w:val="auto"/>
              </w:rPr>
              <w:t>Derivatives designated as hedging instruments: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4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Interest rate swaps</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11,129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11,129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4"/>
        </w:trPr>
        <w:tc>
          <w:tcPr>
            <w:tcW w:w="344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3,079,351</w:t>
            </w:r>
          </w:p>
        </w:tc>
        <w:tc>
          <w:tcPr>
            <w:tcW w:w="100" w:type="dxa"/>
            <w:vAlign w:val="bottom"/>
          </w:tcPr>
          <w:p>
            <w:pPr>
              <w:spacing w:after="0"/>
              <w:rPr>
                <w:sz w:val="17"/>
                <w:szCs w:val="17"/>
                <w:color w:val="auto"/>
              </w:rPr>
            </w:pPr>
          </w:p>
        </w:tc>
        <w:tc>
          <w:tcPr>
            <w:tcW w:w="1560" w:type="dxa"/>
            <w:vAlign w:val="bottom"/>
            <w:gridSpan w:val="2"/>
          </w:tcPr>
          <w:p>
            <w:pPr>
              <w:jc w:val="right"/>
              <w:ind w:right="118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3,079,351</w:t>
            </w:r>
          </w:p>
        </w:tc>
        <w:tc>
          <w:tcPr>
            <w:tcW w:w="80" w:type="dxa"/>
            <w:vAlign w:val="bottom"/>
          </w:tcPr>
          <w:p>
            <w:pPr>
              <w:spacing w:after="0"/>
              <w:rPr>
                <w:sz w:val="17"/>
                <w:szCs w:val="17"/>
                <w:color w:val="auto"/>
              </w:rPr>
            </w:pPr>
          </w:p>
        </w:tc>
        <w:tc>
          <w:tcPr>
            <w:tcW w:w="44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liability</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Arial" w:cs="Arial" w:eastAsia="Arial" w:hAnsi="Arial"/>
                <w:sz w:val="14"/>
                <w:szCs w:val="14"/>
                <w:color w:val="auto"/>
              </w:rPr>
              <w:t>Derivatives not designated as hedging</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440" w:type="dxa"/>
            <w:vAlign w:val="bottom"/>
          </w:tcPr>
          <w:p>
            <w:pPr>
              <w:ind w:left="180"/>
              <w:spacing w:after="0"/>
              <w:rPr>
                <w:sz w:val="20"/>
                <w:szCs w:val="20"/>
                <w:color w:val="auto"/>
              </w:rPr>
            </w:pPr>
            <w:r>
              <w:rPr>
                <w:rFonts w:ascii="Arial" w:cs="Arial" w:eastAsia="Arial" w:hAnsi="Arial"/>
                <w:sz w:val="14"/>
                <w:szCs w:val="14"/>
                <w:color w:val="auto"/>
              </w:rPr>
              <w:t>instruments: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4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660" w:type="dxa"/>
            <w:vAlign w:val="bottom"/>
            <w:gridSpan w:val="3"/>
            <w:shd w:val="clear" w:color="auto" w:fill="CFF0FC"/>
          </w:tcPr>
          <w:p>
            <w:pPr>
              <w:jc w:val="right"/>
              <w:ind w:right="1189"/>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204"/>
        </w:trPr>
        <w:tc>
          <w:tcPr>
            <w:tcW w:w="344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560" w:type="dxa"/>
            <w:vAlign w:val="bottom"/>
            <w:gridSpan w:val="2"/>
          </w:tcPr>
          <w:p>
            <w:pPr>
              <w:jc w:val="right"/>
              <w:ind w:right="118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7"/>
                <w:szCs w:val="17"/>
                <w:color w:val="auto"/>
              </w:rPr>
            </w:pPr>
          </w:p>
        </w:tc>
        <w:tc>
          <w:tcPr>
            <w:tcW w:w="44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gridSpan w:val="3"/>
          </w:tcPr>
          <w:p>
            <w:pPr>
              <w:jc w:val="right"/>
              <w:ind w:right="1209"/>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34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ectPr>
          <w:pgSz w:w="11900" w:h="16840" w:orient="portrait"/>
          <w:cols w:equalWidth="0" w:num="1">
            <w:col w:w="10560"/>
          </w:cols>
          <w:pgMar w:left="660" w:top="962" w:right="680"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left="109"/>
              <w:spacing w:after="0"/>
              <w:rPr>
                <w:sz w:val="20"/>
                <w:szCs w:val="20"/>
                <w:color w:val="auto"/>
              </w:rPr>
            </w:pPr>
            <w:r>
              <w:rPr>
                <w:rFonts w:ascii="Arial" w:cs="Arial" w:eastAsia="Arial" w:hAnsi="Arial"/>
                <w:sz w:val="14"/>
                <w:szCs w:val="14"/>
                <w:b w:val="1"/>
                <w:bCs w:val="1"/>
                <w:color w:val="auto"/>
              </w:rPr>
              <w:t>Quoted Prices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29"/>
              <w:spacing w:after="0"/>
              <w:rPr>
                <w:sz w:val="20"/>
                <w:szCs w:val="20"/>
                <w:color w:val="auto"/>
              </w:rPr>
            </w:pPr>
            <w:r>
              <w:rPr>
                <w:rFonts w:ascii="Arial" w:cs="Arial" w:eastAsia="Arial" w:hAnsi="Arial"/>
                <w:sz w:val="14"/>
                <w:szCs w:val="14"/>
                <w:b w:val="1"/>
                <w:bCs w:val="1"/>
                <w:color w:val="auto"/>
              </w:rPr>
              <w:t>in Active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left="109"/>
              <w:spacing w:after="0"/>
              <w:rPr>
                <w:sz w:val="20"/>
                <w:szCs w:val="20"/>
                <w:color w:val="auto"/>
              </w:rPr>
            </w:pPr>
            <w:r>
              <w:rPr>
                <w:rFonts w:ascii="Arial" w:cs="Arial" w:eastAsia="Arial" w:hAnsi="Arial"/>
                <w:sz w:val="14"/>
                <w:szCs w:val="14"/>
                <w:b w:val="1"/>
                <w:bCs w:val="1"/>
                <w:color w:val="auto"/>
              </w:rPr>
              <w:t>Markets for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r>
      <w:tr>
        <w:trPr>
          <w:trHeight w:val="168"/>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b w:val="1"/>
                <w:bCs w:val="1"/>
                <w:color w:val="auto"/>
              </w:rPr>
              <w:t>Carrying Value at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left="109"/>
              <w:spacing w:after="0"/>
              <w:rPr>
                <w:sz w:val="20"/>
                <w:szCs w:val="20"/>
                <w:color w:val="auto"/>
              </w:rPr>
            </w:pPr>
            <w:r>
              <w:rPr>
                <w:rFonts w:ascii="Arial" w:cs="Arial" w:eastAsia="Arial" w:hAnsi="Arial"/>
                <w:sz w:val="14"/>
                <w:szCs w:val="14"/>
                <w:b w:val="1"/>
                <w:bCs w:val="1"/>
                <w:color w:val="auto"/>
              </w:rPr>
              <w:t>Identical Assets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 Inputs</w:t>
            </w:r>
          </w:p>
        </w:tc>
      </w:tr>
      <w:tr>
        <w:trPr>
          <w:trHeight w:val="195"/>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left="109"/>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3)</w:t>
            </w:r>
          </w:p>
        </w:tc>
      </w:tr>
      <w:tr>
        <w:trPr>
          <w:trHeight w:val="17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7"/>
          </w:tcPr>
          <w:p>
            <w:pPr>
              <w:ind w:left="1020"/>
              <w:spacing w:after="0"/>
              <w:rPr>
                <w:sz w:val="20"/>
                <w:szCs w:val="20"/>
                <w:color w:val="auto"/>
              </w:rPr>
            </w:pPr>
            <w:r>
              <w:rPr>
                <w:rFonts w:ascii="Arial" w:cs="Arial" w:eastAsia="Arial" w:hAnsi="Arial"/>
                <w:sz w:val="13"/>
                <w:szCs w:val="13"/>
                <w:i w:val="1"/>
                <w:iCs w:val="1"/>
                <w:color w:val="auto"/>
              </w:rPr>
              <w:t>(Dollars in thousands)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assets</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6"/>
        </w:trPr>
        <w:tc>
          <w:tcPr>
            <w:tcW w:w="3440" w:type="dxa"/>
            <w:vAlign w:val="bottom"/>
          </w:tcPr>
          <w:p>
            <w:pPr>
              <w:ind w:left="180"/>
              <w:spacing w:after="0"/>
              <w:rPr>
                <w:sz w:val="20"/>
                <w:szCs w:val="20"/>
                <w:color w:val="auto"/>
              </w:rPr>
            </w:pPr>
            <w:r>
              <w:rPr>
                <w:rFonts w:ascii="Arial" w:cs="Arial" w:eastAsia="Arial" w:hAnsi="Arial"/>
                <w:sz w:val="14"/>
                <w:szCs w:val="14"/>
                <w:color w:val="auto"/>
              </w:rPr>
              <w:t>Investment securities - AFS: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2"/>
        </w:trPr>
        <w:tc>
          <w:tcPr>
            <w:tcW w:w="3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4"/>
        </w:trPr>
        <w:tc>
          <w:tcPr>
            <w:tcW w:w="3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2,789,141</w:t>
            </w:r>
          </w:p>
        </w:tc>
        <w:tc>
          <w:tcPr>
            <w:tcW w:w="1660" w:type="dxa"/>
            <w:vAlign w:val="bottom"/>
            <w:gridSpan w:val="3"/>
            <w:shd w:val="clear" w:color="auto" w:fill="CFF0FC"/>
          </w:tcPr>
          <w:p>
            <w:pPr>
              <w:jc w:val="right"/>
              <w:ind w:right="1189"/>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2,789,141</w:t>
            </w:r>
          </w:p>
        </w:tc>
        <w:tc>
          <w:tcPr>
            <w:tcW w:w="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440" w:type="dxa"/>
            <w:vAlign w:val="bottom"/>
          </w:tcPr>
          <w:p>
            <w:pPr>
              <w:ind w:left="260"/>
              <w:spacing w:after="0"/>
              <w:rPr>
                <w:sz w:val="20"/>
                <w:szCs w:val="20"/>
                <w:color w:val="auto"/>
              </w:rPr>
            </w:pPr>
            <w:r>
              <w:rPr>
                <w:rFonts w:ascii="Arial" w:cs="Arial" w:eastAsia="Arial" w:hAnsi="Arial"/>
                <w:sz w:val="14"/>
                <w:szCs w:val="14"/>
                <w:color w:val="auto"/>
              </w:rPr>
              <w:t>CMO/REMIC</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439,303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439,303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3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25,687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25,687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440" w:type="dxa"/>
            <w:vAlign w:val="bottom"/>
          </w:tcPr>
          <w:p>
            <w:pPr>
              <w:ind w:left="260"/>
              <w:spacing w:after="0"/>
              <w:rPr>
                <w:sz w:val="20"/>
                <w:szCs w:val="20"/>
                <w:color w:val="auto"/>
              </w:rPr>
            </w:pPr>
            <w:r>
              <w:rPr>
                <w:rFonts w:ascii="Arial" w:cs="Arial" w:eastAsia="Arial" w:hAnsi="Arial"/>
                <w:sz w:val="14"/>
                <w:szCs w:val="14"/>
                <w:color w:val="auto"/>
              </w:rPr>
              <w:t>Other securities</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34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investment securities - AFS</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3,255,211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3,255,211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72"/>
        </w:trPr>
        <w:tc>
          <w:tcPr>
            <w:tcW w:w="3440" w:type="dxa"/>
            <w:vAlign w:val="bottom"/>
          </w:tcPr>
          <w:p>
            <w:pPr>
              <w:ind w:left="180"/>
              <w:spacing w:after="0"/>
              <w:rPr>
                <w:sz w:val="20"/>
                <w:szCs w:val="20"/>
                <w:color w:val="auto"/>
              </w:rPr>
            </w:pPr>
            <w:r>
              <w:rPr>
                <w:rFonts w:ascii="Arial" w:cs="Arial" w:eastAsia="Arial" w:hAnsi="Arial"/>
                <w:sz w:val="14"/>
                <w:szCs w:val="14"/>
                <w:color w:val="auto"/>
              </w:rPr>
              <w:t>Derivatives not designated as hedging</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440" w:type="dxa"/>
            <w:vAlign w:val="bottom"/>
          </w:tcPr>
          <w:p>
            <w:pPr>
              <w:ind w:left="180"/>
              <w:spacing w:after="0"/>
              <w:rPr>
                <w:sz w:val="20"/>
                <w:szCs w:val="20"/>
                <w:color w:val="auto"/>
              </w:rPr>
            </w:pPr>
            <w:r>
              <w:rPr>
                <w:rFonts w:ascii="Arial" w:cs="Arial" w:eastAsia="Arial" w:hAnsi="Arial"/>
                <w:sz w:val="14"/>
                <w:szCs w:val="14"/>
                <w:color w:val="auto"/>
              </w:rPr>
              <w:t>instruments: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34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rate swaps</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4"/>
        </w:trPr>
        <w:tc>
          <w:tcPr>
            <w:tcW w:w="344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3,255,293</w:t>
            </w:r>
          </w:p>
        </w:tc>
        <w:tc>
          <w:tcPr>
            <w:tcW w:w="100" w:type="dxa"/>
            <w:vAlign w:val="bottom"/>
          </w:tcPr>
          <w:p>
            <w:pPr>
              <w:spacing w:after="0"/>
              <w:rPr>
                <w:sz w:val="17"/>
                <w:szCs w:val="17"/>
                <w:color w:val="auto"/>
              </w:rPr>
            </w:pPr>
          </w:p>
        </w:tc>
        <w:tc>
          <w:tcPr>
            <w:tcW w:w="1560" w:type="dxa"/>
            <w:vAlign w:val="bottom"/>
            <w:gridSpan w:val="2"/>
          </w:tcPr>
          <w:p>
            <w:pPr>
              <w:jc w:val="right"/>
              <w:ind w:right="118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3,255,293</w:t>
            </w:r>
          </w:p>
        </w:tc>
        <w:tc>
          <w:tcPr>
            <w:tcW w:w="80" w:type="dxa"/>
            <w:vAlign w:val="bottom"/>
          </w:tcPr>
          <w:p>
            <w:pPr>
              <w:spacing w:after="0"/>
              <w:rPr>
                <w:sz w:val="17"/>
                <w:szCs w:val="17"/>
                <w:color w:val="auto"/>
              </w:rPr>
            </w:pPr>
          </w:p>
        </w:tc>
        <w:tc>
          <w:tcPr>
            <w:tcW w:w="44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liability</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2"/>
        </w:trPr>
        <w:tc>
          <w:tcPr>
            <w:tcW w:w="3440" w:type="dxa"/>
            <w:vAlign w:val="bottom"/>
          </w:tcPr>
          <w:p>
            <w:pPr>
              <w:ind w:left="180"/>
              <w:spacing w:after="0"/>
              <w:rPr>
                <w:sz w:val="20"/>
                <w:szCs w:val="20"/>
                <w:color w:val="auto"/>
              </w:rPr>
            </w:pPr>
            <w:r>
              <w:rPr>
                <w:rFonts w:ascii="Arial" w:cs="Arial" w:eastAsia="Arial" w:hAnsi="Arial"/>
                <w:sz w:val="14"/>
                <w:szCs w:val="14"/>
                <w:color w:val="auto"/>
              </w:rPr>
              <w:t>Derivatives not designated as hedging</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440" w:type="dxa"/>
            <w:vAlign w:val="bottom"/>
          </w:tcPr>
          <w:p>
            <w:pPr>
              <w:ind w:left="180"/>
              <w:spacing w:after="0"/>
              <w:rPr>
                <w:sz w:val="20"/>
                <w:szCs w:val="20"/>
                <w:color w:val="auto"/>
              </w:rPr>
            </w:pPr>
            <w:r>
              <w:rPr>
                <w:rFonts w:ascii="Arial" w:cs="Arial" w:eastAsia="Arial" w:hAnsi="Arial"/>
                <w:sz w:val="14"/>
                <w:szCs w:val="14"/>
                <w:color w:val="auto"/>
              </w:rPr>
              <w:t>instruments: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4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660" w:type="dxa"/>
            <w:vAlign w:val="bottom"/>
            <w:gridSpan w:val="3"/>
            <w:shd w:val="clear" w:color="auto" w:fill="CFF0FC"/>
          </w:tcPr>
          <w:p>
            <w:pPr>
              <w:jc w:val="right"/>
              <w:ind w:right="1189"/>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204"/>
        </w:trPr>
        <w:tc>
          <w:tcPr>
            <w:tcW w:w="344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1560" w:type="dxa"/>
            <w:vAlign w:val="bottom"/>
            <w:gridSpan w:val="2"/>
          </w:tcPr>
          <w:p>
            <w:pPr>
              <w:jc w:val="right"/>
              <w:ind w:right="118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7"/>
                <w:szCs w:val="17"/>
                <w:color w:val="auto"/>
              </w:rPr>
            </w:pPr>
          </w:p>
        </w:tc>
        <w:tc>
          <w:tcPr>
            <w:tcW w:w="44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gridSpan w:val="3"/>
          </w:tcPr>
          <w:p>
            <w:pPr>
              <w:jc w:val="right"/>
              <w:ind w:right="1209"/>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34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ectPr>
          <w:pgSz w:w="11900" w:h="16840" w:orient="portrait"/>
          <w:cols w:equalWidth="0" w:num="1">
            <w:col w:w="10560"/>
          </w:cols>
          <w:pgMar w:left="660" w:top="925" w:right="680"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Assets and Liabilities Measured at Fair Value on a Non-Recurring Basis</w:t>
      </w:r>
    </w:p>
    <w:p>
      <w:pPr>
        <w:spacing w:after="0" w:line="184" w:lineRule="exact"/>
        <w:rPr>
          <w:sz w:val="20"/>
          <w:szCs w:val="20"/>
          <w:color w:val="auto"/>
        </w:rPr>
      </w:pPr>
    </w:p>
    <w:p>
      <w:pPr>
        <w:ind w:right="260" w:firstLine="432"/>
        <w:spacing w:after="0" w:line="252" w:lineRule="auto"/>
        <w:rPr>
          <w:sz w:val="20"/>
          <w:szCs w:val="20"/>
          <w:color w:val="auto"/>
        </w:rPr>
      </w:pPr>
      <w:r>
        <w:rPr>
          <w:rFonts w:ascii="Arial" w:cs="Arial" w:eastAsia="Arial" w:hAnsi="Arial"/>
          <w:sz w:val="16"/>
          <w:szCs w:val="16"/>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54" w:lineRule="exact"/>
        <w:rPr>
          <w:sz w:val="20"/>
          <w:szCs w:val="20"/>
          <w:color w:val="auto"/>
        </w:rPr>
      </w:pPr>
    </w:p>
    <w:p>
      <w:pPr>
        <w:ind w:right="360" w:firstLine="432"/>
        <w:spacing w:after="0" w:line="243" w:lineRule="auto"/>
        <w:rPr>
          <w:sz w:val="20"/>
          <w:szCs w:val="20"/>
          <w:color w:val="auto"/>
        </w:rPr>
      </w:pPr>
      <w:r>
        <w:rPr>
          <w:rFonts w:ascii="Arial" w:cs="Arial" w:eastAsia="Arial" w:hAnsi="Arial"/>
          <w:sz w:val="16"/>
          <w:szCs w:val="16"/>
          <w:color w:val="auto"/>
        </w:rPr>
        <w:t>For assets measured at fair value on a non-recurring basis that were held on the balance sheet at June 30, 2023 and December 31, 2022, the following tables provide the level of valuation assumptions used to determine each adjustment and the carrying value of the related assets that had losses during the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Quoted Prices 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Active Markets for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rPr>
              <w:t>Total Losses For the</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Carrying Value at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Identical Assets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Observable Inputs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Unobservable Inputs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June 30, 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June 30, 2023</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4"/>
          </w:tcPr>
          <w:p>
            <w:pPr>
              <w:ind w:left="60"/>
              <w:spacing w:after="0"/>
              <w:rPr>
                <w:sz w:val="20"/>
                <w:szCs w:val="20"/>
                <w:color w:val="auto"/>
              </w:rPr>
            </w:pPr>
            <w:r>
              <w:rPr>
                <w:rFonts w:ascii="Arial" w:cs="Arial" w:eastAsia="Arial" w:hAnsi="Arial"/>
                <w:sz w:val="12"/>
                <w:szCs w:val="12"/>
                <w:i w:val="1"/>
                <w:iCs w:val="1"/>
                <w:color w:val="auto"/>
              </w:rPr>
              <w:t>(Dollars 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Description of assets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480" w:type="dxa"/>
            <w:vAlign w:val="bottom"/>
          </w:tcPr>
          <w:p>
            <w:pPr>
              <w:ind w:left="40"/>
              <w:spacing w:after="0"/>
              <w:rPr>
                <w:sz w:val="20"/>
                <w:szCs w:val="20"/>
                <w:color w:val="auto"/>
              </w:rPr>
            </w:pPr>
            <w:r>
              <w:rPr>
                <w:rFonts w:ascii="Arial" w:cs="Arial" w:eastAsia="Arial" w:hAnsi="Arial"/>
                <w:sz w:val="13"/>
                <w:szCs w:val="13"/>
                <w:color w:val="auto"/>
              </w:rPr>
              <w:t>Loans: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Commercial real estate</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2,141</w:t>
            </w:r>
          </w:p>
        </w:tc>
        <w:tc>
          <w:tcPr>
            <w:tcW w:w="10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2,141</w:t>
            </w:r>
          </w:p>
        </w:tc>
        <w:tc>
          <w:tcPr>
            <w:tcW w:w="1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13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Construction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0" w:type="dxa"/>
            <w:vAlign w:val="bottom"/>
            <w:shd w:val="clear" w:color="auto" w:fill="CFF0FC"/>
          </w:tcPr>
          <w:p>
            <w:pPr>
              <w:spacing w:after="0"/>
              <w:rPr>
                <w:sz w:val="17"/>
                <w:szCs w:val="17"/>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SBA</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SBA - PPP</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0" w:type="dxa"/>
            <w:vAlign w:val="bottom"/>
            <w:shd w:val="clear" w:color="auto" w:fill="CFF0FC"/>
          </w:tcPr>
          <w:p>
            <w:pPr>
              <w:spacing w:after="0"/>
              <w:rPr>
                <w:sz w:val="17"/>
                <w:szCs w:val="17"/>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Commercial and industrial</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1,088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1,051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Dairy &amp; livestock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480" w:type="dxa"/>
            <w:vAlign w:val="bottom"/>
          </w:tcPr>
          <w:p>
            <w:pPr>
              <w:jc w:val="center"/>
              <w:ind w:right="1074"/>
              <w:spacing w:after="0"/>
              <w:rPr>
                <w:sz w:val="20"/>
                <w:szCs w:val="20"/>
                <w:color w:val="auto"/>
              </w:rPr>
            </w:pPr>
            <w:r>
              <w:rPr>
                <w:rFonts w:ascii="Arial" w:cs="Arial" w:eastAsia="Arial" w:hAnsi="Arial"/>
                <w:sz w:val="13"/>
                <w:szCs w:val="13"/>
                <w:color w:val="auto"/>
              </w:rPr>
              <w:t>agribusiness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728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3"/>
                <w:szCs w:val="13"/>
                <w:color w:val="auto"/>
              </w:rPr>
              <w:t>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CFF0FC"/>
          </w:tcPr>
          <w:p>
            <w:pPr>
              <w:spacing w:after="0"/>
              <w:rPr>
                <w:sz w:val="14"/>
                <w:szCs w:val="14"/>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Municipal lease finance</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gridSpan w:val="2"/>
            <w:vMerge w:val="restart"/>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gridSpan w:val="3"/>
            <w:vMerge w:val="restart"/>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 w:type="dxa"/>
            <w:vAlign w:val="bottom"/>
            <w:shd w:val="clear" w:color="auto" w:fill="CFF0FC"/>
          </w:tcPr>
          <w:p>
            <w:pPr>
              <w:spacing w:after="0"/>
              <w:rPr>
                <w:sz w:val="15"/>
                <w:szCs w:val="15"/>
                <w:color w:val="auto"/>
              </w:rPr>
            </w:pPr>
          </w:p>
        </w:tc>
        <w:tc>
          <w:tcPr>
            <w:tcW w:w="24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receivables</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gridSpan w:val="3"/>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3"/>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SFR mortgage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0" w:type="dxa"/>
            <w:vAlign w:val="bottom"/>
            <w:shd w:val="clear" w:color="auto" w:fill="CFF0FC"/>
          </w:tcPr>
          <w:p>
            <w:pPr>
              <w:spacing w:after="0"/>
              <w:rPr>
                <w:sz w:val="17"/>
                <w:szCs w:val="17"/>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Consumer and other loans</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40"/>
              <w:spacing w:after="0"/>
              <w:rPr>
                <w:sz w:val="20"/>
                <w:szCs w:val="20"/>
                <w:color w:val="auto"/>
              </w:rPr>
            </w:pPr>
            <w:r>
              <w:rPr>
                <w:rFonts w:ascii="Arial" w:cs="Arial" w:eastAsia="Arial" w:hAnsi="Arial"/>
                <w:sz w:val="13"/>
                <w:szCs w:val="13"/>
                <w:color w:val="auto"/>
              </w:rPr>
              <w:t>Other real estate owned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0" w:type="dxa"/>
            <w:vAlign w:val="bottom"/>
            <w:shd w:val="clear" w:color="auto" w:fill="CFF0FC"/>
          </w:tcPr>
          <w:p>
            <w:pPr>
              <w:spacing w:after="0"/>
              <w:rPr>
                <w:sz w:val="17"/>
                <w:szCs w:val="17"/>
                <w:color w:val="auto"/>
              </w:rPr>
            </w:pPr>
          </w:p>
        </w:tc>
        <w:tc>
          <w:tcPr>
            <w:tcW w:w="2480" w:type="dxa"/>
            <w:vAlign w:val="bottom"/>
            <w:shd w:val="clear" w:color="auto" w:fill="CFF0FC"/>
          </w:tcPr>
          <w:p>
            <w:pPr>
              <w:ind w:left="40"/>
              <w:spacing w:after="0"/>
              <w:rPr>
                <w:sz w:val="20"/>
                <w:szCs w:val="20"/>
                <w:color w:val="auto"/>
              </w:rPr>
            </w:pPr>
            <w:r>
              <w:rPr>
                <w:rFonts w:ascii="Arial" w:cs="Arial" w:eastAsia="Arial" w:hAnsi="Arial"/>
                <w:sz w:val="13"/>
                <w:szCs w:val="13"/>
                <w:color w:val="auto"/>
              </w:rPr>
              <w:t>Asset held-for-sale</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480" w:type="dxa"/>
            <w:vAlign w:val="bottom"/>
          </w:tcPr>
          <w:p>
            <w:pPr>
              <w:ind w:left="440"/>
              <w:spacing w:after="0"/>
              <w:rPr>
                <w:sz w:val="20"/>
                <w:szCs w:val="20"/>
                <w:color w:val="auto"/>
              </w:rPr>
            </w:pPr>
            <w:r>
              <w:rPr>
                <w:rFonts w:ascii="Arial" w:cs="Arial" w:eastAsia="Arial" w:hAnsi="Arial"/>
                <w:sz w:val="13"/>
                <w:szCs w:val="13"/>
                <w:color w:val="auto"/>
              </w:rPr>
              <w:t>Total assets</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4,454</w:t>
            </w:r>
          </w:p>
        </w:tc>
        <w:tc>
          <w:tcPr>
            <w:tcW w:w="100" w:type="dxa"/>
            <w:vAlign w:val="bottom"/>
          </w:tcPr>
          <w:p>
            <w:pPr>
              <w:spacing w:after="0"/>
              <w:rPr>
                <w:sz w:val="17"/>
                <w:szCs w:val="17"/>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54"/>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4,454</w:t>
            </w:r>
          </w:p>
        </w:tc>
        <w:tc>
          <w:tcPr>
            <w:tcW w:w="100" w:type="dxa"/>
            <w:vAlign w:val="bottom"/>
          </w:tcPr>
          <w:p>
            <w:pPr>
              <w:spacing w:after="0"/>
              <w:rPr>
                <w:sz w:val="17"/>
                <w:szCs w:val="17"/>
                <w:color w:val="auto"/>
              </w:rPr>
            </w:pPr>
          </w:p>
        </w:tc>
        <w:tc>
          <w:tcPr>
            <w:tcW w:w="24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3"/>
                <w:szCs w:val="13"/>
                <w:color w:val="auto"/>
              </w:rPr>
              <w:t>1,234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Quoted Prices 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Active Markets for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Losses For the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Carrying Value at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Identical Assets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Observable Inputs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Unobservable Inputs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December 31, 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4"/>
          </w:tcPr>
          <w:p>
            <w:pPr>
              <w:ind w:left="60"/>
              <w:spacing w:after="0"/>
              <w:rPr>
                <w:sz w:val="20"/>
                <w:szCs w:val="20"/>
                <w:color w:val="auto"/>
              </w:rPr>
            </w:pPr>
            <w:r>
              <w:rPr>
                <w:rFonts w:ascii="Arial" w:cs="Arial" w:eastAsia="Arial" w:hAnsi="Arial"/>
                <w:sz w:val="12"/>
                <w:szCs w:val="12"/>
                <w:i w:val="1"/>
                <w:iCs w:val="1"/>
                <w:color w:val="auto"/>
              </w:rPr>
              <w:t>(Dollars 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480" w:type="dxa"/>
            <w:vAlign w:val="bottom"/>
            <w:shd w:val="clear" w:color="auto" w:fill="CFF0FC"/>
          </w:tcPr>
          <w:p>
            <w:pPr>
              <w:jc w:val="center"/>
              <w:ind w:right="1074"/>
              <w:spacing w:after="0"/>
              <w:rPr>
                <w:sz w:val="20"/>
                <w:szCs w:val="20"/>
                <w:color w:val="auto"/>
              </w:rPr>
            </w:pPr>
            <w:r>
              <w:rPr>
                <w:rFonts w:ascii="Arial" w:cs="Arial" w:eastAsia="Arial" w:hAnsi="Arial"/>
                <w:sz w:val="13"/>
                <w:szCs w:val="13"/>
                <w:b w:val="1"/>
                <w:bCs w:val="1"/>
                <w:color w:val="auto"/>
              </w:rPr>
              <w:t>Description of assets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3"/>
                <w:szCs w:val="13"/>
                <w:color w:val="auto"/>
              </w:rPr>
              <w:t>Loans: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Commercial real estate</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2,639</w:t>
            </w:r>
          </w:p>
        </w:tc>
        <w:tc>
          <w:tcPr>
            <w:tcW w:w="10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FF0FC"/>
          </w:tcPr>
          <w:p>
            <w:pPr>
              <w:jc w:val="right"/>
              <w:ind w:right="54"/>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2,639</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3"/>
                <w:szCs w:val="13"/>
                <w:color w:val="auto"/>
              </w:rPr>
              <w:t>Construction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SBA</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3"/>
                <w:szCs w:val="13"/>
                <w:color w:val="auto"/>
              </w:rPr>
              <w:t>SBA - PPP</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Commercial and industrial</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8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2480" w:type="dxa"/>
            <w:vAlign w:val="bottom"/>
          </w:tcPr>
          <w:p>
            <w:pPr>
              <w:ind w:left="240"/>
              <w:spacing w:after="0"/>
              <w:rPr>
                <w:sz w:val="20"/>
                <w:szCs w:val="20"/>
                <w:color w:val="auto"/>
              </w:rPr>
            </w:pPr>
            <w:r>
              <w:rPr>
                <w:rFonts w:ascii="Arial" w:cs="Arial" w:eastAsia="Arial" w:hAnsi="Arial"/>
                <w:sz w:val="13"/>
                <w:szCs w:val="13"/>
                <w:color w:val="auto"/>
              </w:rPr>
              <w:t>Dairy &amp; livestock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113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480" w:type="dxa"/>
            <w:vAlign w:val="bottom"/>
          </w:tcPr>
          <w:p>
            <w:pPr>
              <w:ind w:left="360"/>
              <w:spacing w:after="0"/>
              <w:rPr>
                <w:sz w:val="20"/>
                <w:szCs w:val="20"/>
                <w:color w:val="auto"/>
              </w:rPr>
            </w:pPr>
            <w:r>
              <w:rPr>
                <w:rFonts w:ascii="Arial" w:cs="Arial" w:eastAsia="Arial" w:hAnsi="Arial"/>
                <w:sz w:val="13"/>
                <w:szCs w:val="13"/>
                <w:color w:val="auto"/>
              </w:rPr>
              <w:t>agribusiness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Municipal lease finance</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gridSpan w:val="2"/>
            <w:vMerge w:val="restart"/>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gridSpan w:val="3"/>
            <w:vMerge w:val="restart"/>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480" w:type="dxa"/>
            <w:vAlign w:val="bottom"/>
            <w:shd w:val="clear" w:color="auto" w:fill="CFF0FC"/>
          </w:tcPr>
          <w:p>
            <w:pPr>
              <w:jc w:val="center"/>
              <w:ind w:right="1034"/>
              <w:spacing w:after="0"/>
              <w:rPr>
                <w:sz w:val="20"/>
                <w:szCs w:val="20"/>
                <w:color w:val="auto"/>
              </w:rPr>
            </w:pPr>
            <w:r>
              <w:rPr>
                <w:rFonts w:ascii="Arial" w:cs="Arial" w:eastAsia="Arial" w:hAnsi="Arial"/>
                <w:sz w:val="13"/>
                <w:szCs w:val="13"/>
                <w:color w:val="auto"/>
              </w:rPr>
              <w:t>receivables</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gridSpan w:val="3"/>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vMerge w:val="continue"/>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3"/>
                <w:szCs w:val="13"/>
                <w:color w:val="auto"/>
              </w:rPr>
              <w:t>SFR mortgage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Consumer and other loans</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80"/>
              <w:spacing w:after="0"/>
              <w:rPr>
                <w:sz w:val="20"/>
                <w:szCs w:val="20"/>
                <w:color w:val="auto"/>
              </w:rPr>
            </w:pPr>
            <w:r>
              <w:rPr>
                <w:rFonts w:ascii="Arial" w:cs="Arial" w:eastAsia="Arial" w:hAnsi="Arial"/>
                <w:sz w:val="13"/>
                <w:szCs w:val="13"/>
                <w:color w:val="auto"/>
              </w:rPr>
              <w:t>Other real estate owned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2480" w:type="dxa"/>
            <w:vAlign w:val="bottom"/>
            <w:shd w:val="clear" w:color="auto" w:fill="CFF0FC"/>
          </w:tcPr>
          <w:p>
            <w:pPr>
              <w:ind w:left="80"/>
              <w:spacing w:after="0"/>
              <w:rPr>
                <w:sz w:val="20"/>
                <w:szCs w:val="20"/>
                <w:color w:val="auto"/>
              </w:rPr>
            </w:pPr>
            <w:r>
              <w:rPr>
                <w:rFonts w:ascii="Arial" w:cs="Arial" w:eastAsia="Arial" w:hAnsi="Arial"/>
                <w:sz w:val="13"/>
                <w:szCs w:val="13"/>
                <w:color w:val="auto"/>
              </w:rPr>
              <w:t>Asset held-for-sale</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480" w:type="dxa"/>
            <w:vAlign w:val="bottom"/>
          </w:tcPr>
          <w:p>
            <w:pPr>
              <w:ind w:left="480"/>
              <w:spacing w:after="0"/>
              <w:rPr>
                <w:sz w:val="20"/>
                <w:szCs w:val="20"/>
                <w:color w:val="auto"/>
              </w:rPr>
            </w:pPr>
            <w:r>
              <w:rPr>
                <w:rFonts w:ascii="Arial" w:cs="Arial" w:eastAsia="Arial" w:hAnsi="Arial"/>
                <w:sz w:val="13"/>
                <w:szCs w:val="13"/>
                <w:color w:val="auto"/>
              </w:rPr>
              <w:t>Total assets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3,526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54"/>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3,526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ind w:left="88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EEEEEE"/>
            </w:tcBorders>
          </w:tcPr>
          <w:p>
            <w:pPr>
              <w:spacing w:after="0"/>
              <w:rPr>
                <w:sz w:val="24"/>
                <w:szCs w:val="24"/>
                <w:color w:val="auto"/>
              </w:rPr>
            </w:pPr>
          </w:p>
        </w:tc>
        <w:tc>
          <w:tcPr>
            <w:tcW w:w="24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782" w:right="680"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84" w:lineRule="exact"/>
        <w:rPr>
          <w:sz w:val="20"/>
          <w:szCs w:val="20"/>
          <w:color w:val="auto"/>
        </w:rPr>
      </w:pPr>
    </w:p>
    <w:p>
      <w:pPr>
        <w:ind w:right="60" w:firstLine="432"/>
        <w:spacing w:after="0" w:line="239" w:lineRule="auto"/>
        <w:rPr>
          <w:sz w:val="20"/>
          <w:szCs w:val="20"/>
          <w:color w:val="auto"/>
        </w:rPr>
      </w:pPr>
      <w:r>
        <w:rPr>
          <w:rFonts w:ascii="Arial" w:cs="Arial" w:eastAsia="Arial" w:hAnsi="Arial"/>
          <w:sz w:val="16"/>
          <w:szCs w:val="16"/>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June 30, 2023 and December 31, 2022, respectively. The use of different market assumptions and/or estimation methodologies may have a material effect on the estimated fair value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2023</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182"/>
              <w:spacing w:after="0"/>
              <w:rPr>
                <w:sz w:val="20"/>
                <w:szCs w:val="20"/>
                <w:color w:val="auto"/>
              </w:rPr>
            </w:pPr>
            <w:r>
              <w:rPr>
                <w:rFonts w:ascii="Arial" w:cs="Arial" w:eastAsia="Arial" w:hAnsi="Arial"/>
                <w:sz w:val="16"/>
                <w:szCs w:val="16"/>
                <w:b w:val="1"/>
                <w:bCs w:val="1"/>
                <w:color w:val="auto"/>
              </w:rPr>
              <w:t>Carrying</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gridSpan w:val="3"/>
          </w:tcPr>
          <w:p>
            <w:pPr>
              <w:jc w:val="right"/>
              <w:ind w:right="462"/>
              <w:spacing w:after="0"/>
              <w:rPr>
                <w:sz w:val="20"/>
                <w:szCs w:val="20"/>
                <w:color w:val="auto"/>
              </w:rPr>
            </w:pPr>
            <w:r>
              <w:rPr>
                <w:rFonts w:ascii="Arial" w:cs="Arial" w:eastAsia="Arial" w:hAnsi="Arial"/>
                <w:sz w:val="16"/>
                <w:szCs w:val="16"/>
                <w:b w:val="1"/>
                <w:bCs w:val="1"/>
                <w:color w:val="auto"/>
              </w:rPr>
              <w:t>Estimated Fair Value</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202"/>
              <w:spacing w:after="0"/>
              <w:rPr>
                <w:sz w:val="20"/>
                <w:szCs w:val="20"/>
                <w:color w:val="auto"/>
              </w:rPr>
            </w:pPr>
            <w:r>
              <w:rPr>
                <w:rFonts w:ascii="Arial" w:cs="Arial" w:eastAsia="Arial" w:hAnsi="Arial"/>
                <w:sz w:val="16"/>
                <w:szCs w:val="16"/>
                <w:b w:val="1"/>
                <w:bCs w:val="1"/>
                <w:color w:val="auto"/>
              </w:rPr>
              <w:t>Amount</w:t>
            </w:r>
          </w:p>
        </w:tc>
        <w:tc>
          <w:tcPr>
            <w:tcW w:w="420" w:type="dxa"/>
            <w:vAlign w:val="bottom"/>
          </w:tcPr>
          <w:p>
            <w:pPr>
              <w:spacing w:after="0"/>
              <w:rPr>
                <w:sz w:val="17"/>
                <w:szCs w:val="17"/>
                <w:color w:val="auto"/>
              </w:rPr>
            </w:pPr>
          </w:p>
        </w:tc>
        <w:tc>
          <w:tcPr>
            <w:tcW w:w="920" w:type="dxa"/>
            <w:vAlign w:val="bottom"/>
          </w:tcPr>
          <w:p>
            <w:pPr>
              <w:jc w:val="right"/>
              <w:ind w:right="242"/>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7"/>
                <w:szCs w:val="17"/>
                <w:color w:val="auto"/>
              </w:rPr>
            </w:pPr>
          </w:p>
        </w:tc>
        <w:tc>
          <w:tcPr>
            <w:tcW w:w="980" w:type="dxa"/>
            <w:vAlign w:val="bottom"/>
          </w:tcPr>
          <w:p>
            <w:pPr>
              <w:jc w:val="right"/>
              <w:ind w:right="302"/>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7"/>
                <w:szCs w:val="17"/>
                <w:color w:val="auto"/>
              </w:rPr>
            </w:pPr>
          </w:p>
        </w:tc>
        <w:tc>
          <w:tcPr>
            <w:tcW w:w="960" w:type="dxa"/>
            <w:vAlign w:val="bottom"/>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Total cash and cash equivalents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618,355</w:t>
            </w:r>
          </w:p>
        </w:tc>
        <w:tc>
          <w:tcPr>
            <w:tcW w:w="4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618,355</w:t>
            </w:r>
          </w:p>
        </w:tc>
        <w:tc>
          <w:tcPr>
            <w:tcW w:w="420" w:type="dxa"/>
            <w:vAlign w:val="bottom"/>
          </w:tcPr>
          <w:p>
            <w:pPr>
              <w:ind w:lef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618,355</w:t>
            </w:r>
          </w:p>
        </w:tc>
        <w:tc>
          <w:tcPr>
            <w:tcW w:w="0" w:type="dxa"/>
            <w:vAlign w:val="bottom"/>
          </w:tcPr>
          <w:p>
            <w:pPr>
              <w:spacing w:after="0"/>
              <w:rPr>
                <w:sz w:val="1"/>
                <w:szCs w:val="1"/>
                <w:color w:val="auto"/>
              </w:rPr>
            </w:pPr>
          </w:p>
        </w:tc>
      </w:tr>
      <w:tr>
        <w:trPr>
          <w:trHeight w:val="186"/>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w:t>
            </w:r>
          </w:p>
        </w:tc>
        <w:tc>
          <w:tcPr>
            <w:tcW w:w="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depository institutions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30,478</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30,478</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30,478</w:t>
            </w:r>
          </w:p>
        </w:tc>
        <w:tc>
          <w:tcPr>
            <w:tcW w:w="0" w:type="dxa"/>
            <w:vAlign w:val="bottom"/>
          </w:tcPr>
          <w:p>
            <w:pPr>
              <w:spacing w:after="0"/>
              <w:rPr>
                <w:sz w:val="1"/>
                <w:szCs w:val="1"/>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3,068,151</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3,068,151</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3,068,151</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 held-to-maturity</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2,512,707</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2,108,653</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2,108,653</w:t>
            </w:r>
          </w:p>
        </w:tc>
        <w:tc>
          <w:tcPr>
            <w:tcW w:w="0" w:type="dxa"/>
            <w:vAlign w:val="bottom"/>
          </w:tcPr>
          <w:p>
            <w:pPr>
              <w:spacing w:after="0"/>
              <w:rPr>
                <w:sz w:val="1"/>
                <w:szCs w:val="1"/>
                <w:color w:val="auto"/>
              </w:rPr>
            </w:pPr>
          </w:p>
        </w:tc>
      </w:tr>
      <w:tr>
        <w:trPr>
          <w:trHeight w:val="185"/>
        </w:trPr>
        <w:tc>
          <w:tcPr>
            <w:tcW w:w="3880" w:type="dxa"/>
            <w:vAlign w:val="bottom"/>
          </w:tcPr>
          <w:p>
            <w:pPr>
              <w:ind w:left="180"/>
              <w:spacing w:after="0"/>
              <w:rPr>
                <w:sz w:val="20"/>
                <w:szCs w:val="20"/>
                <w:color w:val="auto"/>
              </w:rPr>
            </w:pPr>
            <w:r>
              <w:rPr>
                <w:rFonts w:ascii="Arial" w:cs="Arial" w:eastAsia="Arial" w:hAnsi="Arial"/>
                <w:sz w:val="16"/>
                <w:szCs w:val="16"/>
                <w:color w:val="auto"/>
              </w:rPr>
              <w:t>Total loans, net of allowance for credit</w:t>
            </w:r>
          </w:p>
        </w:tc>
        <w:tc>
          <w:tcPr>
            <w:tcW w:w="3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8,820,430</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restart"/>
          </w:tcPr>
          <w:p>
            <w:pPr>
              <w:jc w:val="right"/>
              <w:ind w:right="62"/>
              <w:spacing w:after="0"/>
              <w:rPr>
                <w:sz w:val="20"/>
                <w:szCs w:val="20"/>
                <w:color w:val="auto"/>
              </w:rPr>
            </w:pPr>
            <w:r>
              <w:rPr>
                <w:rFonts w:ascii="Arial" w:cs="Arial" w:eastAsia="Arial" w:hAnsi="Arial"/>
                <w:sz w:val="16"/>
                <w:szCs w:val="16"/>
                <w:color w:val="auto"/>
              </w:rPr>
              <w:t>8,057,666</w:t>
            </w:r>
          </w:p>
        </w:tc>
        <w:tc>
          <w:tcPr>
            <w:tcW w:w="360" w:type="dxa"/>
            <w:vAlign w:val="bottom"/>
          </w:tcPr>
          <w:p>
            <w:pPr>
              <w:spacing w:after="0"/>
              <w:rPr>
                <w:sz w:val="16"/>
                <w:szCs w:val="16"/>
                <w:color w:val="auto"/>
              </w:rPr>
            </w:pPr>
          </w:p>
        </w:tc>
        <w:tc>
          <w:tcPr>
            <w:tcW w:w="960" w:type="dxa"/>
            <w:vAlign w:val="bottom"/>
            <w:vMerge w:val="restart"/>
          </w:tcPr>
          <w:p>
            <w:pPr>
              <w:jc w:val="right"/>
              <w:ind w:right="22"/>
              <w:spacing w:after="0"/>
              <w:rPr>
                <w:sz w:val="20"/>
                <w:szCs w:val="20"/>
                <w:color w:val="auto"/>
              </w:rPr>
            </w:pPr>
            <w:r>
              <w:rPr>
                <w:rFonts w:ascii="Arial" w:cs="Arial" w:eastAsia="Arial" w:hAnsi="Arial"/>
                <w:sz w:val="16"/>
                <w:szCs w:val="16"/>
                <w:color w:val="auto"/>
              </w:rPr>
              <w:t>8,057,666</w:t>
            </w:r>
          </w:p>
        </w:tc>
        <w:tc>
          <w:tcPr>
            <w:tcW w:w="0" w:type="dxa"/>
            <w:vAlign w:val="bottom"/>
          </w:tcPr>
          <w:p>
            <w:pPr>
              <w:spacing w:after="0"/>
              <w:rPr>
                <w:sz w:val="1"/>
                <w:szCs w:val="1"/>
                <w:color w:val="auto"/>
              </w:rPr>
            </w:pPr>
          </w:p>
        </w:tc>
      </w:tr>
      <w:tr>
        <w:trPr>
          <w:trHeight w:val="198"/>
        </w:trPr>
        <w:tc>
          <w:tcPr>
            <w:tcW w:w="3880" w:type="dxa"/>
            <w:vAlign w:val="bottom"/>
          </w:tcPr>
          <w:p>
            <w:pPr>
              <w:ind w:left="300"/>
              <w:spacing w:after="0"/>
              <w:rPr>
                <w:sz w:val="20"/>
                <w:szCs w:val="20"/>
                <w:color w:val="auto"/>
              </w:rPr>
            </w:pPr>
            <w:r>
              <w:rPr>
                <w:rFonts w:ascii="Arial" w:cs="Arial" w:eastAsia="Arial" w:hAnsi="Arial"/>
                <w:sz w:val="16"/>
                <w:szCs w:val="16"/>
                <w:color w:val="auto"/>
              </w:rPr>
              <w:t>losses</w:t>
            </w:r>
          </w:p>
        </w:tc>
        <w:tc>
          <w:tcPr>
            <w:tcW w:w="3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34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71</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Derivatives designated as hedging instruments: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34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11,129</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11,129</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11,129</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Interest-bearing</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4,518,711</w:t>
            </w:r>
          </w:p>
        </w:tc>
        <w:tc>
          <w:tcPr>
            <w:tcW w:w="4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4,512,855</w:t>
            </w:r>
          </w:p>
        </w:tc>
        <w:tc>
          <w:tcPr>
            <w:tcW w:w="2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4,512,855</w:t>
            </w:r>
          </w:p>
        </w:tc>
        <w:tc>
          <w:tcPr>
            <w:tcW w:w="0" w:type="dxa"/>
            <w:vAlign w:val="bottom"/>
          </w:tcPr>
          <w:p>
            <w:pPr>
              <w:spacing w:after="0"/>
              <w:rPr>
                <w:sz w:val="1"/>
                <w:szCs w:val="1"/>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Borrowings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1,947,373</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1,849,015</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1,849,015</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Junior subordinated debentures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Interest rate swaps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71</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70"/>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ind w:right="122"/>
              <w:spacing w:after="0"/>
              <w:rPr>
                <w:sz w:val="20"/>
                <w:szCs w:val="20"/>
                <w:color w:val="auto"/>
              </w:rPr>
            </w:pPr>
            <w:r>
              <w:rPr>
                <w:rFonts w:ascii="Arial" w:cs="Arial" w:eastAsia="Arial" w:hAnsi="Arial"/>
                <w:sz w:val="16"/>
                <w:szCs w:val="16"/>
                <w:color w:val="auto"/>
              </w:rPr>
              <w:t>32</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December 31, 2022</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2"/>
              <w:spacing w:after="0"/>
              <w:rPr>
                <w:sz w:val="20"/>
                <w:szCs w:val="20"/>
                <w:color w:val="auto"/>
              </w:rPr>
            </w:pPr>
            <w:r>
              <w:rPr>
                <w:rFonts w:ascii="Arial" w:cs="Arial" w:eastAsia="Arial" w:hAnsi="Arial"/>
                <w:sz w:val="16"/>
                <w:szCs w:val="16"/>
                <w:b w:val="1"/>
                <w:bCs w:val="1"/>
                <w:color w:val="auto"/>
              </w:rPr>
              <w:t>Carrying</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gridSpan w:val="3"/>
          </w:tcPr>
          <w:p>
            <w:pPr>
              <w:jc w:val="right"/>
              <w:ind w:right="462"/>
              <w:spacing w:after="0"/>
              <w:rPr>
                <w:sz w:val="20"/>
                <w:szCs w:val="20"/>
                <w:color w:val="auto"/>
              </w:rPr>
            </w:pPr>
            <w:r>
              <w:rPr>
                <w:rFonts w:ascii="Arial" w:cs="Arial" w:eastAsia="Arial" w:hAnsi="Arial"/>
                <w:sz w:val="16"/>
                <w:szCs w:val="16"/>
                <w:b w:val="1"/>
                <w:bCs w:val="1"/>
                <w:color w:val="auto"/>
              </w:rPr>
              <w:t>Estimated Fair Value</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Arial" w:cs="Arial" w:eastAsia="Arial" w:hAnsi="Arial"/>
                <w:sz w:val="16"/>
                <w:szCs w:val="16"/>
                <w:b w:val="1"/>
                <w:bCs w:val="1"/>
                <w:color w:val="auto"/>
              </w:rPr>
              <w:t>Amount</w:t>
            </w:r>
          </w:p>
        </w:tc>
        <w:tc>
          <w:tcPr>
            <w:tcW w:w="320" w:type="dxa"/>
            <w:vAlign w:val="bottom"/>
          </w:tcPr>
          <w:p>
            <w:pPr>
              <w:spacing w:after="0"/>
              <w:rPr>
                <w:sz w:val="17"/>
                <w:szCs w:val="17"/>
                <w:color w:val="auto"/>
              </w:rPr>
            </w:pPr>
          </w:p>
        </w:tc>
        <w:tc>
          <w:tcPr>
            <w:tcW w:w="920" w:type="dxa"/>
            <w:vAlign w:val="bottom"/>
          </w:tcPr>
          <w:p>
            <w:pPr>
              <w:jc w:val="right"/>
              <w:ind w:right="242"/>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7"/>
                <w:szCs w:val="17"/>
                <w:color w:val="auto"/>
              </w:rPr>
            </w:pPr>
          </w:p>
        </w:tc>
        <w:tc>
          <w:tcPr>
            <w:tcW w:w="1100" w:type="dxa"/>
            <w:vAlign w:val="bottom"/>
          </w:tcPr>
          <w:p>
            <w:pPr>
              <w:jc w:val="center"/>
              <w:ind w:right="322"/>
              <w:spacing w:after="0"/>
              <w:rPr>
                <w:sz w:val="20"/>
                <w:szCs w:val="20"/>
                <w:color w:val="auto"/>
              </w:rPr>
            </w:pPr>
            <w:r>
              <w:rPr>
                <w:rFonts w:ascii="Arial" w:cs="Arial" w:eastAsia="Arial" w:hAnsi="Arial"/>
                <w:sz w:val="16"/>
                <w:szCs w:val="16"/>
                <w:b w:val="1"/>
                <w:bCs w:val="1"/>
                <w:color w:val="auto"/>
                <w:w w:val="99"/>
              </w:rPr>
              <w:t>Level 2</w:t>
            </w:r>
          </w:p>
        </w:tc>
        <w:tc>
          <w:tcPr>
            <w:tcW w:w="240" w:type="dxa"/>
            <w:vAlign w:val="bottom"/>
          </w:tcPr>
          <w:p>
            <w:pPr>
              <w:spacing w:after="0"/>
              <w:rPr>
                <w:sz w:val="17"/>
                <w:szCs w:val="17"/>
                <w:color w:val="auto"/>
              </w:rPr>
            </w:pPr>
          </w:p>
        </w:tc>
        <w:tc>
          <w:tcPr>
            <w:tcW w:w="980" w:type="dxa"/>
            <w:vAlign w:val="bottom"/>
          </w:tcPr>
          <w:p>
            <w:pPr>
              <w:jc w:val="right"/>
              <w:ind w:right="302"/>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7"/>
                <w:szCs w:val="17"/>
                <w:color w:val="auto"/>
              </w:rPr>
            </w:pPr>
          </w:p>
        </w:tc>
        <w:tc>
          <w:tcPr>
            <w:tcW w:w="960" w:type="dxa"/>
            <w:vAlign w:val="bottom"/>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vMerge w:val="restart"/>
          </w:tcPr>
          <w:p>
            <w:pPr>
              <w:ind w:left="180"/>
              <w:spacing w:after="0"/>
              <w:rPr>
                <w:sz w:val="20"/>
                <w:szCs w:val="20"/>
                <w:color w:val="auto"/>
              </w:rPr>
            </w:pPr>
            <w:r>
              <w:rPr>
                <w:rFonts w:ascii="Arial" w:cs="Arial" w:eastAsia="Arial" w:hAnsi="Arial"/>
                <w:sz w:val="16"/>
                <w:szCs w:val="16"/>
                <w:color w:val="auto"/>
              </w:rPr>
              <w:t>Total cash and cash equivalents</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203,461</w:t>
            </w:r>
          </w:p>
        </w:tc>
        <w:tc>
          <w:tcPr>
            <w:tcW w:w="3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203,461</w:t>
            </w:r>
          </w:p>
        </w:tc>
        <w:tc>
          <w:tcPr>
            <w:tcW w:w="42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203,461</w:t>
            </w:r>
          </w:p>
        </w:tc>
        <w:tc>
          <w:tcPr>
            <w:tcW w:w="0" w:type="dxa"/>
            <w:vAlign w:val="bottom"/>
          </w:tcPr>
          <w:p>
            <w:pPr>
              <w:spacing w:after="0"/>
              <w:rPr>
                <w:sz w:val="1"/>
                <w:szCs w:val="1"/>
                <w:color w:val="auto"/>
              </w:rPr>
            </w:pPr>
          </w:p>
        </w:tc>
      </w:tr>
      <w:tr>
        <w:trPr>
          <w:trHeight w:val="145"/>
        </w:trPr>
        <w:tc>
          <w:tcPr>
            <w:tcW w:w="38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depository institutions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9,553</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9,553</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9,553</w:t>
            </w:r>
          </w:p>
        </w:tc>
        <w:tc>
          <w:tcPr>
            <w:tcW w:w="0" w:type="dxa"/>
            <w:vAlign w:val="bottom"/>
          </w:tcPr>
          <w:p>
            <w:pPr>
              <w:spacing w:after="0"/>
              <w:rPr>
                <w:sz w:val="1"/>
                <w:szCs w:val="1"/>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3,255,211</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3,255,211</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3,255,211</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 held-to-maturity</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2,554,301</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2,155,587</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2,155,587</w:t>
            </w:r>
          </w:p>
        </w:tc>
        <w:tc>
          <w:tcPr>
            <w:tcW w:w="0" w:type="dxa"/>
            <w:vAlign w:val="bottom"/>
          </w:tcPr>
          <w:p>
            <w:pPr>
              <w:spacing w:after="0"/>
              <w:rPr>
                <w:sz w:val="1"/>
                <w:szCs w:val="1"/>
                <w:color w:val="auto"/>
              </w:rPr>
            </w:pPr>
          </w:p>
        </w:tc>
      </w:tr>
      <w:tr>
        <w:trPr>
          <w:trHeight w:val="185"/>
        </w:trPr>
        <w:tc>
          <w:tcPr>
            <w:tcW w:w="3880" w:type="dxa"/>
            <w:vAlign w:val="bottom"/>
          </w:tcPr>
          <w:p>
            <w:pPr>
              <w:ind w:left="180"/>
              <w:spacing w:after="0"/>
              <w:rPr>
                <w:sz w:val="20"/>
                <w:szCs w:val="20"/>
                <w:color w:val="auto"/>
              </w:rPr>
            </w:pPr>
            <w:r>
              <w:rPr>
                <w:rFonts w:ascii="Arial" w:cs="Arial" w:eastAsia="Arial" w:hAnsi="Arial"/>
                <w:sz w:val="16"/>
                <w:szCs w:val="16"/>
                <w:color w:val="auto"/>
              </w:rPr>
              <w:t>Total loans, net of allowance for credit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300"/>
              <w:spacing w:after="0"/>
              <w:rPr>
                <w:sz w:val="20"/>
                <w:szCs w:val="20"/>
                <w:color w:val="auto"/>
              </w:rPr>
            </w:pPr>
            <w:r>
              <w:rPr>
                <w:rFonts w:ascii="Arial" w:cs="Arial" w:eastAsia="Arial" w:hAnsi="Arial"/>
                <w:sz w:val="16"/>
                <w:szCs w:val="16"/>
                <w:color w:val="auto"/>
              </w:rPr>
              <w:t>losses</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8,994,275</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8,074,952</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8,074,952</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880" w:type="dxa"/>
            <w:vAlign w:val="bottom"/>
          </w:tcPr>
          <w:p>
            <w:pPr>
              <w:ind w:left="1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Interest-bearing</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4,671,881</w:t>
            </w:r>
          </w:p>
        </w:tc>
        <w:tc>
          <w:tcPr>
            <w:tcW w:w="3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4,664,657</w:t>
            </w:r>
          </w:p>
        </w:tc>
        <w:tc>
          <w:tcPr>
            <w:tcW w:w="2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4,664,657</w:t>
            </w:r>
          </w:p>
        </w:tc>
        <w:tc>
          <w:tcPr>
            <w:tcW w:w="0" w:type="dxa"/>
            <w:vAlign w:val="bottom"/>
          </w:tcPr>
          <w:p>
            <w:pPr>
              <w:spacing w:after="0"/>
              <w:rPr>
                <w:sz w:val="1"/>
                <w:szCs w:val="1"/>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Borrowings</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1,560,431</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1,444,659</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1,444,659</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Junior subordinated debentures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Interest rate swaps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82</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40" w:firstLine="432"/>
        <w:spacing w:after="0"/>
        <w:rPr>
          <w:sz w:val="20"/>
          <w:szCs w:val="20"/>
          <w:color w:val="auto"/>
        </w:rPr>
      </w:pPr>
      <w:r>
        <w:rPr>
          <w:rFonts w:ascii="Arial" w:cs="Arial" w:eastAsia="Arial" w:hAnsi="Arial"/>
          <w:sz w:val="16"/>
          <w:szCs w:val="16"/>
          <w:color w:val="auto"/>
        </w:rPr>
        <w:t>The fair value estimates presented herein are based on pertinent information available to management as of June 30, 2023 and December 31, 2022.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6" w:right="680" w:bottom="1440" w:gutter="0" w:footer="0" w:header="0"/>
        </w:sectPr>
      </w:pPr>
    </w:p>
    <w:bookmarkStart w:id="33" w:name="page34"/>
    <w:bookmarkEnd w:id="33"/>
    <w:p>
      <w:pPr>
        <w:ind w:left="400" w:hanging="394"/>
        <w:spacing w:after="0"/>
        <w:tabs>
          <w:tab w:leader="none" w:pos="4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DERIVATIVE FINANCIAL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Derivatives Not Designated as Hedging Instruments</w:t>
      </w:r>
    </w:p>
    <w:p>
      <w:pPr>
        <w:spacing w:after="0" w:line="184" w:lineRule="exact"/>
        <w:rPr>
          <w:sz w:val="20"/>
          <w:szCs w:val="20"/>
          <w:color w:val="auto"/>
        </w:rPr>
      </w:pPr>
    </w:p>
    <w:p>
      <w:pPr>
        <w:jc w:val="both"/>
        <w:ind w:right="120" w:firstLine="432"/>
        <w:spacing w:after="0" w:line="273" w:lineRule="auto"/>
        <w:rPr>
          <w:sz w:val="20"/>
          <w:szCs w:val="20"/>
          <w:color w:val="auto"/>
        </w:rPr>
      </w:pPr>
      <w:r>
        <w:rPr>
          <w:rFonts w:ascii="Arial" w:cs="Arial" w:eastAsia="Arial" w:hAnsi="Arial"/>
          <w:sz w:val="14"/>
          <w:szCs w:val="14"/>
          <w:color w:val="auto"/>
        </w:rPr>
        <w:t>The Bank is exposed to certain risks relating to its ongoing business operations and utilizes interest rate swap agreements (“swaps”) as part of its asset/liability management strategy to help manage its interest rate risk position. As of June 30, 2023, the Bank has entered into 124 interest-rate swap agreements with customers with a notional amount totaling $415.6 million. The Bank then entered into identical offsetting swaps with a counterparties.</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6"/>
          <w:szCs w:val="16"/>
          <w:color w:val="auto"/>
        </w:rPr>
        <w:t>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65" w:lineRule="exact"/>
        <w:rPr>
          <w:sz w:val="20"/>
          <w:szCs w:val="20"/>
          <w:color w:val="auto"/>
        </w:rPr>
      </w:pPr>
    </w:p>
    <w:p>
      <w:pPr>
        <w:ind w:right="60" w:firstLine="432"/>
        <w:spacing w:after="0" w:line="237" w:lineRule="auto"/>
        <w:rPr>
          <w:sz w:val="20"/>
          <w:szCs w:val="20"/>
          <w:color w:val="auto"/>
        </w:rPr>
      </w:pPr>
      <w:r>
        <w:rPr>
          <w:rFonts w:ascii="Arial" w:cs="Arial" w:eastAsia="Arial" w:hAnsi="Arial"/>
          <w:sz w:val="16"/>
          <w:szCs w:val="16"/>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64" w:lineRule="exact"/>
        <w:rPr>
          <w:sz w:val="20"/>
          <w:szCs w:val="20"/>
          <w:color w:val="auto"/>
        </w:rPr>
      </w:pPr>
    </w:p>
    <w:p>
      <w:pPr>
        <w:ind w:right="20" w:firstLine="432"/>
        <w:spacing w:after="0" w:line="243" w:lineRule="auto"/>
        <w:rPr>
          <w:sz w:val="20"/>
          <w:szCs w:val="20"/>
          <w:color w:val="auto"/>
        </w:rPr>
      </w:pPr>
      <w:r>
        <w:rPr>
          <w:rFonts w:ascii="Arial" w:cs="Arial" w:eastAsia="Arial" w:hAnsi="Arial"/>
          <w:sz w:val="16"/>
          <w:szCs w:val="16"/>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Derivatives Designated as Hedging Instruments</w:t>
      </w:r>
    </w:p>
    <w:p>
      <w:pPr>
        <w:spacing w:after="0" w:line="184" w:lineRule="exact"/>
        <w:rPr>
          <w:sz w:val="20"/>
          <w:szCs w:val="20"/>
          <w:color w:val="auto"/>
        </w:rPr>
      </w:pPr>
    </w:p>
    <w:p>
      <w:pPr>
        <w:ind w:right="80" w:firstLine="432"/>
        <w:spacing w:after="0" w:line="237" w:lineRule="auto"/>
        <w:rPr>
          <w:sz w:val="20"/>
          <w:szCs w:val="20"/>
          <w:color w:val="auto"/>
        </w:rPr>
      </w:pPr>
      <w:r>
        <w:rPr>
          <w:rFonts w:ascii="Arial" w:cs="Arial" w:eastAsia="Arial" w:hAnsi="Arial"/>
          <w:sz w:val="16"/>
          <w:szCs w:val="16"/>
          <w:color w:val="auto"/>
        </w:rPr>
        <w:t>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Derivatives and Hedging. We elected to account for the fair value hedges using the portfolio layer method in accordance with ASU 2022-01. We record the interest rate swaps in the line items "accrued interest receivable and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pacing w:after="0" w:line="167" w:lineRule="exact"/>
        <w:rPr>
          <w:sz w:val="20"/>
          <w:szCs w:val="20"/>
          <w:color w:val="auto"/>
        </w:rPr>
      </w:pPr>
    </w:p>
    <w:p>
      <w:pPr>
        <w:ind w:right="20" w:firstLine="432"/>
        <w:spacing w:after="0" w:line="243" w:lineRule="auto"/>
        <w:rPr>
          <w:sz w:val="20"/>
          <w:szCs w:val="20"/>
          <w:color w:val="auto"/>
        </w:rPr>
      </w:pPr>
      <w:r>
        <w:rPr>
          <w:rFonts w:ascii="Arial" w:cs="Arial" w:eastAsia="Arial" w:hAnsi="Arial"/>
          <w:sz w:val="16"/>
          <w:szCs w:val="16"/>
          <w:color w:val="auto"/>
        </w:rPr>
        <w:t>In June 2023, fair value hedging transactions were executed in which $1.0 billion notional pay-fixed interest rate swaps were consummated with maturities ranging from four to five years in which the Company pays a weighted average fixed rate of approximately 3.8% and receives daily SOFR. The fair value of these instruments totaled $11.1 million at June 30, 2023.</w:t>
      </w:r>
    </w:p>
    <w:p>
      <w:pPr>
        <w:spacing w:after="0" w:line="161" w:lineRule="exact"/>
        <w:rPr>
          <w:sz w:val="20"/>
          <w:szCs w:val="20"/>
          <w:color w:val="auto"/>
        </w:rPr>
      </w:pPr>
    </w:p>
    <w:p>
      <w:pPr>
        <w:ind w:firstLine="432"/>
        <w:spacing w:after="0" w:line="241" w:lineRule="auto"/>
        <w:rPr>
          <w:sz w:val="20"/>
          <w:szCs w:val="20"/>
          <w:color w:val="auto"/>
        </w:rPr>
      </w:pPr>
      <w:r>
        <w:rPr>
          <w:rFonts w:ascii="Arial" w:cs="Arial" w:eastAsia="Arial" w:hAnsi="Arial"/>
          <w:sz w:val="16"/>
          <w:szCs w:val="16"/>
          <w:color w:val="auto"/>
        </w:rPr>
        <w:t>We assess hedge effectiveness under ASC 815 on a quarterly basis to ensure all hedges remain highly effective and hedge accounting under ASC 815 can be applied. In conjunction with the assessment of effectiveness, we assess the hedged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34" w:name="page35"/>
    <w:bookmarkEnd w:id="34"/>
    <w:p>
      <w:pPr>
        <w:ind w:right="120"/>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item to ensure it is expected to be outstanding at the hedged item’s assumed maturity date and the portfolio layer method of accounting under ASC 815 can be applied.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Balance Sheet Classification of Derivative Financial Instruments</w:t>
      </w:r>
    </w:p>
    <w:p>
      <w:pPr>
        <w:spacing w:after="0" w:line="184" w:lineRule="exact"/>
        <w:rPr>
          <w:sz w:val="20"/>
          <w:szCs w:val="20"/>
          <w:color w:val="auto"/>
        </w:rPr>
      </w:pPr>
    </w:p>
    <w:p>
      <w:pPr>
        <w:jc w:val="both"/>
        <w:ind w:right="440" w:firstLine="432"/>
        <w:spacing w:after="0" w:line="243" w:lineRule="auto"/>
        <w:rPr>
          <w:sz w:val="20"/>
          <w:szCs w:val="20"/>
          <w:color w:val="auto"/>
        </w:rPr>
      </w:pPr>
      <w:r>
        <w:rPr>
          <w:rFonts w:ascii="Arial" w:cs="Arial" w:eastAsia="Arial" w:hAnsi="Arial"/>
          <w:sz w:val="16"/>
          <w:szCs w:val="16"/>
          <w:color w:val="auto"/>
        </w:rPr>
        <w:t>As of June 30, 2023 and December 31, 2022, the total notional amount of the Company’s swaps not designated as hedging instruments was $415.6 million, and $425.6 million, respectively. The location of the asset and liability, and their respective fair values, are summarized in the tables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55" w:type="dxa"/>
            <w:vAlign w:val="bottom"/>
          </w:tcPr>
          <w:p>
            <w:pPr>
              <w:spacing w:after="0"/>
              <w:rPr>
                <w:sz w:val="17"/>
                <w:szCs w:val="17"/>
                <w:color w:val="auto"/>
              </w:rPr>
            </w:pPr>
          </w:p>
        </w:tc>
        <w:tc>
          <w:tcPr>
            <w:tcW w:w="1905"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3"/>
          </w:tcPr>
          <w:p>
            <w:pPr>
              <w:jc w:val="center"/>
              <w:ind w:right="1162"/>
              <w:spacing w:after="0"/>
              <w:rPr>
                <w:sz w:val="20"/>
                <w:szCs w:val="20"/>
                <w:color w:val="auto"/>
              </w:rPr>
            </w:pPr>
            <w:r>
              <w:rPr>
                <w:rFonts w:ascii="Arial" w:cs="Arial" w:eastAsia="Arial" w:hAnsi="Arial"/>
                <w:sz w:val="16"/>
                <w:szCs w:val="16"/>
                <w:b w:val="1"/>
                <w:bCs w:val="1"/>
                <w:color w:val="auto"/>
                <w:w w:val="97"/>
              </w:rPr>
              <w:t>June 30, 2023</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755" w:type="dxa"/>
            <w:vAlign w:val="bottom"/>
          </w:tcPr>
          <w:p>
            <w:pPr>
              <w:spacing w:after="0"/>
              <w:rPr>
                <w:sz w:val="17"/>
                <w:szCs w:val="17"/>
                <w:color w:val="auto"/>
              </w:rPr>
            </w:pPr>
          </w:p>
        </w:tc>
        <w:tc>
          <w:tcPr>
            <w:tcW w:w="2145"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Asset Derivatives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
          </w:tcPr>
          <w:p>
            <w:pPr>
              <w:ind w:left="800"/>
              <w:spacing w:after="0"/>
              <w:rPr>
                <w:sz w:val="20"/>
                <w:szCs w:val="20"/>
                <w:color w:val="auto"/>
              </w:rPr>
            </w:pPr>
            <w:r>
              <w:rPr>
                <w:rFonts w:ascii="Arial" w:cs="Arial" w:eastAsia="Arial" w:hAnsi="Arial"/>
                <w:sz w:val="16"/>
                <w:szCs w:val="16"/>
                <w:b w:val="1"/>
                <w:bCs w:val="1"/>
                <w:color w:val="auto"/>
              </w:rPr>
              <w:t>Liability Derivatives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755" w:type="dxa"/>
            <w:vAlign w:val="bottom"/>
          </w:tcPr>
          <w:p>
            <w:pPr>
              <w:spacing w:after="0"/>
              <w:rPr>
                <w:sz w:val="15"/>
                <w:szCs w:val="15"/>
                <w:color w:val="auto"/>
              </w:rPr>
            </w:pPr>
          </w:p>
        </w:tc>
        <w:tc>
          <w:tcPr>
            <w:tcW w:w="1905" w:type="dxa"/>
            <w:vAlign w:val="bottom"/>
          </w:tcPr>
          <w:p>
            <w:pPr>
              <w:jc w:val="center"/>
              <w:ind w:right="57"/>
              <w:spacing w:after="0" w:line="180" w:lineRule="exact"/>
              <w:rPr>
                <w:sz w:val="20"/>
                <w:szCs w:val="20"/>
                <w:color w:val="auto"/>
              </w:rPr>
            </w:pPr>
            <w:r>
              <w:rPr>
                <w:rFonts w:ascii="Arial" w:cs="Arial" w:eastAsia="Arial" w:hAnsi="Arial"/>
                <w:sz w:val="16"/>
                <w:szCs w:val="16"/>
                <w:b w:val="1"/>
                <w:bCs w:val="1"/>
                <w:color w:val="auto"/>
                <w:w w:val="98"/>
              </w:rPr>
              <w:t>Balance Sheet</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Balance Sheet</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7"/>
        </w:trPr>
        <w:tc>
          <w:tcPr>
            <w:tcW w:w="4755" w:type="dxa"/>
            <w:vAlign w:val="bottom"/>
          </w:tcPr>
          <w:p>
            <w:pPr>
              <w:spacing w:after="0"/>
              <w:rPr>
                <w:sz w:val="17"/>
                <w:szCs w:val="17"/>
                <w:color w:val="auto"/>
              </w:rPr>
            </w:pPr>
          </w:p>
        </w:tc>
        <w:tc>
          <w:tcPr>
            <w:tcW w:w="1905" w:type="dxa"/>
            <w:vAlign w:val="bottom"/>
          </w:tcPr>
          <w:p>
            <w:pPr>
              <w:jc w:val="center"/>
              <w:ind w:right="57"/>
              <w:spacing w:after="0"/>
              <w:rPr>
                <w:sz w:val="20"/>
                <w:szCs w:val="20"/>
                <w:color w:val="auto"/>
              </w:rPr>
            </w:pPr>
            <w:r>
              <w:rPr>
                <w:rFonts w:ascii="Arial" w:cs="Arial" w:eastAsia="Arial" w:hAnsi="Arial"/>
                <w:sz w:val="16"/>
                <w:szCs w:val="16"/>
                <w:b w:val="1"/>
                <w:bCs w:val="1"/>
                <w:color w:val="auto"/>
                <w:w w:val="95"/>
              </w:rPr>
              <w:t>Location</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5"/>
              </w:rPr>
              <w:t>Location</w:t>
            </w:r>
          </w:p>
        </w:tc>
        <w:tc>
          <w:tcPr>
            <w:tcW w:w="92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w:t>
            </w:r>
          </w:p>
        </w:tc>
      </w:tr>
      <w:tr>
        <w:trPr>
          <w:trHeight w:val="195"/>
        </w:trPr>
        <w:tc>
          <w:tcPr>
            <w:tcW w:w="4755" w:type="dxa"/>
            <w:vAlign w:val="bottom"/>
          </w:tcPr>
          <w:p>
            <w:pPr>
              <w:spacing w:after="0"/>
              <w:rPr>
                <w:sz w:val="16"/>
                <w:szCs w:val="16"/>
                <w:color w:val="auto"/>
              </w:rPr>
            </w:pPr>
          </w:p>
        </w:tc>
        <w:tc>
          <w:tcPr>
            <w:tcW w:w="1905"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3"/>
          </w:tcPr>
          <w:p>
            <w:pPr>
              <w:jc w:val="center"/>
              <w:ind w:right="1182"/>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4755"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905"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755" w:type="dxa"/>
            <w:vAlign w:val="bottom"/>
          </w:tcPr>
          <w:p>
            <w:pPr>
              <w:jc w:val="center"/>
              <w:ind w:right="3177"/>
              <w:spacing w:after="0"/>
              <w:rPr>
                <w:sz w:val="20"/>
                <w:szCs w:val="20"/>
                <w:color w:val="auto"/>
              </w:rPr>
            </w:pPr>
            <w:r>
              <w:rPr>
                <w:rFonts w:ascii="Arial" w:cs="Arial" w:eastAsia="Arial" w:hAnsi="Arial"/>
                <w:sz w:val="16"/>
                <w:szCs w:val="16"/>
                <w:color w:val="auto"/>
                <w:w w:val="96"/>
              </w:rPr>
              <w:t>Interest rate swaps</w:t>
            </w:r>
          </w:p>
        </w:tc>
        <w:tc>
          <w:tcPr>
            <w:tcW w:w="1905" w:type="dxa"/>
            <w:vAlign w:val="bottom"/>
          </w:tcPr>
          <w:p>
            <w:pPr>
              <w:jc w:val="center"/>
              <w:ind w:right="57"/>
              <w:spacing w:after="0"/>
              <w:rPr>
                <w:sz w:val="20"/>
                <w:szCs w:val="20"/>
                <w:color w:val="auto"/>
              </w:rPr>
            </w:pPr>
            <w:r>
              <w:rPr>
                <w:rFonts w:ascii="Arial" w:cs="Arial" w:eastAsia="Arial" w:hAnsi="Arial"/>
                <w:sz w:val="16"/>
                <w:szCs w:val="16"/>
                <w:color w:val="auto"/>
                <w:w w:val="96"/>
              </w:rPr>
              <w:t>Other assets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7"/>
              </w:rPr>
              <w:t>Other liabilities</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r>
      <w:tr>
        <w:trPr>
          <w:trHeight w:val="245"/>
        </w:trPr>
        <w:tc>
          <w:tcPr>
            <w:tcW w:w="4755"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w:t>
            </w:r>
          </w:p>
        </w:tc>
        <w:tc>
          <w:tcPr>
            <w:tcW w:w="1905"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83"/>
        </w:trPr>
        <w:tc>
          <w:tcPr>
            <w:tcW w:w="4755" w:type="dxa"/>
            <w:vAlign w:val="bottom"/>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1905"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4755" w:type="dxa"/>
            <w:vAlign w:val="bottom"/>
            <w:shd w:val="clear" w:color="auto" w:fill="CFF0FC"/>
          </w:tcPr>
          <w:p>
            <w:pPr>
              <w:jc w:val="center"/>
              <w:ind w:right="3177"/>
              <w:spacing w:after="0"/>
              <w:rPr>
                <w:sz w:val="20"/>
                <w:szCs w:val="20"/>
                <w:color w:val="auto"/>
              </w:rPr>
            </w:pPr>
            <w:r>
              <w:rPr>
                <w:rFonts w:ascii="Arial" w:cs="Arial" w:eastAsia="Arial" w:hAnsi="Arial"/>
                <w:sz w:val="16"/>
                <w:szCs w:val="16"/>
                <w:color w:val="auto"/>
                <w:w w:val="96"/>
              </w:rPr>
              <w:t>Interest rate swaps</w:t>
            </w:r>
          </w:p>
        </w:tc>
        <w:tc>
          <w:tcPr>
            <w:tcW w:w="1905" w:type="dxa"/>
            <w:vAlign w:val="bottom"/>
            <w:shd w:val="clear" w:color="auto" w:fill="CFF0FC"/>
          </w:tcPr>
          <w:p>
            <w:pPr>
              <w:jc w:val="center"/>
              <w:ind w:right="57"/>
              <w:spacing w:after="0"/>
              <w:rPr>
                <w:sz w:val="20"/>
                <w:szCs w:val="20"/>
                <w:color w:val="auto"/>
              </w:rPr>
            </w:pPr>
            <w:r>
              <w:rPr>
                <w:rFonts w:ascii="Arial" w:cs="Arial" w:eastAsia="Arial" w:hAnsi="Arial"/>
                <w:sz w:val="16"/>
                <w:szCs w:val="16"/>
                <w:color w:val="auto"/>
                <w:w w:val="96"/>
              </w:rPr>
              <w:t>Other assets</w:t>
            </w: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11,129</w:t>
            </w: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Other liabilities</w:t>
            </w:r>
          </w:p>
        </w:tc>
        <w:tc>
          <w:tcPr>
            <w:tcW w:w="4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204"/>
        </w:trPr>
        <w:tc>
          <w:tcPr>
            <w:tcW w:w="4755" w:type="dxa"/>
            <w:vAlign w:val="bottom"/>
          </w:tcPr>
          <w:p>
            <w:pPr>
              <w:ind w:left="180"/>
              <w:spacing w:after="0"/>
              <w:rPr>
                <w:sz w:val="20"/>
                <w:szCs w:val="20"/>
                <w:color w:val="auto"/>
              </w:rPr>
            </w:pPr>
            <w:r>
              <w:rPr>
                <w:rFonts w:ascii="Arial" w:cs="Arial" w:eastAsia="Arial" w:hAnsi="Arial"/>
                <w:sz w:val="16"/>
                <w:szCs w:val="16"/>
                <w:color w:val="auto"/>
              </w:rPr>
              <w:t>Total</w:t>
            </w:r>
          </w:p>
        </w:tc>
        <w:tc>
          <w:tcPr>
            <w:tcW w:w="1905"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11,129</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4755" w:type="dxa"/>
            <w:vAlign w:val="bottom"/>
          </w:tcPr>
          <w:p>
            <w:pPr>
              <w:spacing w:after="0" w:line="20" w:lineRule="exact"/>
              <w:rPr>
                <w:sz w:val="1"/>
                <w:szCs w:val="1"/>
                <w:color w:val="auto"/>
              </w:rPr>
            </w:pPr>
          </w:p>
        </w:tc>
        <w:tc>
          <w:tcPr>
            <w:tcW w:w="1905"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755" w:type="dxa"/>
            <w:vAlign w:val="bottom"/>
          </w:tcPr>
          <w:p>
            <w:pPr>
              <w:spacing w:after="0"/>
              <w:rPr>
                <w:sz w:val="18"/>
                <w:szCs w:val="18"/>
                <w:color w:val="auto"/>
              </w:rPr>
            </w:pPr>
          </w:p>
        </w:tc>
        <w:tc>
          <w:tcPr>
            <w:tcW w:w="1905"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4755" w:type="dxa"/>
            <w:vAlign w:val="bottom"/>
          </w:tcPr>
          <w:p>
            <w:pPr>
              <w:spacing w:after="0"/>
              <w:rPr>
                <w:sz w:val="17"/>
                <w:szCs w:val="17"/>
                <w:color w:val="auto"/>
              </w:rPr>
            </w:pPr>
          </w:p>
        </w:tc>
        <w:tc>
          <w:tcPr>
            <w:tcW w:w="1905"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3"/>
          </w:tcPr>
          <w:p>
            <w:pPr>
              <w:jc w:val="center"/>
              <w:ind w:right="1122"/>
              <w:spacing w:after="0"/>
              <w:rPr>
                <w:sz w:val="20"/>
                <w:szCs w:val="20"/>
                <w:color w:val="auto"/>
              </w:rPr>
            </w:pPr>
            <w:r>
              <w:rPr>
                <w:rFonts w:ascii="Arial" w:cs="Arial" w:eastAsia="Arial" w:hAnsi="Arial"/>
                <w:sz w:val="16"/>
                <w:szCs w:val="16"/>
                <w:b w:val="1"/>
                <w:bCs w:val="1"/>
                <w:color w:val="auto"/>
                <w:w w:val="98"/>
              </w:rPr>
              <w:t>December 31, 2022</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755" w:type="dxa"/>
            <w:vAlign w:val="bottom"/>
          </w:tcPr>
          <w:p>
            <w:pPr>
              <w:spacing w:after="0"/>
              <w:rPr>
                <w:sz w:val="17"/>
                <w:szCs w:val="17"/>
                <w:color w:val="auto"/>
              </w:rPr>
            </w:pPr>
          </w:p>
        </w:tc>
        <w:tc>
          <w:tcPr>
            <w:tcW w:w="2145" w:type="dxa"/>
            <w:vAlign w:val="bottom"/>
            <w:gridSpan w:val="2"/>
          </w:tcPr>
          <w:p>
            <w:pPr>
              <w:jc w:val="right"/>
              <w:spacing w:after="0"/>
              <w:rPr>
                <w:sz w:val="20"/>
                <w:szCs w:val="20"/>
                <w:color w:val="auto"/>
              </w:rPr>
            </w:pPr>
            <w:r>
              <w:rPr>
                <w:rFonts w:ascii="Arial" w:cs="Arial" w:eastAsia="Arial" w:hAnsi="Arial"/>
                <w:sz w:val="16"/>
                <w:szCs w:val="16"/>
                <w:b w:val="1"/>
                <w:bCs w:val="1"/>
                <w:color w:val="auto"/>
              </w:rPr>
              <w:t>Asset Derivatives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
          </w:tcPr>
          <w:p>
            <w:pPr>
              <w:ind w:left="800"/>
              <w:spacing w:after="0"/>
              <w:rPr>
                <w:sz w:val="20"/>
                <w:szCs w:val="20"/>
                <w:color w:val="auto"/>
              </w:rPr>
            </w:pPr>
            <w:r>
              <w:rPr>
                <w:rFonts w:ascii="Arial" w:cs="Arial" w:eastAsia="Arial" w:hAnsi="Arial"/>
                <w:sz w:val="16"/>
                <w:szCs w:val="16"/>
                <w:b w:val="1"/>
                <w:bCs w:val="1"/>
                <w:color w:val="auto"/>
              </w:rPr>
              <w:t>Liability Derivatives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7"/>
        </w:trPr>
        <w:tc>
          <w:tcPr>
            <w:tcW w:w="4755" w:type="dxa"/>
            <w:vAlign w:val="bottom"/>
          </w:tcPr>
          <w:p>
            <w:pPr>
              <w:spacing w:after="0"/>
              <w:rPr>
                <w:sz w:val="15"/>
                <w:szCs w:val="15"/>
                <w:color w:val="auto"/>
              </w:rPr>
            </w:pPr>
          </w:p>
        </w:tc>
        <w:tc>
          <w:tcPr>
            <w:tcW w:w="1905"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6"/>
              </w:rPr>
              <w:t>Balance Sheet</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6"/>
              </w:rPr>
              <w:t>Balance Sheet</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7"/>
        </w:trPr>
        <w:tc>
          <w:tcPr>
            <w:tcW w:w="4755" w:type="dxa"/>
            <w:vAlign w:val="bottom"/>
          </w:tcPr>
          <w:p>
            <w:pPr>
              <w:spacing w:after="0"/>
              <w:rPr>
                <w:sz w:val="18"/>
                <w:szCs w:val="18"/>
                <w:color w:val="auto"/>
              </w:rPr>
            </w:pPr>
          </w:p>
        </w:tc>
        <w:tc>
          <w:tcPr>
            <w:tcW w:w="1905" w:type="dxa"/>
            <w:vAlign w:val="bottom"/>
          </w:tcPr>
          <w:p>
            <w:pPr>
              <w:jc w:val="center"/>
              <w:spacing w:after="0"/>
              <w:rPr>
                <w:sz w:val="20"/>
                <w:szCs w:val="20"/>
                <w:color w:val="auto"/>
              </w:rPr>
            </w:pPr>
            <w:r>
              <w:rPr>
                <w:rFonts w:ascii="Arial" w:cs="Arial" w:eastAsia="Arial" w:hAnsi="Arial"/>
                <w:sz w:val="16"/>
                <w:szCs w:val="16"/>
                <w:b w:val="1"/>
                <w:bCs w:val="1"/>
                <w:color w:val="auto"/>
                <w:w w:val="98"/>
              </w:rPr>
              <w:t>Location</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5"/>
              </w:rPr>
              <w:t>Location</w:t>
            </w: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8"/>
                <w:szCs w:val="18"/>
                <w:color w:val="auto"/>
              </w:rPr>
            </w:pPr>
          </w:p>
        </w:tc>
      </w:tr>
      <w:tr>
        <w:trPr>
          <w:trHeight w:val="195"/>
        </w:trPr>
        <w:tc>
          <w:tcPr>
            <w:tcW w:w="4755" w:type="dxa"/>
            <w:vAlign w:val="bottom"/>
          </w:tcPr>
          <w:p>
            <w:pPr>
              <w:spacing w:after="0"/>
              <w:rPr>
                <w:sz w:val="16"/>
                <w:szCs w:val="16"/>
                <w:color w:val="auto"/>
              </w:rPr>
            </w:pPr>
          </w:p>
        </w:tc>
        <w:tc>
          <w:tcPr>
            <w:tcW w:w="1905"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3"/>
          </w:tcPr>
          <w:p>
            <w:pPr>
              <w:jc w:val="center"/>
              <w:ind w:right="1142"/>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4755"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905"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755" w:type="dxa"/>
            <w:vAlign w:val="bottom"/>
          </w:tcPr>
          <w:p>
            <w:pPr>
              <w:jc w:val="center"/>
              <w:ind w:right="3177"/>
              <w:spacing w:after="0"/>
              <w:rPr>
                <w:sz w:val="20"/>
                <w:szCs w:val="20"/>
                <w:color w:val="auto"/>
              </w:rPr>
            </w:pPr>
            <w:r>
              <w:rPr>
                <w:rFonts w:ascii="Arial" w:cs="Arial" w:eastAsia="Arial" w:hAnsi="Arial"/>
                <w:sz w:val="16"/>
                <w:szCs w:val="16"/>
                <w:color w:val="auto"/>
                <w:w w:val="96"/>
              </w:rPr>
              <w:t>Interest rate swaps</w:t>
            </w:r>
          </w:p>
        </w:tc>
        <w:tc>
          <w:tcPr>
            <w:tcW w:w="1905" w:type="dxa"/>
            <w:vAlign w:val="bottom"/>
          </w:tcPr>
          <w:p>
            <w:pPr>
              <w:jc w:val="center"/>
              <w:ind w:right="17"/>
              <w:spacing w:after="0"/>
              <w:rPr>
                <w:sz w:val="20"/>
                <w:szCs w:val="20"/>
                <w:color w:val="auto"/>
              </w:rPr>
            </w:pPr>
            <w:r>
              <w:rPr>
                <w:rFonts w:ascii="Arial" w:cs="Arial" w:eastAsia="Arial" w:hAnsi="Arial"/>
                <w:sz w:val="16"/>
                <w:szCs w:val="16"/>
                <w:color w:val="auto"/>
                <w:w w:val="96"/>
              </w:rPr>
              <w:t>Other assets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7"/>
              </w:rPr>
              <w:t>Other liabilities</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7"/>
                <w:szCs w:val="17"/>
                <w:color w:val="auto"/>
              </w:rPr>
            </w:pPr>
          </w:p>
        </w:tc>
      </w:tr>
      <w:tr>
        <w:trPr>
          <w:trHeight w:val="245"/>
        </w:trPr>
        <w:tc>
          <w:tcPr>
            <w:tcW w:w="4755" w:type="dxa"/>
            <w:vAlign w:val="bottom"/>
            <w:tcBorders>
              <w:bottom w:val="single" w:sz="8" w:color="CFF0FC"/>
            </w:tcBorders>
            <w:shd w:val="clear" w:color="auto" w:fill="CFF0FC"/>
          </w:tcPr>
          <w:p>
            <w:pPr>
              <w:jc w:val="center"/>
              <w:ind w:right="3197"/>
              <w:spacing w:after="0"/>
              <w:rPr>
                <w:sz w:val="20"/>
                <w:szCs w:val="20"/>
                <w:color w:val="auto"/>
              </w:rPr>
            </w:pPr>
            <w:r>
              <w:rPr>
                <w:rFonts w:ascii="Arial" w:cs="Arial" w:eastAsia="Arial" w:hAnsi="Arial"/>
                <w:sz w:val="16"/>
                <w:szCs w:val="16"/>
                <w:color w:val="auto"/>
                <w:w w:val="96"/>
              </w:rPr>
              <w:t>Total derivatives</w:t>
            </w:r>
          </w:p>
        </w:tc>
        <w:tc>
          <w:tcPr>
            <w:tcW w:w="1905"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Effect of Derivatives Financial Instruments on the Condensed Consolidated Statements of Earnings</w:t>
      </w:r>
    </w:p>
    <w:p>
      <w:pPr>
        <w:spacing w:after="0" w:line="184" w:lineRule="exact"/>
        <w:rPr>
          <w:sz w:val="20"/>
          <w:szCs w:val="20"/>
          <w:color w:val="auto"/>
        </w:rPr>
      </w:pPr>
    </w:p>
    <w:p>
      <w:pPr>
        <w:ind w:right="40" w:firstLine="432"/>
        <w:spacing w:after="0" w:line="252" w:lineRule="auto"/>
        <w:rPr>
          <w:sz w:val="20"/>
          <w:szCs w:val="20"/>
          <w:color w:val="auto"/>
        </w:rPr>
      </w:pPr>
      <w:r>
        <w:rPr>
          <w:rFonts w:ascii="Arial" w:cs="Arial" w:eastAsia="Arial" w:hAnsi="Arial"/>
          <w:sz w:val="16"/>
          <w:szCs w:val="16"/>
          <w:color w:val="auto"/>
        </w:rPr>
        <w:t>The following table summarizes the effect of derivative financial instruments on the condensed consolidated statements of earnings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10" w:type="dxa"/>
            <w:vAlign w:val="bottom"/>
          </w:tcPr>
          <w:p>
            <w:pPr>
              <w:spacing w:after="0"/>
              <w:rPr>
                <w:sz w:val="13"/>
                <w:szCs w:val="13"/>
                <w:color w:val="auto"/>
              </w:rPr>
            </w:pPr>
          </w:p>
        </w:tc>
        <w:tc>
          <w:tcPr>
            <w:tcW w:w="3450" w:type="dxa"/>
            <w:vAlign w:val="bottom"/>
          </w:tcPr>
          <w:p>
            <w:pPr>
              <w:jc w:val="center"/>
              <w:ind w:right="44"/>
              <w:spacing w:after="0"/>
              <w:rPr>
                <w:sz w:val="20"/>
                <w:szCs w:val="20"/>
                <w:color w:val="auto"/>
              </w:rPr>
            </w:pPr>
            <w:r>
              <w:rPr>
                <w:rFonts w:ascii="Arial" w:cs="Arial" w:eastAsia="Arial" w:hAnsi="Arial"/>
                <w:sz w:val="13"/>
                <w:szCs w:val="13"/>
                <w:b w:val="1"/>
                <w:bCs w:val="1"/>
                <w:color w:val="auto"/>
              </w:rPr>
              <w:t>Location of Gain Recognized in</w:t>
            </w:r>
          </w:p>
        </w:tc>
        <w:tc>
          <w:tcPr>
            <w:tcW w:w="860" w:type="dxa"/>
            <w:vAlign w:val="bottom"/>
          </w:tcPr>
          <w:p>
            <w:pPr>
              <w:spacing w:after="0"/>
              <w:rPr>
                <w:sz w:val="13"/>
                <w:szCs w:val="13"/>
                <w:color w:val="auto"/>
              </w:rPr>
            </w:pPr>
          </w:p>
        </w:tc>
        <w:tc>
          <w:tcPr>
            <w:tcW w:w="2220" w:type="dxa"/>
            <w:vAlign w:val="bottom"/>
            <w:gridSpan w:val="9"/>
          </w:tcPr>
          <w:p>
            <w:pPr>
              <w:jc w:val="center"/>
              <w:ind w:left="74"/>
              <w:spacing w:after="0"/>
              <w:rPr>
                <w:sz w:val="20"/>
                <w:szCs w:val="20"/>
                <w:color w:val="auto"/>
              </w:rPr>
            </w:pPr>
            <w:r>
              <w:rPr>
                <w:rFonts w:ascii="Arial" w:cs="Arial" w:eastAsia="Arial" w:hAnsi="Arial"/>
                <w:sz w:val="13"/>
                <w:szCs w:val="13"/>
                <w:b w:val="1"/>
                <w:bCs w:val="1"/>
                <w:color w:val="auto"/>
              </w:rPr>
              <w:t>Amount of Gain Recognized in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2910" w:type="dxa"/>
            <w:vAlign w:val="bottom"/>
          </w:tcPr>
          <w:p>
            <w:pPr>
              <w:spacing w:after="0"/>
              <w:rPr>
                <w:sz w:val="15"/>
                <w:szCs w:val="15"/>
                <w:color w:val="auto"/>
              </w:rPr>
            </w:pPr>
          </w:p>
        </w:tc>
        <w:tc>
          <w:tcPr>
            <w:tcW w:w="3450" w:type="dxa"/>
            <w:vAlign w:val="bottom"/>
          </w:tcPr>
          <w:p>
            <w:pPr>
              <w:jc w:val="center"/>
              <w:ind w:right="4"/>
              <w:spacing w:after="0"/>
              <w:rPr>
                <w:sz w:val="20"/>
                <w:szCs w:val="20"/>
                <w:color w:val="auto"/>
              </w:rPr>
            </w:pPr>
            <w:r>
              <w:rPr>
                <w:rFonts w:ascii="Arial" w:cs="Arial" w:eastAsia="Arial" w:hAnsi="Arial"/>
                <w:sz w:val="13"/>
                <w:szCs w:val="13"/>
                <w:b w:val="1"/>
                <w:bCs w:val="1"/>
                <w:color w:val="auto"/>
              </w:rPr>
              <w:t>Income on Derivative Instruments</w:t>
            </w:r>
          </w:p>
        </w:tc>
        <w:tc>
          <w:tcPr>
            <w:tcW w:w="860" w:type="dxa"/>
            <w:vAlign w:val="bottom"/>
          </w:tcPr>
          <w:p>
            <w:pPr>
              <w:spacing w:after="0"/>
              <w:rPr>
                <w:sz w:val="15"/>
                <w:szCs w:val="15"/>
                <w:color w:val="auto"/>
              </w:rPr>
            </w:pPr>
          </w:p>
        </w:tc>
        <w:tc>
          <w:tcPr>
            <w:tcW w:w="2620" w:type="dxa"/>
            <w:vAlign w:val="bottom"/>
            <w:gridSpan w:val="11"/>
          </w:tcPr>
          <w:p>
            <w:pPr>
              <w:ind w:left="140"/>
              <w:spacing w:after="0"/>
              <w:rPr>
                <w:sz w:val="20"/>
                <w:szCs w:val="20"/>
                <w:color w:val="auto"/>
              </w:rPr>
            </w:pPr>
            <w:r>
              <w:rPr>
                <w:rFonts w:ascii="Arial" w:cs="Arial" w:eastAsia="Arial" w:hAnsi="Arial"/>
                <w:sz w:val="13"/>
                <w:szCs w:val="13"/>
                <w:b w:val="1"/>
                <w:bCs w:val="1"/>
                <w:color w:val="auto"/>
              </w:rPr>
              <w:t>Income on Derivative Instruments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2910" w:type="dxa"/>
            <w:vAlign w:val="bottom"/>
          </w:tcPr>
          <w:p>
            <w:pPr>
              <w:spacing w:after="0"/>
              <w:rPr>
                <w:sz w:val="13"/>
                <w:szCs w:val="13"/>
                <w:color w:val="auto"/>
              </w:rPr>
            </w:pPr>
          </w:p>
        </w:tc>
        <w:tc>
          <w:tcPr>
            <w:tcW w:w="3450" w:type="dxa"/>
            <w:vAlign w:val="bottom"/>
          </w:tcPr>
          <w:p>
            <w:pPr>
              <w:spacing w:after="0"/>
              <w:rPr>
                <w:sz w:val="13"/>
                <w:szCs w:val="13"/>
                <w:color w:val="auto"/>
              </w:rPr>
            </w:pPr>
          </w:p>
        </w:tc>
        <w:tc>
          <w:tcPr>
            <w:tcW w:w="2160" w:type="dxa"/>
            <w:vAlign w:val="bottom"/>
            <w:gridSpan w:val="5"/>
          </w:tcPr>
          <w:p>
            <w:pPr>
              <w:jc w:val="center"/>
              <w:ind w:left="154"/>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rPr>
              <w:t>Six Months Ended</w:t>
            </w:r>
          </w:p>
        </w:tc>
      </w:tr>
      <w:tr>
        <w:trPr>
          <w:trHeight w:val="183"/>
        </w:trPr>
        <w:tc>
          <w:tcPr>
            <w:tcW w:w="2910" w:type="dxa"/>
            <w:vAlign w:val="bottom"/>
          </w:tcPr>
          <w:p>
            <w:pPr>
              <w:spacing w:after="0"/>
              <w:rPr>
                <w:sz w:val="15"/>
                <w:szCs w:val="15"/>
                <w:color w:val="auto"/>
              </w:rPr>
            </w:pPr>
          </w:p>
        </w:tc>
        <w:tc>
          <w:tcPr>
            <w:tcW w:w="345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gridSpan w:val="4"/>
          </w:tcPr>
          <w:p>
            <w:pPr>
              <w:jc w:val="center"/>
              <w:ind w:right="574"/>
              <w:spacing w:after="0"/>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4"/>
          </w:tcPr>
          <w:p>
            <w:pPr>
              <w:jc w:val="center"/>
              <w:ind w:right="580"/>
              <w:spacing w:after="0"/>
              <w:rPr>
                <w:sz w:val="20"/>
                <w:szCs w:val="20"/>
                <w:color w:val="auto"/>
              </w:rPr>
            </w:pPr>
            <w:r>
              <w:rPr>
                <w:rFonts w:ascii="Arial" w:cs="Arial" w:eastAsia="Arial" w:hAnsi="Arial"/>
                <w:sz w:val="13"/>
                <w:szCs w:val="13"/>
                <w:b w:val="1"/>
                <w:bCs w:val="1"/>
                <w:color w:val="auto"/>
              </w:rPr>
              <w:t>June 30,</w:t>
            </w:r>
          </w:p>
        </w:tc>
      </w:tr>
      <w:tr>
        <w:trPr>
          <w:trHeight w:val="204"/>
        </w:trPr>
        <w:tc>
          <w:tcPr>
            <w:tcW w:w="2910" w:type="dxa"/>
            <w:vAlign w:val="bottom"/>
          </w:tcPr>
          <w:p>
            <w:pPr>
              <w:spacing w:after="0"/>
              <w:rPr>
                <w:sz w:val="17"/>
                <w:szCs w:val="17"/>
                <w:color w:val="auto"/>
              </w:rPr>
            </w:pPr>
          </w:p>
        </w:tc>
        <w:tc>
          <w:tcPr>
            <w:tcW w:w="345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Arial" w:cs="Arial" w:eastAsia="Arial" w:hAnsi="Arial"/>
                <w:sz w:val="13"/>
                <w:szCs w:val="13"/>
                <w:b w:val="1"/>
                <w:bCs w:val="1"/>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4"/>
              <w:spacing w:after="0"/>
              <w:rPr>
                <w:sz w:val="20"/>
                <w:szCs w:val="20"/>
                <w:color w:val="auto"/>
              </w:rPr>
            </w:pPr>
            <w:r>
              <w:rPr>
                <w:rFonts w:ascii="Arial" w:cs="Arial" w:eastAsia="Arial" w:hAnsi="Arial"/>
                <w:sz w:val="13"/>
                <w:szCs w:val="13"/>
                <w:b w:val="1"/>
                <w:bCs w:val="1"/>
                <w:color w:val="auto"/>
                <w:w w:val="96"/>
              </w:rPr>
              <w:t>2023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9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7"/>
                <w:szCs w:val="17"/>
                <w:color w:val="auto"/>
              </w:rPr>
            </w:pPr>
          </w:p>
        </w:tc>
      </w:tr>
      <w:tr>
        <w:trPr>
          <w:trHeight w:val="153"/>
        </w:trPr>
        <w:tc>
          <w:tcPr>
            <w:tcW w:w="291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Derivatives Not Designated as Hedging</w:t>
            </w:r>
          </w:p>
        </w:tc>
        <w:tc>
          <w:tcPr>
            <w:tcW w:w="345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720" w:type="dxa"/>
            <w:vAlign w:val="bottom"/>
            <w:gridSpan w:val="7"/>
            <w:shd w:val="clear" w:color="auto" w:fill="CFF0FC"/>
          </w:tcPr>
          <w:p>
            <w:pPr>
              <w:jc w:val="center"/>
              <w:ind w:right="254"/>
              <w:spacing w:after="0"/>
              <w:rPr>
                <w:sz w:val="20"/>
                <w:szCs w:val="20"/>
                <w:color w:val="auto"/>
              </w:rPr>
            </w:pPr>
            <w:r>
              <w:rPr>
                <w:rFonts w:ascii="Arial" w:cs="Arial" w:eastAsia="Arial" w:hAnsi="Arial"/>
                <w:sz w:val="13"/>
                <w:szCs w:val="13"/>
                <w:i w:val="1"/>
                <w:iCs w:val="1"/>
                <w:color w:val="auto"/>
              </w:rPr>
              <w:t>(Dollars in thousands)</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4"/>
        </w:trPr>
        <w:tc>
          <w:tcPr>
            <w:tcW w:w="291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Instruments:</w:t>
            </w:r>
          </w:p>
        </w:tc>
        <w:tc>
          <w:tcPr>
            <w:tcW w:w="345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2910" w:type="dxa"/>
            <w:vAlign w:val="bottom"/>
          </w:tcPr>
          <w:p>
            <w:pPr>
              <w:ind w:left="100"/>
              <w:spacing w:after="0"/>
              <w:rPr>
                <w:sz w:val="20"/>
                <w:szCs w:val="20"/>
                <w:color w:val="auto"/>
              </w:rPr>
            </w:pPr>
            <w:r>
              <w:rPr>
                <w:rFonts w:ascii="Arial" w:cs="Arial" w:eastAsia="Arial" w:hAnsi="Arial"/>
                <w:sz w:val="13"/>
                <w:szCs w:val="13"/>
                <w:color w:val="auto"/>
              </w:rPr>
              <w:t>Interest rate swaps</w:t>
            </w:r>
          </w:p>
        </w:tc>
        <w:tc>
          <w:tcPr>
            <w:tcW w:w="3450" w:type="dxa"/>
            <w:vAlign w:val="bottom"/>
          </w:tcPr>
          <w:p>
            <w:pPr>
              <w:jc w:val="center"/>
              <w:ind w:right="4"/>
              <w:spacing w:after="0"/>
              <w:rPr>
                <w:sz w:val="20"/>
                <w:szCs w:val="20"/>
                <w:color w:val="auto"/>
              </w:rPr>
            </w:pPr>
            <w:r>
              <w:rPr>
                <w:rFonts w:ascii="Arial" w:cs="Arial" w:eastAsia="Arial" w:hAnsi="Arial"/>
                <w:sz w:val="13"/>
                <w:szCs w:val="13"/>
                <w:color w:val="auto"/>
              </w:rPr>
              <w:t>Other income</w:t>
            </w:r>
          </w:p>
        </w:tc>
        <w:tc>
          <w:tcPr>
            <w:tcW w:w="860" w:type="dxa"/>
            <w:vAlign w:val="bottom"/>
          </w:tcPr>
          <w:p>
            <w:pPr>
              <w:jc w:val="right"/>
              <w:ind w:right="694"/>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center"/>
              <w:ind w:left="74"/>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right"/>
              <w:ind w:right="514"/>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ind w:left="260"/>
              <w:spacing w:after="0"/>
              <w:rPr>
                <w:sz w:val="20"/>
                <w:szCs w:val="20"/>
                <w:color w:val="auto"/>
              </w:rPr>
            </w:pPr>
            <w:r>
              <w:rPr>
                <w:rFonts w:ascii="Arial" w:cs="Arial" w:eastAsia="Arial" w:hAnsi="Arial"/>
                <w:sz w:val="13"/>
                <w:szCs w:val="13"/>
                <w:color w:val="auto"/>
                <w:w w:val="91"/>
              </w:rPr>
              <w:t>—</w:t>
            </w:r>
          </w:p>
        </w:tc>
        <w:tc>
          <w:tcPr>
            <w:tcW w:w="400" w:type="dxa"/>
            <w:vAlign w:val="bottom"/>
            <w:gridSpan w:val="2"/>
          </w:tcPr>
          <w:p>
            <w:pPr>
              <w:jc w:val="center"/>
              <w:ind w:left="54"/>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80"/>
              <w:spacing w:after="0"/>
              <w:rPr>
                <w:sz w:val="20"/>
                <w:szCs w:val="20"/>
                <w:color w:val="auto"/>
              </w:rPr>
            </w:pPr>
            <w:r>
              <w:rPr>
                <w:rFonts w:ascii="Arial" w:cs="Arial" w:eastAsia="Arial" w:hAnsi="Arial"/>
                <w:sz w:val="13"/>
                <w:szCs w:val="13"/>
                <w:color w:val="auto"/>
              </w:rPr>
              <w:t>—</w:t>
            </w:r>
          </w:p>
        </w:tc>
      </w:tr>
      <w:tr>
        <w:trPr>
          <w:trHeight w:val="225"/>
        </w:trPr>
        <w:tc>
          <w:tcPr>
            <w:tcW w:w="291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3"/>
                <w:szCs w:val="13"/>
                <w:color w:val="auto"/>
              </w:rPr>
              <w:t>Total</w:t>
            </w:r>
          </w:p>
        </w:tc>
        <w:tc>
          <w:tcPr>
            <w:tcW w:w="345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94"/>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FF0FC"/>
          </w:tcPr>
          <w:p>
            <w:pPr>
              <w:jc w:val="center"/>
              <w:ind w:left="174"/>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14"/>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3"/>
                <w:szCs w:val="13"/>
                <w:color w:val="auto"/>
                <w:w w:val="91"/>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center"/>
              <w:ind w:right="34"/>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40" w:orient="portrait"/>
          <w:cols w:equalWidth="0" w:num="1">
            <w:col w:w="10560"/>
          </w:cols>
          <w:pgMar w:left="660" w:top="790" w:right="68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1640" w:type="dxa"/>
            <w:vAlign w:val="bottom"/>
          </w:tcPr>
          <w:p>
            <w:pPr>
              <w:jc w:val="center"/>
              <w:ind w:right="14"/>
              <w:spacing w:after="0"/>
              <w:rPr>
                <w:sz w:val="20"/>
                <w:szCs w:val="20"/>
                <w:color w:val="auto"/>
              </w:rPr>
            </w:pPr>
            <w:r>
              <w:rPr>
                <w:rFonts w:ascii="Arial" w:cs="Arial" w:eastAsia="Arial" w:hAnsi="Arial"/>
                <w:sz w:val="13"/>
                <w:szCs w:val="13"/>
                <w:b w:val="1"/>
                <w:bCs w:val="1"/>
                <w:color w:val="auto"/>
              </w:rPr>
              <w:t>Location of Gain</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320" w:type="dxa"/>
            <w:vAlign w:val="bottom"/>
          </w:tcPr>
          <w:p>
            <w:pPr>
              <w:spacing w:after="0"/>
              <w:rPr>
                <w:sz w:val="13"/>
                <w:szCs w:val="13"/>
                <w:color w:val="auto"/>
              </w:rPr>
            </w:pPr>
          </w:p>
        </w:tc>
        <w:tc>
          <w:tcPr>
            <w:tcW w:w="1640" w:type="dxa"/>
            <w:vAlign w:val="bottom"/>
          </w:tcPr>
          <w:p>
            <w:pPr>
              <w:jc w:val="center"/>
              <w:ind w:right="74"/>
              <w:spacing w:after="0"/>
              <w:rPr>
                <w:sz w:val="20"/>
                <w:szCs w:val="20"/>
                <w:color w:val="auto"/>
              </w:rPr>
            </w:pPr>
            <w:r>
              <w:rPr>
                <w:rFonts w:ascii="Arial" w:cs="Arial" w:eastAsia="Arial" w:hAnsi="Arial"/>
                <w:sz w:val="13"/>
                <w:szCs w:val="13"/>
                <w:b w:val="1"/>
                <w:bCs w:val="1"/>
                <w:color w:val="auto"/>
              </w:rPr>
              <w:t>Recognized in</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320" w:type="dxa"/>
            <w:vAlign w:val="bottom"/>
          </w:tcPr>
          <w:p>
            <w:pPr>
              <w:spacing w:after="0"/>
              <w:rPr>
                <w:sz w:val="13"/>
                <w:szCs w:val="13"/>
                <w:color w:val="auto"/>
              </w:rPr>
            </w:pPr>
          </w:p>
        </w:tc>
        <w:tc>
          <w:tcPr>
            <w:tcW w:w="1640" w:type="dxa"/>
            <w:vAlign w:val="bottom"/>
          </w:tcPr>
          <w:p>
            <w:pPr>
              <w:jc w:val="center"/>
              <w:ind w:right="14"/>
              <w:spacing w:after="0"/>
              <w:rPr>
                <w:sz w:val="20"/>
                <w:szCs w:val="20"/>
                <w:color w:val="auto"/>
              </w:rPr>
            </w:pPr>
            <w:r>
              <w:rPr>
                <w:rFonts w:ascii="Arial" w:cs="Arial" w:eastAsia="Arial" w:hAnsi="Arial"/>
                <w:sz w:val="13"/>
                <w:szCs w:val="13"/>
                <w:b w:val="1"/>
                <w:bCs w:val="1"/>
                <w:color w:val="auto"/>
              </w:rPr>
              <w:t>Income on Derivative</w:t>
            </w:r>
          </w:p>
        </w:tc>
        <w:tc>
          <w:tcPr>
            <w:tcW w:w="120" w:type="dxa"/>
            <w:vAlign w:val="bottom"/>
          </w:tcPr>
          <w:p>
            <w:pPr>
              <w:spacing w:after="0"/>
              <w:rPr>
                <w:sz w:val="13"/>
                <w:szCs w:val="13"/>
                <w:color w:val="auto"/>
              </w:rPr>
            </w:pPr>
          </w:p>
        </w:tc>
        <w:tc>
          <w:tcPr>
            <w:tcW w:w="3460" w:type="dxa"/>
            <w:vAlign w:val="bottom"/>
            <w:gridSpan w:val="13"/>
          </w:tcPr>
          <w:p>
            <w:pPr>
              <w:jc w:val="center"/>
              <w:ind w:right="220"/>
              <w:spacing w:after="0"/>
              <w:rPr>
                <w:sz w:val="20"/>
                <w:szCs w:val="20"/>
                <w:color w:val="auto"/>
              </w:rPr>
            </w:pPr>
            <w:r>
              <w:rPr>
                <w:rFonts w:ascii="Arial" w:cs="Arial" w:eastAsia="Arial" w:hAnsi="Arial"/>
                <w:sz w:val="13"/>
                <w:szCs w:val="13"/>
                <w:b w:val="1"/>
                <w:bCs w:val="1"/>
                <w:color w:val="auto"/>
              </w:rPr>
              <w:t>Amount of Gains (Losses) Recognized in Interest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gridSpan w:val="13"/>
          </w:tcPr>
          <w:p>
            <w:pPr>
              <w:jc w:val="center"/>
              <w:ind w:right="180"/>
              <w:spacing w:after="0"/>
              <w:rPr>
                <w:sz w:val="20"/>
                <w:szCs w:val="20"/>
                <w:color w:val="auto"/>
              </w:rPr>
            </w:pPr>
            <w:r>
              <w:rPr>
                <w:rFonts w:ascii="Arial" w:cs="Arial" w:eastAsia="Arial" w:hAnsi="Arial"/>
                <w:sz w:val="13"/>
                <w:szCs w:val="13"/>
                <w:b w:val="1"/>
                <w:bCs w:val="1"/>
                <w:color w:val="auto"/>
              </w:rPr>
              <w:t>OCI Impact on Derivatives-Gains (Losses)</w:t>
            </w:r>
          </w:p>
        </w:tc>
      </w:tr>
      <w:tr>
        <w:trPr>
          <w:trHeight w:val="180"/>
        </w:trPr>
        <w:tc>
          <w:tcPr>
            <w:tcW w:w="2320" w:type="dxa"/>
            <w:vAlign w:val="bottom"/>
          </w:tcPr>
          <w:p>
            <w:pPr>
              <w:spacing w:after="0"/>
              <w:rPr>
                <w:sz w:val="15"/>
                <w:szCs w:val="15"/>
                <w:color w:val="auto"/>
              </w:rPr>
            </w:pPr>
          </w:p>
        </w:tc>
        <w:tc>
          <w:tcPr>
            <w:tcW w:w="1640" w:type="dxa"/>
            <w:vAlign w:val="bottom"/>
          </w:tcPr>
          <w:p>
            <w:pPr>
              <w:jc w:val="center"/>
              <w:ind w:right="14"/>
              <w:spacing w:after="0"/>
              <w:rPr>
                <w:sz w:val="20"/>
                <w:szCs w:val="20"/>
                <w:color w:val="auto"/>
              </w:rPr>
            </w:pPr>
            <w:r>
              <w:rPr>
                <w:rFonts w:ascii="Arial" w:cs="Arial" w:eastAsia="Arial" w:hAnsi="Arial"/>
                <w:sz w:val="13"/>
                <w:szCs w:val="13"/>
                <w:b w:val="1"/>
                <w:bCs w:val="1"/>
                <w:color w:val="auto"/>
              </w:rPr>
              <w:t>Instruments</w:t>
            </w:r>
          </w:p>
        </w:tc>
        <w:tc>
          <w:tcPr>
            <w:tcW w:w="120" w:type="dxa"/>
            <w:vAlign w:val="bottom"/>
          </w:tcPr>
          <w:p>
            <w:pPr>
              <w:spacing w:after="0"/>
              <w:rPr>
                <w:sz w:val="15"/>
                <w:szCs w:val="15"/>
                <w:color w:val="auto"/>
              </w:rPr>
            </w:pPr>
          </w:p>
        </w:tc>
        <w:tc>
          <w:tcPr>
            <w:tcW w:w="2840" w:type="dxa"/>
            <w:vAlign w:val="bottom"/>
            <w:gridSpan w:val="11"/>
          </w:tcPr>
          <w:p>
            <w:pPr>
              <w:jc w:val="center"/>
              <w:ind w:left="334"/>
              <w:spacing w:after="0"/>
              <w:rPr>
                <w:sz w:val="20"/>
                <w:szCs w:val="20"/>
                <w:color w:val="auto"/>
              </w:rPr>
            </w:pPr>
            <w:r>
              <w:rPr>
                <w:rFonts w:ascii="Arial" w:cs="Arial" w:eastAsia="Arial" w:hAnsi="Arial"/>
                <w:sz w:val="13"/>
                <w:szCs w:val="13"/>
                <w:b w:val="1"/>
                <w:bCs w:val="1"/>
                <w:color w:val="auto"/>
              </w:rPr>
              <w:t>Income on Derivative Instruments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recorded in OCI</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6"/>
          </w:tcPr>
          <w:p>
            <w:pPr>
              <w:ind w:left="100"/>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3"/>
                <w:szCs w:val="13"/>
                <w:color w:val="auto"/>
              </w:rPr>
            </w:pPr>
          </w:p>
        </w:tc>
        <w:tc>
          <w:tcPr>
            <w:tcW w:w="1420" w:type="dxa"/>
            <w:vAlign w:val="bottom"/>
            <w:gridSpan w:val="6"/>
          </w:tcPr>
          <w:p>
            <w:pPr>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38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rPr>
              <w:t>Six Months Ended</w:t>
            </w:r>
          </w:p>
        </w:tc>
      </w:tr>
      <w:tr>
        <w:trPr>
          <w:trHeight w:val="183"/>
        </w:trPr>
        <w:tc>
          <w:tcPr>
            <w:tcW w:w="2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5"/>
          </w:tcPr>
          <w:p>
            <w:pPr>
              <w:ind w:left="320"/>
              <w:spacing w:after="0"/>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9"/>
              </w:rPr>
              <w:t>June 30,</w:t>
            </w:r>
          </w:p>
        </w:tc>
      </w:tr>
      <w:tr>
        <w:trPr>
          <w:trHeight w:val="203"/>
        </w:trPr>
        <w:tc>
          <w:tcPr>
            <w:tcW w:w="2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134"/>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ind w:right="13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ind w:right="74"/>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7"/>
                <w:szCs w:val="17"/>
                <w:color w:val="auto"/>
              </w:rPr>
            </w:pPr>
          </w:p>
        </w:tc>
      </w:tr>
      <w:tr>
        <w:trPr>
          <w:trHeight w:val="171"/>
        </w:trPr>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8"/>
          </w:tcPr>
          <w:p>
            <w:pPr>
              <w:jc w:val="center"/>
              <w:ind w:left="14"/>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4"/>
        </w:trPr>
        <w:tc>
          <w:tcPr>
            <w:tcW w:w="2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3"/>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Derivatives Designated as Hedging</w:t>
            </w:r>
          </w:p>
        </w:tc>
        <w:tc>
          <w:tcPr>
            <w:tcW w:w="1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4"/>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Instruments:</w:t>
            </w:r>
          </w:p>
        </w:tc>
        <w:tc>
          <w:tcPr>
            <w:tcW w:w="1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9"/>
        </w:trPr>
        <w:tc>
          <w:tcPr>
            <w:tcW w:w="2320" w:type="dxa"/>
            <w:vAlign w:val="bottom"/>
          </w:tcPr>
          <w:p>
            <w:pPr>
              <w:ind w:left="100"/>
              <w:spacing w:after="0"/>
              <w:rPr>
                <w:sz w:val="20"/>
                <w:szCs w:val="20"/>
                <w:color w:val="auto"/>
              </w:rPr>
            </w:pPr>
            <w:r>
              <w:rPr>
                <w:rFonts w:ascii="Arial" w:cs="Arial" w:eastAsia="Arial" w:hAnsi="Arial"/>
                <w:sz w:val="13"/>
                <w:szCs w:val="13"/>
                <w:color w:val="auto"/>
              </w:rPr>
              <w:t>Interest rate swaps</w:t>
            </w:r>
          </w:p>
        </w:tc>
        <w:tc>
          <w:tcPr>
            <w:tcW w:w="1640" w:type="dxa"/>
            <w:vAlign w:val="bottom"/>
          </w:tcPr>
          <w:p>
            <w:pPr>
              <w:jc w:val="center"/>
              <w:ind w:right="34"/>
              <w:spacing w:after="0"/>
              <w:rPr>
                <w:sz w:val="20"/>
                <w:szCs w:val="20"/>
                <w:color w:val="auto"/>
              </w:rPr>
            </w:pPr>
            <w:r>
              <w:rPr>
                <w:rFonts w:ascii="Arial" w:cs="Arial" w:eastAsia="Arial" w:hAnsi="Arial"/>
                <w:sz w:val="13"/>
                <w:szCs w:val="13"/>
                <w:color w:val="auto"/>
              </w:rPr>
              <w:t>Interest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446</w:t>
            </w:r>
          </w:p>
        </w:tc>
        <w:tc>
          <w:tcPr>
            <w:tcW w:w="40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17"/>
                <w:szCs w:val="17"/>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7,846</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7,846</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r>
      <w:tr>
        <w:trPr>
          <w:trHeight w:val="225"/>
        </w:trPr>
        <w:tc>
          <w:tcPr>
            <w:tcW w:w="23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3"/>
                <w:szCs w:val="13"/>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7,846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7,846</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ind w:left="400" w:hanging="394"/>
        <w:spacing w:after="0"/>
        <w:tabs>
          <w:tab w:leader="none" w:pos="4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provides a summary of the components of other comprehensive income (“OCI”)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080" w:type="dxa"/>
            <w:vAlign w:val="bottom"/>
            <w:gridSpan w:val="8"/>
          </w:tcPr>
          <w:p>
            <w:pPr>
              <w:jc w:val="right"/>
              <w:ind w:right="140"/>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Before-tax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8"/>
              </w:rPr>
              <w:t>Tax effect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After-tax</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Before-tax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5"/>
              </w:rPr>
              <w:t>Tax effect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b w:val="1"/>
                <w:bCs w:val="1"/>
                <w:color w:val="auto"/>
              </w:rPr>
              <w:t>After-tax</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right"/>
              <w:ind w:right="44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securities:</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480" w:type="dxa"/>
            <w:vAlign w:val="bottom"/>
          </w:tcPr>
          <w:p>
            <w:pPr>
              <w:ind w:left="180"/>
              <w:spacing w:after="0"/>
              <w:rPr>
                <w:sz w:val="20"/>
                <w:szCs w:val="20"/>
                <w:color w:val="auto"/>
              </w:rPr>
            </w:pPr>
            <w:r>
              <w:rPr>
                <w:rFonts w:ascii="Arial" w:cs="Arial" w:eastAsia="Arial" w:hAnsi="Arial"/>
                <w:sz w:val="13"/>
                <w:szCs w:val="13"/>
                <w:color w:val="auto"/>
              </w:rPr>
              <w:t>Net change in fair value recorded in accumulated OCI</w:t>
            </w:r>
          </w:p>
        </w:tc>
        <w:tc>
          <w:tcPr>
            <w:tcW w:w="300" w:type="dxa"/>
            <w:vAlign w:val="bottom"/>
            <w:gridSpan w:val="2"/>
            <w:vMerge w:val="restart"/>
          </w:tcPr>
          <w:p>
            <w:pPr>
              <w:jc w:val="right"/>
              <w:ind w:right="54"/>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(37,996 )</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11,233</w:t>
            </w:r>
          </w:p>
        </w:tc>
        <w:tc>
          <w:tcPr>
            <w:tcW w:w="120" w:type="dxa"/>
            <w:vAlign w:val="bottom"/>
          </w:tcPr>
          <w:p>
            <w:pPr>
              <w:spacing w:after="0"/>
              <w:rPr>
                <w:sz w:val="14"/>
                <w:szCs w:val="14"/>
                <w:color w:val="auto"/>
              </w:rPr>
            </w:pP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(26,763 )</w:t>
            </w:r>
          </w:p>
        </w:tc>
        <w:tc>
          <w:tcPr>
            <w:tcW w:w="320" w:type="dxa"/>
            <w:vAlign w:val="bottom"/>
            <w:gridSpan w:val="2"/>
            <w:vMerge w:val="restart"/>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(142,883 )</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42,241</w:t>
            </w:r>
          </w:p>
        </w:tc>
        <w:tc>
          <w:tcPr>
            <w:tcW w:w="100" w:type="dxa"/>
            <w:vAlign w:val="bottom"/>
          </w:tcPr>
          <w:p>
            <w:pPr>
              <w:spacing w:after="0"/>
              <w:rPr>
                <w:sz w:val="14"/>
                <w:szCs w:val="14"/>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(100,642 )</w:t>
            </w:r>
          </w:p>
        </w:tc>
        <w:tc>
          <w:tcPr>
            <w:tcW w:w="0" w:type="dxa"/>
            <w:vAlign w:val="bottom"/>
          </w:tcPr>
          <w:p>
            <w:pPr>
              <w:spacing w:after="0"/>
              <w:rPr>
                <w:sz w:val="1"/>
                <w:szCs w:val="1"/>
                <w:color w:val="auto"/>
              </w:rPr>
            </w:pPr>
          </w:p>
        </w:tc>
      </w:tr>
      <w:tr>
        <w:trPr>
          <w:trHeight w:val="77"/>
        </w:trPr>
        <w:tc>
          <w:tcPr>
            <w:tcW w:w="448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44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net unrealized losses on securities</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shd w:val="clear" w:color="auto" w:fill="CFF0FC"/>
          </w:tcPr>
          <w:p>
            <w:pPr>
              <w:ind w:left="280"/>
              <w:spacing w:after="0"/>
              <w:rPr>
                <w:sz w:val="20"/>
                <w:szCs w:val="20"/>
                <w:color w:val="auto"/>
              </w:rPr>
            </w:pPr>
            <w:r>
              <w:rPr>
                <w:rFonts w:ascii="Arial" w:cs="Arial" w:eastAsia="Arial" w:hAnsi="Arial"/>
                <w:sz w:val="13"/>
                <w:szCs w:val="13"/>
                <w:color w:val="auto"/>
              </w:rPr>
              <w:t>transferred from available-for-sale to held-to-maturity</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(3,364 )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(28 )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20"/>
              <w:spacing w:after="0"/>
              <w:rPr>
                <w:sz w:val="20"/>
                <w:szCs w:val="20"/>
                <w:color w:val="auto"/>
              </w:rPr>
            </w:pPr>
            <w:r>
              <w:rPr>
                <w:rFonts w:ascii="Arial" w:cs="Arial" w:eastAsia="Arial" w:hAnsi="Arial"/>
                <w:sz w:val="13"/>
                <w:szCs w:val="13"/>
                <w:color w:val="auto"/>
              </w:rPr>
              <w:t>Derivatives designated as hedging instruments: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change in fair value recorded in accumulated OCI</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(3,283 )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480" w:type="dxa"/>
            <w:vAlign w:val="bottom"/>
          </w:tcPr>
          <w:p>
            <w:pPr>
              <w:ind w:left="500"/>
              <w:spacing w:after="0"/>
              <w:rPr>
                <w:sz w:val="20"/>
                <w:szCs w:val="20"/>
                <w:color w:val="auto"/>
              </w:rPr>
            </w:pPr>
            <w:r>
              <w:rPr>
                <w:rFonts w:ascii="Arial" w:cs="Arial" w:eastAsia="Arial" w:hAnsi="Arial"/>
                <w:sz w:val="13"/>
                <w:szCs w:val="13"/>
                <w:color w:val="auto"/>
              </w:rPr>
              <w:t>Net change</w:t>
            </w:r>
          </w:p>
        </w:tc>
        <w:tc>
          <w:tcPr>
            <w:tcW w:w="3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(23,335 )</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4,586</w:t>
            </w:r>
          </w:p>
        </w:tc>
        <w:tc>
          <w:tcPr>
            <w:tcW w:w="12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(18,749 )</w:t>
            </w:r>
          </w:p>
        </w:tc>
        <w:tc>
          <w:tcPr>
            <w:tcW w:w="3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(142,790 )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42,213</w:t>
            </w:r>
          </w:p>
        </w:tc>
        <w:tc>
          <w:tcPr>
            <w:tcW w:w="10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(100,577 )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7"/>
          </w:tcPr>
          <w:p>
            <w:pPr>
              <w:jc w:val="right"/>
              <w:ind w:right="220"/>
              <w:spacing w:after="0"/>
              <w:rPr>
                <w:sz w:val="20"/>
                <w:szCs w:val="20"/>
                <w:color w:val="auto"/>
              </w:rPr>
            </w:pPr>
            <w:r>
              <w:rPr>
                <w:rFonts w:ascii="Arial" w:cs="Arial" w:eastAsia="Arial" w:hAnsi="Arial"/>
                <w:sz w:val="13"/>
                <w:szCs w:val="13"/>
                <w:b w:val="1"/>
                <w:bCs w:val="1"/>
                <w:color w:val="auto"/>
              </w:rPr>
              <w:t>Six Months Ended 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Before-tax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Tax effect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After-tax</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Before-tax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5"/>
              </w:rPr>
              <w:t>Tax effect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b w:val="1"/>
                <w:bCs w:val="1"/>
                <w:color w:val="auto"/>
              </w:rPr>
              <w:t>After-tax</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right"/>
              <w:ind w:right="44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securities:</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180"/>
              <w:spacing w:after="0"/>
              <w:rPr>
                <w:sz w:val="20"/>
                <w:szCs w:val="20"/>
                <w:color w:val="auto"/>
              </w:rPr>
            </w:pPr>
            <w:r>
              <w:rPr>
                <w:rFonts w:ascii="Arial" w:cs="Arial" w:eastAsia="Arial" w:hAnsi="Arial"/>
                <w:sz w:val="13"/>
                <w:szCs w:val="13"/>
                <w:color w:val="auto"/>
              </w:rPr>
              <w:t>Net change in fair value recorded in accumulated OCI</w:t>
            </w:r>
          </w:p>
        </w:tc>
        <w:tc>
          <w:tcPr>
            <w:tcW w:w="34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2,428</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(718 )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1,710</w:t>
            </w:r>
          </w:p>
        </w:tc>
        <w:tc>
          <w:tcPr>
            <w:tcW w:w="100" w:type="dxa"/>
            <w:vAlign w:val="bottom"/>
          </w:tcPr>
          <w:p>
            <w:pPr>
              <w:spacing w:after="0"/>
              <w:rPr>
                <w:sz w:val="15"/>
                <w:szCs w:val="15"/>
                <w:color w:val="auto"/>
              </w:rPr>
            </w:pPr>
          </w:p>
        </w:tc>
        <w:tc>
          <w:tcPr>
            <w:tcW w:w="3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(344,955 )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101,981</w:t>
            </w:r>
          </w:p>
        </w:tc>
        <w:tc>
          <w:tcPr>
            <w:tcW w:w="10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(242,974 )</w:t>
            </w:r>
          </w:p>
        </w:tc>
        <w:tc>
          <w:tcPr>
            <w:tcW w:w="0" w:type="dxa"/>
            <w:vAlign w:val="bottom"/>
          </w:tcPr>
          <w:p>
            <w:pPr>
              <w:spacing w:after="0"/>
              <w:rPr>
                <w:sz w:val="1"/>
                <w:szCs w:val="1"/>
                <w:color w:val="auto"/>
              </w:rPr>
            </w:pPr>
          </w:p>
        </w:tc>
      </w:tr>
      <w:tr>
        <w:trPr>
          <w:trHeight w:val="166"/>
        </w:trPr>
        <w:tc>
          <w:tcPr>
            <w:tcW w:w="44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net unrealized losses on securities</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shd w:val="clear" w:color="auto" w:fill="CFF0FC"/>
          </w:tcPr>
          <w:p>
            <w:pPr>
              <w:ind w:left="280"/>
              <w:spacing w:after="0"/>
              <w:rPr>
                <w:sz w:val="20"/>
                <w:szCs w:val="20"/>
                <w:color w:val="auto"/>
              </w:rPr>
            </w:pPr>
            <w:r>
              <w:rPr>
                <w:rFonts w:ascii="Arial" w:cs="Arial" w:eastAsia="Arial" w:hAnsi="Arial"/>
                <w:sz w:val="13"/>
                <w:szCs w:val="13"/>
                <w:color w:val="auto"/>
              </w:rPr>
              <w:t>transferred from available-for-sale to held-to-maturity</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(3,446 )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(44 )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20"/>
              <w:spacing w:after="0"/>
              <w:rPr>
                <w:sz w:val="20"/>
                <w:szCs w:val="20"/>
                <w:color w:val="auto"/>
              </w:rPr>
            </w:pPr>
            <w:r>
              <w:rPr>
                <w:rFonts w:ascii="Arial" w:cs="Arial" w:eastAsia="Arial" w:hAnsi="Arial"/>
                <w:sz w:val="13"/>
                <w:szCs w:val="13"/>
                <w:color w:val="auto"/>
              </w:rPr>
              <w:t>Derivatives designated as hedging instruments: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change in fair value recorded in accumulated OCI</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(3,283 )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480" w:type="dxa"/>
            <w:vAlign w:val="bottom"/>
          </w:tcPr>
          <w:p>
            <w:pPr>
              <w:ind w:left="500"/>
              <w:spacing w:after="0"/>
              <w:rPr>
                <w:sz w:val="20"/>
                <w:szCs w:val="20"/>
                <w:color w:val="auto"/>
              </w:rPr>
            </w:pPr>
            <w:r>
              <w:rPr>
                <w:rFonts w:ascii="Arial" w:cs="Arial" w:eastAsia="Arial" w:hAnsi="Arial"/>
                <w:sz w:val="13"/>
                <w:szCs w:val="13"/>
                <w:color w:val="auto"/>
              </w:rPr>
              <w:t>Net change</w:t>
            </w:r>
          </w:p>
        </w:tc>
        <w:tc>
          <w:tcPr>
            <w:tcW w:w="34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17,367</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(7,447 )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9,920</w:t>
            </w:r>
          </w:p>
        </w:tc>
        <w:tc>
          <w:tcPr>
            <w:tcW w:w="100" w:type="dxa"/>
            <w:vAlign w:val="bottom"/>
          </w:tcPr>
          <w:p>
            <w:pPr>
              <w:spacing w:after="0"/>
              <w:rPr>
                <w:sz w:val="15"/>
                <w:szCs w:val="15"/>
                <w:color w:val="auto"/>
              </w:rPr>
            </w:pPr>
          </w:p>
        </w:tc>
        <w:tc>
          <w:tcPr>
            <w:tcW w:w="3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(344,809 )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101,938</w:t>
            </w:r>
          </w:p>
        </w:tc>
        <w:tc>
          <w:tcPr>
            <w:tcW w:w="10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(242,871 )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40" w:orient="portrait"/>
          <w:cols w:equalWidth="0" w:num="1">
            <w:col w:w="10560"/>
          </w:cols>
          <w:pgMar w:left="660" w:top="818" w:right="680"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12.  BALANCE SHEET OFFSETTING</w:t>
      </w:r>
    </w:p>
    <w:p>
      <w:pPr>
        <w:spacing w:after="0" w:line="184" w:lineRule="exact"/>
        <w:rPr>
          <w:sz w:val="20"/>
          <w:szCs w:val="20"/>
          <w:color w:val="auto"/>
        </w:rPr>
      </w:pPr>
    </w:p>
    <w:p>
      <w:pPr>
        <w:ind w:right="100" w:firstLine="348"/>
        <w:spacing w:after="0" w:line="237" w:lineRule="auto"/>
        <w:rPr>
          <w:sz w:val="20"/>
          <w:szCs w:val="20"/>
          <w:color w:val="auto"/>
        </w:rPr>
      </w:pPr>
      <w:r>
        <w:rPr>
          <w:rFonts w:ascii="Arial" w:cs="Arial" w:eastAsia="Arial" w:hAnsi="Arial"/>
          <w:sz w:val="16"/>
          <w:szCs w:val="16"/>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not designated as hedging instruments are subject to master netting arrangements. These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67" w:lineRule="exact"/>
        <w:rPr>
          <w:sz w:val="20"/>
          <w:szCs w:val="20"/>
          <w:color w:val="auto"/>
        </w:rPr>
      </w:pPr>
    </w:p>
    <w:p>
      <w:pPr>
        <w:ind w:right="20" w:firstLine="432"/>
        <w:spacing w:after="0"/>
        <w:rPr>
          <w:sz w:val="20"/>
          <w:szCs w:val="20"/>
          <w:color w:val="auto"/>
        </w:rPr>
      </w:pPr>
      <w:r>
        <w:rPr>
          <w:rFonts w:ascii="Arial" w:cs="Arial" w:eastAsia="Arial" w:hAnsi="Arial"/>
          <w:sz w:val="16"/>
          <w:szCs w:val="16"/>
          <w:color w:val="auto"/>
        </w:rPr>
        <w:t xml:space="preserve">In June 2023, fair value hedging transactions were executed in which $1.0 billion notional pay-fixed interest rate swaps were consummated with maturities ranging from four to five years in which the Company pays a weighted average fixed rate of approximately 3.8% and receives daily SOFR. The fair value of these instruments totaled $11.1 million at June 30, 2023. Refer to Note 10 –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of the notes to the unaudited condensed consolidated financial statements of this report for additional information.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Gross Amounts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Gross Amounts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Net Amounts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rPr>
              <w:t>Gross Amounts Not Offset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220" w:type="dxa"/>
            <w:vAlign w:val="bottom"/>
          </w:tcPr>
          <w:p>
            <w:pPr>
              <w:spacing w:after="0"/>
              <w:rPr>
                <w:sz w:val="13"/>
                <w:szCs w:val="13"/>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Recognized in the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Offset in the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Presented in the</w:t>
            </w:r>
          </w:p>
        </w:tc>
        <w:tc>
          <w:tcPr>
            <w:tcW w:w="100" w:type="dxa"/>
            <w:vAlign w:val="bottom"/>
          </w:tcPr>
          <w:p>
            <w:pPr>
              <w:spacing w:after="0"/>
              <w:rPr>
                <w:sz w:val="13"/>
                <w:szCs w:val="13"/>
                <w:color w:val="auto"/>
              </w:rPr>
            </w:pPr>
          </w:p>
        </w:tc>
        <w:tc>
          <w:tcPr>
            <w:tcW w:w="268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rPr>
              <w:t>in the Condensed Consolidated Balance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Condensed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Condensed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Condensed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jc w:val="center"/>
              <w:ind w:left="594"/>
              <w:spacing w:after="0"/>
              <w:rPr>
                <w:sz w:val="20"/>
                <w:szCs w:val="20"/>
                <w:color w:val="auto"/>
              </w:rPr>
            </w:pPr>
            <w:r>
              <w:rPr>
                <w:rFonts w:ascii="Arial" w:cs="Arial" w:eastAsia="Arial" w:hAnsi="Arial"/>
                <w:sz w:val="13"/>
                <w:szCs w:val="13"/>
                <w:b w:val="1"/>
                <w:bCs w:val="1"/>
                <w:color w:val="auto"/>
              </w:rPr>
              <w:t>Sheets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Consolidated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Consolidated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Consolidated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Financial</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Balance Sheets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Balance Sheets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Balance Sheets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Instruments</w:t>
            </w:r>
          </w:p>
        </w:tc>
        <w:tc>
          <w:tcPr>
            <w:tcW w:w="1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Collateral Pledged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Net Amount</w:t>
            </w:r>
          </w:p>
        </w:tc>
      </w:tr>
      <w:tr>
        <w:trPr>
          <w:trHeight w:val="177"/>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6"/>
          </w:tcPr>
          <w:p>
            <w:pPr>
              <w:ind w:left="54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June 30, 2023</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0"/>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Financial assets: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1"/>
        </w:trPr>
        <w:tc>
          <w:tcPr>
            <w:tcW w:w="22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22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80" w:type="dxa"/>
            <w:vAlign w:val="bottom"/>
            <w:shd w:val="clear" w:color="auto" w:fill="CFF0FC"/>
          </w:tcPr>
          <w:p>
            <w:pPr>
              <w:spacing w:after="0"/>
              <w:rPr>
                <w:sz w:val="15"/>
                <w:szCs w:val="15"/>
                <w:color w:val="auto"/>
              </w:rPr>
            </w:pPr>
          </w:p>
        </w:tc>
      </w:tr>
      <w:tr>
        <w:trPr>
          <w:trHeight w:val="161"/>
        </w:trPr>
        <w:tc>
          <w:tcPr>
            <w:tcW w:w="2220" w:type="dxa"/>
            <w:vAlign w:val="bottom"/>
          </w:tcPr>
          <w:p>
            <w:pPr>
              <w:ind w:left="180"/>
              <w:spacing w:after="0"/>
              <w:rPr>
                <w:sz w:val="20"/>
                <w:szCs w:val="20"/>
                <w:color w:val="auto"/>
              </w:rPr>
            </w:pPr>
            <w:r>
              <w:rPr>
                <w:rFonts w:ascii="Arial" w:cs="Arial" w:eastAsia="Arial" w:hAnsi="Arial"/>
                <w:sz w:val="13"/>
                <w:szCs w:val="13"/>
                <w:color w:val="auto"/>
              </w:rPr>
              <w:t>Derivatives designated as</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5"/>
        </w:trPr>
        <w:tc>
          <w:tcPr>
            <w:tcW w:w="2220" w:type="dxa"/>
            <w:vAlign w:val="bottom"/>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11,129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11,129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11,129</w:t>
            </w:r>
          </w:p>
        </w:tc>
        <w:tc>
          <w:tcPr>
            <w:tcW w:w="80" w:type="dxa"/>
            <w:vAlign w:val="bottom"/>
          </w:tcPr>
          <w:p>
            <w:pPr>
              <w:spacing w:after="0"/>
              <w:rPr>
                <w:sz w:val="16"/>
                <w:szCs w:val="16"/>
                <w:color w:val="auto"/>
              </w:rPr>
            </w:pPr>
          </w:p>
        </w:tc>
      </w:tr>
      <w:tr>
        <w:trPr>
          <w:trHeight w:val="225"/>
        </w:trPr>
        <w:tc>
          <w:tcPr>
            <w:tcW w:w="22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11,200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11,200</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11,200</w:t>
            </w:r>
          </w:p>
        </w:tc>
        <w:tc>
          <w:tcPr>
            <w:tcW w:w="80" w:type="dxa"/>
            <w:vAlign w:val="bottom"/>
            <w:shd w:val="clear" w:color="auto" w:fill="CFF0FC"/>
          </w:tcPr>
          <w:p>
            <w:pPr>
              <w:spacing w:after="0"/>
              <w:rPr>
                <w:sz w:val="19"/>
                <w:szCs w:val="19"/>
                <w:color w:val="auto"/>
              </w:rPr>
            </w:pPr>
          </w:p>
        </w:tc>
      </w:tr>
      <w:tr>
        <w:trPr>
          <w:trHeight w:val="336"/>
        </w:trPr>
        <w:tc>
          <w:tcPr>
            <w:tcW w:w="22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1"/>
        </w:trPr>
        <w:tc>
          <w:tcPr>
            <w:tcW w:w="22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22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51,364</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(51,293 )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51,293</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(33,914 )</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17,450</w:t>
            </w:r>
          </w:p>
        </w:tc>
        <w:tc>
          <w:tcPr>
            <w:tcW w:w="80" w:type="dxa"/>
            <w:vAlign w:val="bottom"/>
            <w:shd w:val="clear" w:color="auto" w:fill="CFF0FC"/>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Arial" w:cs="Arial" w:eastAsia="Arial" w:hAnsi="Arial"/>
                <w:sz w:val="13"/>
                <w:szCs w:val="13"/>
                <w:color w:val="auto"/>
              </w:rPr>
              <w:t>Repurchase agreements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452,373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452,373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512,146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964,519</w:t>
            </w:r>
          </w:p>
        </w:tc>
        <w:tc>
          <w:tcPr>
            <w:tcW w:w="80" w:type="dxa"/>
            <w:vAlign w:val="bottom"/>
          </w:tcPr>
          <w:p>
            <w:pPr>
              <w:spacing w:after="0"/>
              <w:rPr>
                <w:sz w:val="15"/>
                <w:szCs w:val="15"/>
                <w:color w:val="auto"/>
              </w:rPr>
            </w:pPr>
          </w:p>
        </w:tc>
      </w:tr>
      <w:tr>
        <w:trPr>
          <w:trHeight w:val="225"/>
        </w:trPr>
        <w:tc>
          <w:tcPr>
            <w:tcW w:w="22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503,737</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(51,293 )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452,444</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51,293</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478,232</w:t>
            </w: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981,969</w:t>
            </w:r>
          </w:p>
        </w:tc>
        <w:tc>
          <w:tcPr>
            <w:tcW w:w="80" w:type="dxa"/>
            <w:vAlign w:val="bottom"/>
            <w:shd w:val="clear" w:color="auto" w:fill="CFF0FC"/>
          </w:tcPr>
          <w:p>
            <w:pPr>
              <w:spacing w:after="0"/>
              <w:rPr>
                <w:sz w:val="19"/>
                <w:szCs w:val="19"/>
                <w:color w:val="auto"/>
              </w:rPr>
            </w:pPr>
          </w:p>
        </w:tc>
      </w:tr>
      <w:tr>
        <w:trPr>
          <w:trHeight w:val="336"/>
        </w:trPr>
        <w:tc>
          <w:tcPr>
            <w:tcW w:w="22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80"/>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Financial assets:</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1"/>
        </w:trPr>
        <w:tc>
          <w:tcPr>
            <w:tcW w:w="2220" w:type="dxa"/>
            <w:vAlign w:val="bottom"/>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220" w:type="dxa"/>
            <w:vAlign w:val="bottom"/>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4"/>
                <w:szCs w:val="14"/>
                <w:color w:val="auto"/>
              </w:rPr>
            </w:pPr>
          </w:p>
        </w:tc>
      </w:tr>
      <w:tr>
        <w:trPr>
          <w:trHeight w:val="225"/>
        </w:trPr>
        <w:tc>
          <w:tcPr>
            <w:tcW w:w="22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FF0FC"/>
          </w:tcPr>
          <w:p>
            <w:pPr>
              <w:spacing w:after="0"/>
              <w:rPr>
                <w:sz w:val="19"/>
                <w:szCs w:val="19"/>
                <w:color w:val="auto"/>
              </w:rPr>
            </w:pPr>
          </w:p>
        </w:tc>
      </w:tr>
      <w:tr>
        <w:trPr>
          <w:trHeight w:val="336"/>
        </w:trPr>
        <w:tc>
          <w:tcPr>
            <w:tcW w:w="22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1"/>
        </w:trPr>
        <w:tc>
          <w:tcPr>
            <w:tcW w:w="22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22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53,996</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(53,914 )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53,914</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(18,258 )</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35,738</w:t>
            </w:r>
          </w:p>
        </w:tc>
        <w:tc>
          <w:tcPr>
            <w:tcW w:w="80" w:type="dxa"/>
            <w:vAlign w:val="bottom"/>
            <w:shd w:val="clear" w:color="auto" w:fill="CFF0FC"/>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Arial" w:cs="Arial" w:eastAsia="Arial" w:hAnsi="Arial"/>
                <w:sz w:val="13"/>
                <w:szCs w:val="13"/>
                <w:color w:val="auto"/>
              </w:rPr>
              <w:t>Repurchase agreements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565,431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565,431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(634,075 )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(68,644 )</w:t>
            </w:r>
          </w:p>
        </w:tc>
      </w:tr>
      <w:tr>
        <w:trPr>
          <w:trHeight w:val="205"/>
        </w:trPr>
        <w:tc>
          <w:tcPr>
            <w:tcW w:w="22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619,427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(53,914 )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565,513</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53,914</w:t>
            </w:r>
          </w:p>
        </w:tc>
        <w:tc>
          <w:tcPr>
            <w:tcW w:w="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(652,333 )</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(32,906 )</w:t>
            </w: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40" w:orient="portrait"/>
          <w:cols w:equalWidth="0" w:num="1">
            <w:col w:w="10560"/>
          </w:cols>
          <w:pgMar w:left="660" w:top="782" w:right="680"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13.  LEASES</w:t>
      </w:r>
    </w:p>
    <w:p>
      <w:pPr>
        <w:spacing w:after="0" w:line="184" w:lineRule="exact"/>
        <w:rPr>
          <w:sz w:val="20"/>
          <w:szCs w:val="20"/>
          <w:color w:val="auto"/>
        </w:rPr>
      </w:pPr>
    </w:p>
    <w:p>
      <w:pPr>
        <w:ind w:right="80" w:firstLine="348"/>
        <w:spacing w:after="0"/>
        <w:rPr>
          <w:sz w:val="20"/>
          <w:szCs w:val="20"/>
          <w:color w:val="auto"/>
        </w:rPr>
      </w:pPr>
      <w:r>
        <w:rPr>
          <w:rFonts w:ascii="Arial" w:cs="Arial" w:eastAsia="Arial" w:hAnsi="Arial"/>
          <w:sz w:val="16"/>
          <w:szCs w:val="16"/>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64" w:lineRule="exact"/>
        <w:rPr>
          <w:sz w:val="20"/>
          <w:szCs w:val="20"/>
          <w:color w:val="auto"/>
        </w:rPr>
      </w:pPr>
    </w:p>
    <w:p>
      <w:pPr>
        <w:ind w:right="580" w:firstLine="348"/>
        <w:spacing w:after="0" w:line="252" w:lineRule="auto"/>
        <w:rPr>
          <w:sz w:val="20"/>
          <w:szCs w:val="20"/>
          <w:color w:val="auto"/>
        </w:rPr>
      </w:pPr>
      <w:r>
        <w:rPr>
          <w:rFonts w:ascii="Arial" w:cs="Arial" w:eastAsia="Arial" w:hAnsi="Arial"/>
          <w:sz w:val="16"/>
          <w:szCs w:val="16"/>
          <w:color w:val="auto"/>
        </w:rPr>
        <w:t>While the Company has, as a lessor, certain equipment finance leases, such leases are not material to the Company’s consolidated financial statements.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tables below present the components of lease costs and supplemental information related to leases as of and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3380" w:type="dxa"/>
            <w:vAlign w:val="bottom"/>
          </w:tcPr>
          <w:p>
            <w:pPr>
              <w:jc w:val="center"/>
              <w:ind w:left="2482"/>
              <w:spacing w:after="0"/>
              <w:rPr>
                <w:sz w:val="20"/>
                <w:szCs w:val="20"/>
                <w:color w:val="auto"/>
              </w:rPr>
            </w:pPr>
            <w:r>
              <w:rPr>
                <w:rFonts w:ascii="Arial" w:cs="Arial" w:eastAsia="Arial" w:hAnsi="Arial"/>
                <w:sz w:val="16"/>
                <w:szCs w:val="16"/>
                <w:b w:val="1"/>
                <w:bCs w:val="1"/>
                <w:color w:val="auto"/>
                <w:w w:val="96"/>
              </w:rPr>
              <w:t>June 30,</w:t>
            </w: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40" w:type="dxa"/>
            <w:vAlign w:val="bottom"/>
          </w:tcPr>
          <w:p>
            <w:pPr>
              <w:jc w:val="right"/>
              <w:ind w:right="542"/>
              <w:spacing w:after="0"/>
              <w:rPr>
                <w:sz w:val="20"/>
                <w:szCs w:val="20"/>
                <w:color w:val="auto"/>
              </w:rPr>
            </w:pPr>
            <w:r>
              <w:rPr>
                <w:rFonts w:ascii="Arial" w:cs="Arial" w:eastAsia="Arial" w:hAnsi="Arial"/>
                <w:sz w:val="16"/>
                <w:szCs w:val="16"/>
                <w:b w:val="1"/>
                <w:bCs w:val="1"/>
                <w:color w:val="auto"/>
                <w:w w:val="96"/>
              </w:rPr>
              <w:t>December 31,</w:t>
            </w:r>
          </w:p>
        </w:tc>
      </w:tr>
      <w:tr>
        <w:trPr>
          <w:trHeight w:val="217"/>
        </w:trPr>
        <w:tc>
          <w:tcPr>
            <w:tcW w:w="4020" w:type="dxa"/>
            <w:vAlign w:val="bottom"/>
          </w:tcPr>
          <w:p>
            <w:pPr>
              <w:spacing w:after="0"/>
              <w:rPr>
                <w:sz w:val="18"/>
                <w:szCs w:val="18"/>
                <w:color w:val="auto"/>
              </w:rPr>
            </w:pPr>
          </w:p>
        </w:tc>
        <w:tc>
          <w:tcPr>
            <w:tcW w:w="3380" w:type="dxa"/>
            <w:vAlign w:val="bottom"/>
          </w:tcPr>
          <w:p>
            <w:pPr>
              <w:jc w:val="right"/>
              <w:ind w:right="162"/>
              <w:spacing w:after="0"/>
              <w:rPr>
                <w:sz w:val="20"/>
                <w:szCs w:val="20"/>
                <w:color w:val="auto"/>
              </w:rPr>
            </w:pPr>
            <w:r>
              <w:rPr>
                <w:rFonts w:ascii="Arial" w:cs="Arial" w:eastAsia="Arial" w:hAnsi="Arial"/>
                <w:sz w:val="16"/>
                <w:szCs w:val="16"/>
                <w:b w:val="1"/>
                <w:bCs w:val="1"/>
                <w:color w:val="auto"/>
              </w:rPr>
              <w:t>2023</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jc w:val="right"/>
              <w:ind w:right="862"/>
              <w:spacing w:after="0"/>
              <w:rPr>
                <w:sz w:val="20"/>
                <w:szCs w:val="20"/>
                <w:color w:val="auto"/>
              </w:rPr>
            </w:pPr>
            <w:r>
              <w:rPr>
                <w:rFonts w:ascii="Arial" w:cs="Arial" w:eastAsia="Arial" w:hAnsi="Arial"/>
                <w:sz w:val="16"/>
                <w:szCs w:val="16"/>
                <w:b w:val="1"/>
                <w:bCs w:val="1"/>
                <w:color w:val="auto"/>
              </w:rPr>
              <w:t>2022</w:t>
            </w:r>
          </w:p>
        </w:tc>
      </w:tr>
      <w:tr>
        <w:trPr>
          <w:trHeight w:val="191"/>
        </w:trPr>
        <w:tc>
          <w:tcPr>
            <w:tcW w:w="40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640" w:type="dxa"/>
            <w:vAlign w:val="bottom"/>
          </w:tcPr>
          <w:p>
            <w:pPr>
              <w:spacing w:after="0"/>
              <w:rPr>
                <w:sz w:val="16"/>
                <w:szCs w:val="16"/>
                <w:color w:val="auto"/>
              </w:rPr>
            </w:pPr>
          </w:p>
        </w:tc>
      </w:tr>
      <w:tr>
        <w:trPr>
          <w:trHeight w:val="207"/>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Lease Assets and Liabilities</w:t>
            </w:r>
          </w:p>
        </w:tc>
        <w:tc>
          <w:tcPr>
            <w:tcW w:w="3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03"/>
        </w:trPr>
        <w:tc>
          <w:tcPr>
            <w:tcW w:w="4020" w:type="dxa"/>
            <w:vAlign w:val="bottom"/>
          </w:tcPr>
          <w:p>
            <w:pPr>
              <w:ind w:left="100"/>
              <w:spacing w:after="0"/>
              <w:rPr>
                <w:sz w:val="20"/>
                <w:szCs w:val="20"/>
                <w:color w:val="auto"/>
              </w:rPr>
            </w:pPr>
            <w:r>
              <w:rPr>
                <w:rFonts w:ascii="Arial" w:cs="Arial" w:eastAsia="Arial" w:hAnsi="Arial"/>
                <w:sz w:val="16"/>
                <w:szCs w:val="16"/>
                <w:color w:val="auto"/>
              </w:rPr>
              <w:t>ROU assets</w:t>
            </w:r>
          </w:p>
        </w:tc>
        <w:tc>
          <w:tcPr>
            <w:tcW w:w="3380" w:type="dxa"/>
            <w:vAlign w:val="bottom"/>
          </w:tcPr>
          <w:p>
            <w:pPr>
              <w:jc w:val="right"/>
              <w:ind w:right="128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4"/>
              <w:spacing w:after="0"/>
              <w:rPr>
                <w:sz w:val="20"/>
                <w:szCs w:val="20"/>
                <w:color w:val="auto"/>
              </w:rPr>
            </w:pPr>
            <w:r>
              <w:rPr>
                <w:rFonts w:ascii="Arial" w:cs="Arial" w:eastAsia="Arial" w:hAnsi="Arial"/>
                <w:sz w:val="16"/>
                <w:szCs w:val="16"/>
                <w:color w:val="auto"/>
              </w:rPr>
              <w:t>23,204</w:t>
            </w:r>
          </w:p>
        </w:tc>
        <w:tc>
          <w:tcPr>
            <w:tcW w:w="70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2"/>
              <w:spacing w:after="0"/>
              <w:rPr>
                <w:sz w:val="20"/>
                <w:szCs w:val="20"/>
                <w:color w:val="auto"/>
              </w:rPr>
            </w:pPr>
            <w:r>
              <w:rPr>
                <w:rFonts w:ascii="Arial" w:cs="Arial" w:eastAsia="Arial" w:hAnsi="Arial"/>
                <w:sz w:val="16"/>
                <w:szCs w:val="16"/>
                <w:color w:val="auto"/>
              </w:rPr>
              <w:t>22,696</w:t>
            </w:r>
          </w:p>
        </w:tc>
      </w:tr>
      <w:tr>
        <w:trPr>
          <w:trHeight w:val="205"/>
        </w:trPr>
        <w:tc>
          <w:tcPr>
            <w:tcW w:w="40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 lease liabilities</w:t>
            </w:r>
          </w:p>
        </w:tc>
        <w:tc>
          <w:tcPr>
            <w:tcW w:w="33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25,227</w:t>
            </w:r>
          </w:p>
        </w:tc>
        <w:tc>
          <w:tcPr>
            <w:tcW w:w="70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24,458</w:t>
            </w: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3200" w:type="dxa"/>
            <w:vAlign w:val="bottom"/>
            <w:gridSpan w:val="7"/>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ind w:left="520"/>
              <w:spacing w:after="0"/>
              <w:rPr>
                <w:sz w:val="20"/>
                <w:szCs w:val="20"/>
                <w:color w:val="auto"/>
              </w:rPr>
            </w:pPr>
            <w:r>
              <w:rPr>
                <w:rFonts w:ascii="Arial" w:cs="Arial" w:eastAsia="Arial" w:hAnsi="Arial"/>
                <w:sz w:val="16"/>
                <w:szCs w:val="16"/>
                <w:b w:val="1"/>
                <w:bCs w:val="1"/>
                <w:color w:val="auto"/>
              </w:rPr>
              <w:t>Six Months Ended</w:t>
            </w:r>
          </w:p>
        </w:tc>
      </w:tr>
      <w:tr>
        <w:trPr>
          <w:trHeight w:val="204"/>
        </w:trPr>
        <w:tc>
          <w:tcPr>
            <w:tcW w:w="4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40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2023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46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191"/>
        </w:trPr>
        <w:tc>
          <w:tcPr>
            <w:tcW w:w="4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6"/>
          </w:tcPr>
          <w:p>
            <w:pPr>
              <w:ind w:left="46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4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Lease Cost</w:t>
            </w: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080" w:type="dxa"/>
            <w:vAlign w:val="bottom"/>
          </w:tcPr>
          <w:p>
            <w:pPr>
              <w:ind w:left="100"/>
              <w:spacing w:after="0"/>
              <w:rPr>
                <w:sz w:val="20"/>
                <w:szCs w:val="20"/>
                <w:color w:val="auto"/>
              </w:rPr>
            </w:pPr>
            <w:r>
              <w:rPr>
                <w:rFonts w:ascii="Arial" w:cs="Arial" w:eastAsia="Arial" w:hAnsi="Arial"/>
                <w:sz w:val="16"/>
                <w:szCs w:val="16"/>
                <w:color w:val="auto"/>
              </w:rPr>
              <w:t>Operating lease expense (1)</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1,840</w:t>
            </w:r>
          </w:p>
        </w:tc>
        <w:tc>
          <w:tcPr>
            <w:tcW w:w="6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3,681</w:t>
            </w:r>
          </w:p>
        </w:tc>
        <w:tc>
          <w:tcPr>
            <w:tcW w:w="1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3,695</w:t>
            </w:r>
          </w:p>
        </w:tc>
        <w:tc>
          <w:tcPr>
            <w:tcW w:w="80" w:type="dxa"/>
            <w:vAlign w:val="bottom"/>
          </w:tcPr>
          <w:p>
            <w:pPr>
              <w:spacing w:after="0"/>
              <w:rPr>
                <w:sz w:val="17"/>
                <w:szCs w:val="17"/>
                <w:color w:val="auto"/>
              </w:rPr>
            </w:pPr>
          </w:p>
        </w:tc>
      </w:tr>
      <w:tr>
        <w:trPr>
          <w:trHeight w:val="205"/>
        </w:trPr>
        <w:tc>
          <w:tcPr>
            <w:tcW w:w="40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Sublease income</w:t>
            </w: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4"/>
        </w:trPr>
        <w:tc>
          <w:tcPr>
            <w:tcW w:w="4080" w:type="dxa"/>
            <w:vAlign w:val="bottom"/>
          </w:tcPr>
          <w:p>
            <w:pPr>
              <w:ind w:left="260"/>
              <w:spacing w:after="0"/>
              <w:rPr>
                <w:sz w:val="20"/>
                <w:szCs w:val="20"/>
                <w:color w:val="auto"/>
              </w:rPr>
            </w:pPr>
            <w:r>
              <w:rPr>
                <w:rFonts w:ascii="Arial" w:cs="Arial" w:eastAsia="Arial" w:hAnsi="Arial"/>
                <w:sz w:val="16"/>
                <w:szCs w:val="16"/>
                <w:color w:val="auto"/>
              </w:rPr>
              <w:t>Total lease expense</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3,681</w:t>
            </w:r>
          </w:p>
        </w:tc>
        <w:tc>
          <w:tcPr>
            <w:tcW w:w="1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3,695</w:t>
            </w:r>
          </w:p>
        </w:tc>
        <w:tc>
          <w:tcPr>
            <w:tcW w:w="8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(1)Includes short-term leases and variable lease costs, which are immaterial.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99"/>
              </w:rPr>
              <w:t>Other Information</w:t>
            </w:r>
          </w:p>
        </w:tc>
        <w:tc>
          <w:tcPr>
            <w:tcW w:w="60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440" w:type="dxa"/>
            <w:vAlign w:val="bottom"/>
            <w:gridSpan w:val="2"/>
          </w:tcPr>
          <w:p>
            <w:pPr>
              <w:ind w:left="100"/>
              <w:spacing w:after="0"/>
              <w:rPr>
                <w:sz w:val="20"/>
                <w:szCs w:val="20"/>
                <w:color w:val="auto"/>
              </w:rPr>
            </w:pPr>
            <w:r>
              <w:rPr>
                <w:rFonts w:ascii="Arial" w:cs="Arial" w:eastAsia="Arial" w:hAnsi="Arial"/>
                <w:sz w:val="16"/>
                <w:szCs w:val="16"/>
                <w:color w:val="auto"/>
              </w:rPr>
              <w:t>Cash paid for amounts included in the</w:t>
            </w: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80" w:type="dxa"/>
            <w:vAlign w:val="bottom"/>
          </w:tcPr>
          <w:p>
            <w:pPr>
              <w:ind w:left="220"/>
              <w:spacing w:after="0"/>
              <w:rPr>
                <w:sz w:val="20"/>
                <w:szCs w:val="20"/>
                <w:color w:val="auto"/>
              </w:rPr>
            </w:pPr>
            <w:r>
              <w:rPr>
                <w:rFonts w:ascii="Arial" w:cs="Arial" w:eastAsia="Arial" w:hAnsi="Arial"/>
                <w:sz w:val="16"/>
                <w:szCs w:val="16"/>
                <w:color w:val="auto"/>
                <w:w w:val="98"/>
              </w:rPr>
              <w:t>measurement of</w:t>
            </w:r>
          </w:p>
        </w:tc>
        <w:tc>
          <w:tcPr>
            <w:tcW w:w="6060" w:type="dxa"/>
            <w:vAlign w:val="bottom"/>
          </w:tcPr>
          <w:p>
            <w:pPr>
              <w:jc w:val="right"/>
              <w:ind w:right="4882"/>
              <w:spacing w:after="0"/>
              <w:rPr>
                <w:sz w:val="20"/>
                <w:szCs w:val="20"/>
                <w:color w:val="auto"/>
              </w:rPr>
            </w:pPr>
            <w:r>
              <w:rPr>
                <w:rFonts w:ascii="Arial" w:cs="Arial" w:eastAsia="Arial" w:hAnsi="Arial"/>
                <w:sz w:val="16"/>
                <w:szCs w:val="16"/>
                <w:color w:val="auto"/>
              </w:rPr>
              <w:t>lease liabilities:</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Operating cash outflows from operating</w:t>
            </w:r>
          </w:p>
        </w:tc>
        <w:tc>
          <w:tcPr>
            <w:tcW w:w="8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3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leases, net</w:t>
            </w:r>
          </w:p>
        </w:tc>
        <w:tc>
          <w:tcPr>
            <w:tcW w:w="6060" w:type="dxa"/>
            <w:vAlign w:val="bottom"/>
            <w:shd w:val="clear" w:color="auto" w:fill="CFF0FC"/>
          </w:tcPr>
          <w:p>
            <w:pPr>
              <w:jc w:val="right"/>
              <w:ind w:right="1322"/>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1,514</w:t>
            </w:r>
          </w:p>
        </w:tc>
        <w:tc>
          <w:tcPr>
            <w:tcW w:w="4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3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6060" w:type="dxa"/>
            <w:vAlign w:val="bottom"/>
          </w:tcPr>
          <w:p>
            <w:pPr>
              <w:jc w:val="center"/>
              <w:ind w:left="4962"/>
              <w:spacing w:after="0" w:line="177" w:lineRule="exact"/>
              <w:rPr>
                <w:sz w:val="20"/>
                <w:szCs w:val="20"/>
                <w:color w:val="auto"/>
              </w:rPr>
            </w:pPr>
            <w:r>
              <w:rPr>
                <w:rFonts w:ascii="Arial" w:cs="Arial" w:eastAsia="Arial" w:hAnsi="Arial"/>
                <w:sz w:val="16"/>
                <w:szCs w:val="16"/>
                <w:b w:val="1"/>
                <w:bCs w:val="1"/>
                <w:color w:val="auto"/>
                <w:w w:val="96"/>
              </w:rPr>
              <w:t>June 30,</w:t>
            </w: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jc w:val="right"/>
              <w:ind w:right="582"/>
              <w:spacing w:after="0" w:line="177" w:lineRule="exact"/>
              <w:rPr>
                <w:sz w:val="20"/>
                <w:szCs w:val="20"/>
                <w:color w:val="auto"/>
              </w:rPr>
            </w:pPr>
            <w:r>
              <w:rPr>
                <w:rFonts w:ascii="Arial" w:cs="Arial" w:eastAsia="Arial" w:hAnsi="Arial"/>
                <w:sz w:val="16"/>
                <w:szCs w:val="16"/>
                <w:b w:val="1"/>
                <w:bCs w:val="1"/>
                <w:color w:val="auto"/>
              </w:rPr>
              <w:t>December 31,</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8"/>
                <w:szCs w:val="18"/>
                <w:color w:val="auto"/>
              </w:rPr>
            </w:pPr>
          </w:p>
        </w:tc>
        <w:tc>
          <w:tcPr>
            <w:tcW w:w="6060" w:type="dxa"/>
            <w:vAlign w:val="bottom"/>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jc w:val="right"/>
              <w:ind w:right="90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4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Lease Term and Discount Rate</w:t>
            </w: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Weighted average remaining lease term</w:t>
            </w: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380" w:type="dxa"/>
            <w:vAlign w:val="bottom"/>
          </w:tcPr>
          <w:p>
            <w:pPr>
              <w:ind w:left="140"/>
              <w:spacing w:after="0"/>
              <w:rPr>
                <w:sz w:val="20"/>
                <w:szCs w:val="20"/>
                <w:color w:val="auto"/>
              </w:rPr>
            </w:pPr>
            <w:r>
              <w:rPr>
                <w:rFonts w:ascii="Arial" w:cs="Arial" w:eastAsia="Arial" w:hAnsi="Arial"/>
                <w:sz w:val="16"/>
                <w:szCs w:val="16"/>
                <w:color w:val="auto"/>
              </w:rPr>
              <w:t>(years)</w:t>
            </w:r>
          </w:p>
        </w:tc>
        <w:tc>
          <w:tcPr>
            <w:tcW w:w="6060" w:type="dxa"/>
            <w:vAlign w:val="bottom"/>
          </w:tcPr>
          <w:p>
            <w:pPr>
              <w:spacing w:after="0"/>
              <w:rPr>
                <w:sz w:val="17"/>
                <w:szCs w:val="17"/>
                <w:color w:val="auto"/>
              </w:rPr>
            </w:pPr>
          </w:p>
        </w:tc>
        <w:tc>
          <w:tcPr>
            <w:tcW w:w="860" w:type="dxa"/>
            <w:vAlign w:val="bottom"/>
          </w:tcPr>
          <w:p>
            <w:pPr>
              <w:ind w:left="260"/>
              <w:spacing w:after="0"/>
              <w:rPr>
                <w:sz w:val="20"/>
                <w:szCs w:val="20"/>
                <w:color w:val="auto"/>
              </w:rPr>
            </w:pPr>
            <w:r>
              <w:rPr>
                <w:rFonts w:ascii="Arial" w:cs="Arial" w:eastAsia="Arial" w:hAnsi="Arial"/>
                <w:sz w:val="16"/>
                <w:szCs w:val="16"/>
                <w:color w:val="auto"/>
              </w:rPr>
              <w:t>4.22</w:t>
            </w:r>
          </w:p>
        </w:tc>
        <w:tc>
          <w:tcPr>
            <w:tcW w:w="40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4.12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Weighted average discount rate</w:t>
            </w:r>
          </w:p>
        </w:tc>
        <w:tc>
          <w:tcPr>
            <w:tcW w:w="860" w:type="dxa"/>
            <w:vAlign w:val="bottom"/>
          </w:tcPr>
          <w:p>
            <w:pPr>
              <w:ind w:left="260"/>
              <w:spacing w:after="0"/>
              <w:rPr>
                <w:sz w:val="20"/>
                <w:szCs w:val="20"/>
                <w:color w:val="auto"/>
              </w:rPr>
            </w:pPr>
            <w:r>
              <w:rPr>
                <w:rFonts w:ascii="Arial" w:cs="Arial" w:eastAsia="Arial" w:hAnsi="Arial"/>
                <w:sz w:val="16"/>
                <w:szCs w:val="16"/>
                <w:color w:val="auto"/>
              </w:rPr>
              <w:t>3.22 %</w:t>
            </w:r>
          </w:p>
        </w:tc>
        <w:tc>
          <w:tcPr>
            <w:tcW w:w="40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2.80 %</w:t>
            </w:r>
          </w:p>
        </w:tc>
        <w:tc>
          <w:tcPr>
            <w:tcW w:w="0" w:type="dxa"/>
            <w:vAlign w:val="bottom"/>
          </w:tcPr>
          <w:p>
            <w:pPr>
              <w:spacing w:after="0"/>
              <w:rPr>
                <w:sz w:val="1"/>
                <w:szCs w:val="1"/>
                <w:color w:val="auto"/>
              </w:rPr>
            </w:pPr>
          </w:p>
        </w:tc>
      </w:tr>
      <w:tr>
        <w:trPr>
          <w:trHeight w:val="372"/>
        </w:trPr>
        <w:tc>
          <w:tcPr>
            <w:tcW w:w="1380" w:type="dxa"/>
            <w:vAlign w:val="bottom"/>
          </w:tcPr>
          <w:p>
            <w:pPr>
              <w:spacing w:after="0"/>
              <w:rPr>
                <w:sz w:val="24"/>
                <w:szCs w:val="24"/>
                <w:color w:val="auto"/>
              </w:rPr>
            </w:pPr>
          </w:p>
        </w:tc>
        <w:tc>
          <w:tcPr>
            <w:tcW w:w="6060" w:type="dxa"/>
            <w:vAlign w:val="bottom"/>
          </w:tcPr>
          <w:p>
            <w:pPr>
              <w:jc w:val="right"/>
              <w:ind w:right="1982"/>
              <w:spacing w:after="0"/>
              <w:rPr>
                <w:sz w:val="20"/>
                <w:szCs w:val="20"/>
                <w:color w:val="auto"/>
              </w:rPr>
            </w:pPr>
            <w:r>
              <w:rPr>
                <w:rFonts w:ascii="Arial" w:cs="Arial" w:eastAsia="Arial" w:hAnsi="Arial"/>
                <w:sz w:val="16"/>
                <w:szCs w:val="16"/>
                <w:color w:val="auto"/>
              </w:rPr>
              <w:t>38</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380" w:type="dxa"/>
            <w:vAlign w:val="bottom"/>
            <w:tcBorders>
              <w:bottom w:val="single" w:sz="8" w:color="EEEEEE"/>
            </w:tcBorders>
          </w:tcPr>
          <w:p>
            <w:pPr>
              <w:spacing w:after="0"/>
              <w:rPr>
                <w:sz w:val="24"/>
                <w:szCs w:val="24"/>
                <w:color w:val="auto"/>
              </w:rPr>
            </w:pPr>
          </w:p>
        </w:tc>
        <w:tc>
          <w:tcPr>
            <w:tcW w:w="60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620"/>
          </w:cols>
          <w:pgMar w:left="660" w:top="782" w:right="620" w:bottom="1440" w:gutter="0" w:footer="0" w:header="0"/>
        </w:sectPr>
      </w:pPr>
    </w:p>
    <w:bookmarkStart w:id="38" w:name="page39"/>
    <w:bookmarkEnd w:id="38"/>
    <w:p>
      <w:pPr>
        <w:ind w:right="300" w:firstLine="348"/>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Company’s lease arrangements that have not yet commenced as of June 30, 2023 and the Company’s short-term lease costs and variable lease costs, for the six months ended June 30, 2023 and 2022 are not material to the consolidated financial statements. The future lease payments required for leases that have initial or remaining non-cancelable lease terms in excess of one year as of June 30, 2023, excluding property taxes and insurance, are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June 30, 2023</w:t>
            </w:r>
          </w:p>
        </w:tc>
      </w:tr>
      <w:tr>
        <w:trPr>
          <w:trHeight w:val="191"/>
        </w:trPr>
        <w:tc>
          <w:tcPr>
            <w:tcW w:w="40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(Dollars in thousands)</w:t>
            </w:r>
          </w:p>
        </w:tc>
      </w:tr>
      <w:tr>
        <w:trPr>
          <w:trHeight w:val="171"/>
        </w:trPr>
        <w:tc>
          <w:tcPr>
            <w:tcW w:w="8820" w:type="dxa"/>
            <w:vAlign w:val="bottom"/>
            <w:tcBorders>
              <w:left w:val="single" w:sz="8" w:color="CFF0FC"/>
            </w:tcBorders>
            <w:gridSpan w:val="2"/>
            <w:shd w:val="clear" w:color="auto" w:fill="CFF0FC"/>
          </w:tcPr>
          <w:p>
            <w:pPr>
              <w:ind w:left="20"/>
              <w:spacing w:after="0" w:line="171" w:lineRule="exact"/>
              <w:rPr>
                <w:sz w:val="20"/>
                <w:szCs w:val="20"/>
                <w:color w:val="auto"/>
              </w:rPr>
            </w:pPr>
            <w:r>
              <w:rPr>
                <w:rFonts w:ascii="Arial" w:cs="Arial" w:eastAsia="Arial" w:hAnsi="Arial"/>
                <w:sz w:val="16"/>
                <w:szCs w:val="16"/>
                <w:b w:val="1"/>
                <w:bCs w:val="1"/>
                <w:color w:val="auto"/>
              </w:rPr>
              <w:t>Year:</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36"/>
        </w:trPr>
        <w:tc>
          <w:tcPr>
            <w:tcW w:w="400" w:type="dxa"/>
            <w:vAlign w:val="bottom"/>
            <w:tcBorders>
              <w:left w:val="single" w:sz="8" w:color="CFF0FC"/>
            </w:tcBorders>
            <w:shd w:val="clear" w:color="auto" w:fill="000000"/>
          </w:tcPr>
          <w:p>
            <w:pPr>
              <w:spacing w:after="0"/>
              <w:rPr>
                <w:sz w:val="3"/>
                <w:szCs w:val="3"/>
                <w:color w:val="auto"/>
              </w:rPr>
            </w:pPr>
          </w:p>
        </w:tc>
        <w:tc>
          <w:tcPr>
            <w:tcW w:w="84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5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r>
      <w:tr>
        <w:trPr>
          <w:trHeight w:val="20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2023 (excluding the six months ended June 30, 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3,486</w:t>
            </w:r>
          </w:p>
        </w:tc>
        <w:tc>
          <w:tcPr>
            <w:tcW w:w="80" w:type="dxa"/>
            <w:vAlign w:val="bottom"/>
          </w:tcPr>
          <w:p>
            <w:pPr>
              <w:spacing w:after="0"/>
              <w:rPr>
                <w:sz w:val="17"/>
                <w:szCs w:val="17"/>
                <w:color w:val="auto"/>
              </w:rPr>
            </w:pPr>
          </w:p>
        </w:tc>
      </w:tr>
      <w:tr>
        <w:trPr>
          <w:trHeight w:val="205"/>
        </w:trPr>
        <w:tc>
          <w:tcPr>
            <w:tcW w:w="400" w:type="dxa"/>
            <w:vAlign w:val="bottom"/>
            <w:tcBorders>
              <w:lef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8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6,858</w:t>
            </w:r>
          </w:p>
        </w:tc>
        <w:tc>
          <w:tcPr>
            <w:tcW w:w="80" w:type="dxa"/>
            <w:vAlign w:val="bottom"/>
            <w:shd w:val="clear" w:color="auto" w:fill="CFF0FC"/>
          </w:tcPr>
          <w:p>
            <w:pPr>
              <w:spacing w:after="0"/>
              <w:rPr>
                <w:sz w:val="17"/>
                <w:szCs w:val="17"/>
                <w:color w:val="auto"/>
              </w:rPr>
            </w:pPr>
          </w:p>
        </w:tc>
      </w:tr>
      <w:tr>
        <w:trPr>
          <w:trHeight w:val="203"/>
        </w:trPr>
        <w:tc>
          <w:tcPr>
            <w:tcW w:w="400" w:type="dxa"/>
            <w:vAlign w:val="bottom"/>
          </w:tcPr>
          <w:p>
            <w:pPr>
              <w:ind w:left="20"/>
              <w:spacing w:after="0"/>
              <w:rPr>
                <w:sz w:val="20"/>
                <w:szCs w:val="20"/>
                <w:color w:val="auto"/>
              </w:rPr>
            </w:pPr>
            <w:r>
              <w:rPr>
                <w:rFonts w:ascii="Arial" w:cs="Arial" w:eastAsia="Arial" w:hAnsi="Arial"/>
                <w:sz w:val="16"/>
                <w:szCs w:val="16"/>
                <w:color w:val="auto"/>
              </w:rPr>
              <w:t>2025</w:t>
            </w: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6,211</w:t>
            </w:r>
          </w:p>
        </w:tc>
        <w:tc>
          <w:tcPr>
            <w:tcW w:w="80" w:type="dxa"/>
            <w:vAlign w:val="bottom"/>
          </w:tcPr>
          <w:p>
            <w:pPr>
              <w:spacing w:after="0"/>
              <w:rPr>
                <w:sz w:val="17"/>
                <w:szCs w:val="17"/>
                <w:color w:val="auto"/>
              </w:rPr>
            </w:pPr>
          </w:p>
        </w:tc>
      </w:tr>
      <w:tr>
        <w:trPr>
          <w:trHeight w:val="205"/>
        </w:trPr>
        <w:tc>
          <w:tcPr>
            <w:tcW w:w="400" w:type="dxa"/>
            <w:vAlign w:val="bottom"/>
            <w:tcBorders>
              <w:lef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8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4,929</w:t>
            </w:r>
          </w:p>
        </w:tc>
        <w:tc>
          <w:tcPr>
            <w:tcW w:w="80" w:type="dxa"/>
            <w:vAlign w:val="bottom"/>
            <w:shd w:val="clear" w:color="auto" w:fill="CFF0FC"/>
          </w:tcPr>
          <w:p>
            <w:pPr>
              <w:spacing w:after="0"/>
              <w:rPr>
                <w:sz w:val="17"/>
                <w:szCs w:val="17"/>
                <w:color w:val="auto"/>
              </w:rPr>
            </w:pPr>
          </w:p>
        </w:tc>
      </w:tr>
      <w:tr>
        <w:trPr>
          <w:trHeight w:val="203"/>
        </w:trPr>
        <w:tc>
          <w:tcPr>
            <w:tcW w:w="400" w:type="dxa"/>
            <w:vAlign w:val="bottom"/>
          </w:tcPr>
          <w:p>
            <w:pPr>
              <w:ind w:left="20"/>
              <w:spacing w:after="0"/>
              <w:rPr>
                <w:sz w:val="20"/>
                <w:szCs w:val="20"/>
                <w:color w:val="auto"/>
              </w:rPr>
            </w:pPr>
            <w:r>
              <w:rPr>
                <w:rFonts w:ascii="Arial" w:cs="Arial" w:eastAsia="Arial" w:hAnsi="Arial"/>
                <w:sz w:val="16"/>
                <w:szCs w:val="16"/>
                <w:color w:val="auto"/>
              </w:rPr>
              <w:t>2027</w:t>
            </w: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3,427</w:t>
            </w:r>
          </w:p>
        </w:tc>
        <w:tc>
          <w:tcPr>
            <w:tcW w:w="80" w:type="dxa"/>
            <w:vAlign w:val="bottom"/>
          </w:tcPr>
          <w:p>
            <w:pPr>
              <w:spacing w:after="0"/>
              <w:rPr>
                <w:sz w:val="17"/>
                <w:szCs w:val="17"/>
                <w:color w:val="auto"/>
              </w:rPr>
            </w:pPr>
          </w:p>
        </w:tc>
      </w:tr>
      <w:tr>
        <w:trPr>
          <w:trHeight w:val="205"/>
        </w:trPr>
        <w:tc>
          <w:tcPr>
            <w:tcW w:w="882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2,262</w:t>
            </w:r>
          </w:p>
        </w:tc>
        <w:tc>
          <w:tcPr>
            <w:tcW w:w="80" w:type="dxa"/>
            <w:vAlign w:val="bottom"/>
            <w:shd w:val="clear" w:color="auto" w:fill="CFF0FC"/>
          </w:tcPr>
          <w:p>
            <w:pPr>
              <w:spacing w:after="0"/>
              <w:rPr>
                <w:sz w:val="17"/>
                <w:szCs w:val="17"/>
                <w:color w:val="auto"/>
              </w:rPr>
            </w:pPr>
          </w:p>
        </w:tc>
      </w:tr>
      <w:tr>
        <w:trPr>
          <w:trHeight w:val="203"/>
        </w:trPr>
        <w:tc>
          <w:tcPr>
            <w:tcW w:w="8820" w:type="dxa"/>
            <w:vAlign w:val="bottom"/>
            <w:gridSpan w:val="2"/>
          </w:tcPr>
          <w:p>
            <w:pPr>
              <w:ind w:left="100"/>
              <w:spacing w:after="0"/>
              <w:rPr>
                <w:sz w:val="20"/>
                <w:szCs w:val="20"/>
                <w:color w:val="auto"/>
              </w:rPr>
            </w:pPr>
            <w:r>
              <w:rPr>
                <w:rFonts w:ascii="Arial" w:cs="Arial" w:eastAsia="Arial" w:hAnsi="Arial"/>
                <w:sz w:val="16"/>
                <w:szCs w:val="16"/>
                <w:color w:val="auto"/>
              </w:rPr>
              <w:t>Total future lease payments</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27,173</w:t>
            </w:r>
          </w:p>
        </w:tc>
        <w:tc>
          <w:tcPr>
            <w:tcW w:w="80" w:type="dxa"/>
            <w:vAlign w:val="bottom"/>
          </w:tcPr>
          <w:p>
            <w:pPr>
              <w:spacing w:after="0"/>
              <w:rPr>
                <w:sz w:val="17"/>
                <w:szCs w:val="17"/>
                <w:color w:val="auto"/>
              </w:rPr>
            </w:pPr>
          </w:p>
        </w:tc>
      </w:tr>
      <w:tr>
        <w:trPr>
          <w:trHeight w:val="205"/>
        </w:trPr>
        <w:tc>
          <w:tcPr>
            <w:tcW w:w="882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6"/>
                <w:szCs w:val="16"/>
                <w:color w:val="auto"/>
              </w:rPr>
              <w:t>Less: Imputed interest</w:t>
            </w:r>
          </w:p>
        </w:tc>
        <w:tc>
          <w:tcPr>
            <w:tcW w:w="1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(1,946)</w:t>
            </w:r>
          </w:p>
        </w:tc>
      </w:tr>
      <w:tr>
        <w:trPr>
          <w:trHeight w:val="204"/>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25,227</w:t>
            </w: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REVENUE RECOGNITION</w:t>
      </w:r>
    </w:p>
    <w:p>
      <w:pPr>
        <w:spacing w:after="0" w:line="184" w:lineRule="exact"/>
        <w:rPr>
          <w:sz w:val="20"/>
          <w:szCs w:val="20"/>
          <w:color w:val="auto"/>
        </w:rPr>
      </w:pPr>
    </w:p>
    <w:p>
      <w:pPr>
        <w:ind w:right="560" w:firstLine="432"/>
        <w:spacing w:after="0" w:line="252" w:lineRule="auto"/>
        <w:rPr>
          <w:sz w:val="20"/>
          <w:szCs w:val="20"/>
          <w:color w:val="auto"/>
        </w:rPr>
      </w:pPr>
      <w:r>
        <w:rPr>
          <w:rFonts w:ascii="Arial" w:cs="Arial" w:eastAsia="Arial" w:hAnsi="Arial"/>
          <w:sz w:val="16"/>
          <w:szCs w:val="16"/>
          <w:color w:val="auto"/>
        </w:rPr>
        <w:t>The following presents noninterest income, segregated by revenue streams in-scope and out-of-scope of ASU No. 2014-09 “Revenue from Contracts with Customers (Topic 606)”, for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w:t>
            </w:r>
          </w:p>
        </w:tc>
      </w:tr>
      <w:tr>
        <w:trPr>
          <w:trHeight w:val="207"/>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2"/>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02"/>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8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82"/>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r>
      <w:tr>
        <w:trPr>
          <w:trHeight w:val="201"/>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50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Noninterest income:</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5000" w:type="dxa"/>
            <w:vAlign w:val="bottom"/>
          </w:tcPr>
          <w:p>
            <w:pPr>
              <w:ind w:left="100"/>
              <w:spacing w:after="0"/>
              <w:rPr>
                <w:sz w:val="20"/>
                <w:szCs w:val="20"/>
                <w:color w:val="auto"/>
              </w:rPr>
            </w:pPr>
            <w:r>
              <w:rPr>
                <w:rFonts w:ascii="Arial" w:cs="Arial" w:eastAsia="Arial" w:hAnsi="Arial"/>
                <w:sz w:val="16"/>
                <w:szCs w:val="16"/>
                <w:i w:val="1"/>
                <w:iCs w:val="1"/>
                <w:color w:val="auto"/>
              </w:rPr>
              <w:t>In-scope of Topic 606: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Service charges on deposit accounts</w:t>
            </w:r>
          </w:p>
        </w:tc>
        <w:tc>
          <w:tcPr>
            <w:tcW w:w="520" w:type="dxa"/>
            <w:vAlign w:val="bottom"/>
            <w:gridSpan w:val="2"/>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4,838</w:t>
            </w:r>
          </w:p>
        </w:tc>
        <w:tc>
          <w:tcPr>
            <w:tcW w:w="540" w:type="dxa"/>
            <w:vAlign w:val="bottom"/>
            <w:gridSpan w:val="2"/>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5,333</w:t>
            </w:r>
          </w:p>
        </w:tc>
        <w:tc>
          <w:tcPr>
            <w:tcW w:w="1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10,182</w:t>
            </w:r>
          </w:p>
        </w:tc>
        <w:tc>
          <w:tcPr>
            <w:tcW w:w="500" w:type="dxa"/>
            <w:vAlign w:val="bottom"/>
            <w:gridSpan w:val="2"/>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10,392</w:t>
            </w:r>
          </w:p>
        </w:tc>
        <w:tc>
          <w:tcPr>
            <w:tcW w:w="80" w:type="dxa"/>
            <w:vAlign w:val="bottom"/>
            <w:shd w:val="clear" w:color="auto" w:fill="CFF0FC"/>
          </w:tcPr>
          <w:p>
            <w:pPr>
              <w:spacing w:after="0"/>
              <w:rPr>
                <w:sz w:val="17"/>
                <w:szCs w:val="17"/>
                <w:color w:val="auto"/>
              </w:rPr>
            </w:pPr>
          </w:p>
        </w:tc>
      </w:tr>
      <w:tr>
        <w:trPr>
          <w:trHeight w:val="203"/>
        </w:trPr>
        <w:tc>
          <w:tcPr>
            <w:tcW w:w="5000" w:type="dxa"/>
            <w:vAlign w:val="bottom"/>
          </w:tcPr>
          <w:p>
            <w:pPr>
              <w:ind w:left="260"/>
              <w:spacing w:after="0"/>
              <w:rPr>
                <w:sz w:val="20"/>
                <w:szCs w:val="20"/>
                <w:color w:val="auto"/>
              </w:rPr>
            </w:pPr>
            <w:r>
              <w:rPr>
                <w:rFonts w:ascii="Arial" w:cs="Arial" w:eastAsia="Arial" w:hAnsi="Arial"/>
                <w:sz w:val="16"/>
                <w:szCs w:val="16"/>
                <w:color w:val="auto"/>
              </w:rPr>
              <w:t>Trust and investment services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6,229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5,784</w:t>
            </w:r>
          </w:p>
        </w:tc>
        <w:tc>
          <w:tcPr>
            <w:tcW w:w="80" w:type="dxa"/>
            <w:vAlign w:val="bottom"/>
          </w:tcPr>
          <w:p>
            <w:pPr>
              <w:spacing w:after="0"/>
              <w:rPr>
                <w:sz w:val="17"/>
                <w:szCs w:val="17"/>
                <w:color w:val="auto"/>
              </w:rPr>
            </w:pPr>
          </w:p>
        </w:tc>
      </w:tr>
      <w:tr>
        <w:trPr>
          <w:trHeight w:val="205"/>
        </w:trPr>
        <w:tc>
          <w:tcPr>
            <w:tcW w:w="5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Bankcard services</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w:t>
            </w:r>
          </w:p>
        </w:tc>
        <w:tc>
          <w:tcPr>
            <w:tcW w:w="80" w:type="dxa"/>
            <w:vAlign w:val="bottom"/>
            <w:shd w:val="clear" w:color="auto" w:fill="CFF0FC"/>
          </w:tcPr>
          <w:p>
            <w:pPr>
              <w:spacing w:after="0"/>
              <w:rPr>
                <w:sz w:val="17"/>
                <w:szCs w:val="17"/>
                <w:color w:val="auto"/>
              </w:rPr>
            </w:pPr>
          </w:p>
        </w:tc>
      </w:tr>
      <w:tr>
        <w:trPr>
          <w:trHeight w:val="203"/>
        </w:trPr>
        <w:tc>
          <w:tcPr>
            <w:tcW w:w="5000" w:type="dxa"/>
            <w:vAlign w:val="bottom"/>
          </w:tcPr>
          <w:p>
            <w:pPr>
              <w:ind w:left="26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5,294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7,080</w:t>
            </w:r>
          </w:p>
        </w:tc>
        <w:tc>
          <w:tcPr>
            <w:tcW w:w="80" w:type="dxa"/>
            <w:vAlign w:val="bottom"/>
          </w:tcPr>
          <w:p>
            <w:pPr>
              <w:spacing w:after="0"/>
              <w:rPr>
                <w:sz w:val="17"/>
                <w:szCs w:val="17"/>
                <w:color w:val="auto"/>
              </w:rPr>
            </w:pPr>
          </w:p>
        </w:tc>
      </w:tr>
      <w:tr>
        <w:trPr>
          <w:trHeight w:val="205"/>
        </w:trPr>
        <w:tc>
          <w:tcPr>
            <w:tcW w:w="50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Noninterest Income (in-scope of Topic 606)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14,067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22,572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23,982</w:t>
            </w:r>
          </w:p>
        </w:tc>
        <w:tc>
          <w:tcPr>
            <w:tcW w:w="80" w:type="dxa"/>
            <w:vAlign w:val="bottom"/>
            <w:shd w:val="clear" w:color="auto" w:fill="CFF0FC"/>
          </w:tcPr>
          <w:p>
            <w:pPr>
              <w:spacing w:after="0"/>
              <w:rPr>
                <w:sz w:val="17"/>
                <w:szCs w:val="17"/>
                <w:color w:val="auto"/>
              </w:rPr>
            </w:pPr>
          </w:p>
        </w:tc>
      </w:tr>
      <w:tr>
        <w:trPr>
          <w:trHeight w:val="203"/>
        </w:trPr>
        <w:tc>
          <w:tcPr>
            <w:tcW w:w="5000" w:type="dxa"/>
            <w:vAlign w:val="bottom"/>
          </w:tcPr>
          <w:p>
            <w:pPr>
              <w:ind w:left="100"/>
              <w:spacing w:after="0"/>
              <w:rPr>
                <w:sz w:val="20"/>
                <w:szCs w:val="20"/>
                <w:color w:val="auto"/>
              </w:rPr>
            </w:pPr>
            <w:r>
              <w:rPr>
                <w:rFonts w:ascii="Arial" w:cs="Arial" w:eastAsia="Arial" w:hAnsi="Arial"/>
                <w:sz w:val="16"/>
                <w:szCs w:val="16"/>
                <w:color w:val="auto"/>
              </w:rPr>
              <w:t>Noninterest Income (out-of-scope of Topic 606)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3,286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1,952</w:t>
            </w:r>
          </w:p>
        </w:tc>
        <w:tc>
          <w:tcPr>
            <w:tcW w:w="80" w:type="dxa"/>
            <w:vAlign w:val="bottom"/>
          </w:tcPr>
          <w:p>
            <w:pPr>
              <w:spacing w:after="0"/>
              <w:rPr>
                <w:sz w:val="17"/>
                <w:szCs w:val="17"/>
                <w:color w:val="auto"/>
              </w:rPr>
            </w:pPr>
          </w:p>
        </w:tc>
      </w:tr>
      <w:tr>
        <w:trPr>
          <w:trHeight w:val="245"/>
        </w:trPr>
        <w:tc>
          <w:tcPr>
            <w:tcW w:w="50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b w:val="1"/>
                <w:bCs w:val="1"/>
                <w:color w:val="auto"/>
              </w:rPr>
              <w:t>Total noninterest income</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12,656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14,670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25,858</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25,934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6"/>
          <w:szCs w:val="16"/>
          <w:color w:val="auto"/>
        </w:rPr>
        <w:t xml:space="preserve">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24 –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included in our Annual Report on Form 10-K for the year ended December 31, 2022 for a more detailed discussion about noninterest revenue streams that are in-scope of Topic 606.</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40" w:orient="portrait"/>
          <w:cols w:equalWidth="0" w:num="1">
            <w:col w:w="10560"/>
          </w:cols>
          <w:pgMar w:left="660" w:top="790" w:right="680" w:bottom="1440" w:gutter="0" w:footer="0" w:header="0"/>
        </w:sectPr>
      </w:pPr>
    </w:p>
    <w:bookmarkStart w:id="39" w:name="page40"/>
    <w:bookmarkEnd w:id="39"/>
    <w:p>
      <w:pPr>
        <w:spacing w:after="0"/>
        <w:tabs>
          <w:tab w:leader="none" w:pos="7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84" w:lineRule="exact"/>
        <w:rPr>
          <w:sz w:val="20"/>
          <w:szCs w:val="20"/>
          <w:color w:val="auto"/>
        </w:rPr>
      </w:pPr>
    </w:p>
    <w:p>
      <w:pPr>
        <w:ind w:left="80" w:right="140" w:firstLine="432"/>
        <w:spacing w:after="0" w:line="238" w:lineRule="auto"/>
        <w:rPr>
          <w:sz w:val="20"/>
          <w:szCs w:val="20"/>
          <w:color w:val="auto"/>
        </w:rPr>
      </w:pPr>
      <w:r>
        <w:rPr>
          <w:rFonts w:ascii="Arial" w:cs="Arial" w:eastAsia="Arial" w:hAnsi="Arial"/>
          <w:sz w:val="16"/>
          <w:szCs w:val="16"/>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2022 and the unaudited condensed consolidated financial statements and accompanying notes presented elsewhere in this report.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CRITICAL ACCOUNTING POLICIES</w:t>
      </w:r>
    </w:p>
    <w:p>
      <w:pPr>
        <w:spacing w:after="0" w:line="172" w:lineRule="exact"/>
        <w:rPr>
          <w:sz w:val="20"/>
          <w:szCs w:val="20"/>
          <w:color w:val="auto"/>
        </w:rPr>
      </w:pPr>
    </w:p>
    <w:p>
      <w:pPr>
        <w:ind w:left="80" w:firstLine="432"/>
        <w:spacing w:after="0" w:line="239" w:lineRule="auto"/>
        <w:rPr>
          <w:sz w:val="20"/>
          <w:szCs w:val="20"/>
          <w:color w:val="auto"/>
        </w:rPr>
      </w:pPr>
      <w:r>
        <w:rPr>
          <w:rFonts w:ascii="Arial" w:cs="Arial" w:eastAsia="Arial" w:hAnsi="Arial"/>
          <w:sz w:val="16"/>
          <w:szCs w:val="16"/>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52" w:lineRule="exact"/>
        <w:rPr>
          <w:sz w:val="20"/>
          <w:szCs w:val="20"/>
          <w:color w:val="auto"/>
        </w:rPr>
      </w:pPr>
    </w:p>
    <w:p>
      <w:pPr>
        <w:ind w:left="80" w:firstLine="432"/>
        <w:spacing w:after="0" w:line="281" w:lineRule="auto"/>
        <w:rPr>
          <w:sz w:val="20"/>
          <w:szCs w:val="20"/>
          <w:color w:val="auto"/>
        </w:rPr>
      </w:pPr>
      <w:r>
        <w:rPr>
          <w:rFonts w:ascii="Arial" w:cs="Arial" w:eastAsia="Arial" w:hAnsi="Arial"/>
          <w:sz w:val="14"/>
          <w:szCs w:val="14"/>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•Allowance for Credit Losses (“ACL”)</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•Business Combinations</w:t>
      </w:r>
    </w:p>
    <w:p>
      <w:pPr>
        <w:ind w:left="620"/>
        <w:spacing w:after="0"/>
        <w:rPr>
          <w:sz w:val="20"/>
          <w:szCs w:val="20"/>
          <w:color w:val="auto"/>
        </w:rPr>
      </w:pPr>
      <w:r>
        <w:rPr>
          <w:rFonts w:ascii="Arial" w:cs="Arial" w:eastAsia="Arial" w:hAnsi="Arial"/>
          <w:sz w:val="16"/>
          <w:szCs w:val="16"/>
          <w:color w:val="auto"/>
        </w:rPr>
        <w:t>•Valuation and Recoverability of Goodwill</w:t>
      </w:r>
    </w:p>
    <w:p>
      <w:pPr>
        <w:spacing w:after="0" w:line="154" w:lineRule="exact"/>
        <w:rPr>
          <w:sz w:val="20"/>
          <w:szCs w:val="20"/>
          <w:color w:val="auto"/>
        </w:rPr>
      </w:pPr>
    </w:p>
    <w:p>
      <w:pPr>
        <w:ind w:left="80" w:right="140" w:firstLine="432"/>
        <w:spacing w:after="0"/>
        <w:rPr>
          <w:sz w:val="20"/>
          <w:szCs w:val="20"/>
          <w:color w:val="auto"/>
        </w:rPr>
      </w:pPr>
      <w:r>
        <w:rPr>
          <w:rFonts w:ascii="Arial" w:cs="Arial" w:eastAsia="Arial" w:hAnsi="Arial"/>
          <w:sz w:val="16"/>
          <w:szCs w:val="16"/>
          <w:color w:val="auto"/>
        </w:rPr>
        <w:t>Our significant accounting policies are described in greater detail in our 2022 Annual Report on Form 10-K in the “Critical Accounting Policies” section of Management’s Discussion and Analysis of Financial Condition and Results of Operations and in Note 3 – Summary of Significant Accounting Policies, included in our Annual Report on Form 10- K for the year ended December 31, 2022, which are essential to understanding Management’s Discussion and Analysis of Financial Condition and Results of Operations.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Recently Issued Accounting Pronouncements but Not Adopted as of June 30, 2023</w:t>
      </w:r>
    </w:p>
    <w:p>
      <w:pPr>
        <w:sectPr>
          <w:pgSz w:w="11900" w:h="16840" w:orient="portrait"/>
          <w:cols w:equalWidth="0" w:num="1">
            <w:col w:w="10620"/>
          </w:cols>
          <w:pgMar w:left="580" w:top="782" w:right="700" w:bottom="1440" w:gutter="0" w:footer="0" w:header="0"/>
        </w:sectPr>
      </w:pPr>
    </w:p>
    <w:p>
      <w:pPr>
        <w:spacing w:after="0" w:line="296" w:lineRule="exact"/>
        <w:rPr>
          <w:sz w:val="20"/>
          <w:szCs w:val="20"/>
          <w:color w:val="auto"/>
        </w:rPr>
      </w:pPr>
    </w:p>
    <w:p>
      <w:pPr>
        <w:jc w:val="center"/>
        <w:ind w:left="140"/>
        <w:spacing w:after="0"/>
        <w:rPr>
          <w:sz w:val="20"/>
          <w:szCs w:val="20"/>
          <w:color w:val="auto"/>
        </w:rPr>
      </w:pPr>
      <w:r>
        <w:rPr>
          <w:rFonts w:ascii="Arial" w:cs="Arial" w:eastAsia="Arial" w:hAnsi="Arial"/>
          <w:sz w:val="13"/>
          <w:szCs w:val="13"/>
          <w:b w:val="1"/>
          <w:bCs w:val="1"/>
          <w:color w:val="auto"/>
        </w:rPr>
        <w:t>Standard</w:t>
      </w:r>
    </w:p>
    <w:p>
      <w:pPr>
        <w:spacing w:after="0" w:line="39" w:lineRule="exact"/>
        <w:rPr>
          <w:sz w:val="20"/>
          <w:szCs w:val="20"/>
          <w:color w:val="auto"/>
        </w:rPr>
      </w:pPr>
    </w:p>
    <w:p>
      <w:pPr>
        <w:ind w:left="100"/>
        <w:spacing w:after="0" w:line="256" w:lineRule="auto"/>
        <w:rPr>
          <w:sz w:val="20"/>
          <w:szCs w:val="20"/>
          <w:color w:val="auto"/>
        </w:rPr>
      </w:pPr>
      <w:r>
        <w:rPr>
          <w:rFonts w:ascii="Arial" w:cs="Arial" w:eastAsia="Arial" w:hAnsi="Arial"/>
          <w:sz w:val="13"/>
          <w:szCs w:val="13"/>
          <w:color w:val="auto"/>
        </w:rPr>
        <w:t>ASU 2022-03, Fair Value Measurement (Topic 820): Fair Value Measurement of Equity Securities Subject to Contractual Sale Restrictions</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Issued June 2022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left="-259"/>
        <w:spacing w:after="0"/>
        <w:rPr>
          <w:sz w:val="20"/>
          <w:szCs w:val="20"/>
          <w:color w:val="auto"/>
        </w:rPr>
      </w:pPr>
      <w:r>
        <w:rPr>
          <w:rFonts w:ascii="Arial" w:cs="Arial" w:eastAsia="Arial" w:hAnsi="Arial"/>
          <w:sz w:val="13"/>
          <w:szCs w:val="13"/>
          <w:b w:val="1"/>
          <w:bCs w:val="1"/>
          <w:color w:val="auto"/>
        </w:rPr>
        <w:t>Adoption</w:t>
      </w:r>
    </w:p>
    <w:p>
      <w:pPr>
        <w:spacing w:after="0" w:line="23" w:lineRule="exact"/>
        <w:rPr>
          <w:sz w:val="20"/>
          <w:szCs w:val="20"/>
          <w:color w:val="auto"/>
        </w:rPr>
      </w:pPr>
    </w:p>
    <w:p>
      <w:pPr>
        <w:ind w:left="1740"/>
        <w:spacing w:after="0"/>
        <w:tabs>
          <w:tab w:leader="none" w:pos="4540" w:val="left"/>
          <w:tab w:leader="none" w:pos="6000" w:val="left"/>
        </w:tabs>
        <w:rPr>
          <w:sz w:val="20"/>
          <w:szCs w:val="20"/>
          <w:color w:val="auto"/>
        </w:rPr>
      </w:pPr>
      <w:r>
        <w:rPr>
          <w:rFonts w:ascii="Arial" w:cs="Arial" w:eastAsia="Arial" w:hAnsi="Arial"/>
          <w:sz w:val="13"/>
          <w:szCs w:val="13"/>
          <w:b w:val="1"/>
          <w:bCs w:val="1"/>
          <w:color w:val="auto"/>
        </w:rPr>
        <w:t>Description</w:t>
      </w:r>
      <w:r>
        <w:rPr>
          <w:sz w:val="20"/>
          <w:szCs w:val="20"/>
          <w:color w:val="auto"/>
        </w:rPr>
        <w:tab/>
      </w:r>
      <w:r>
        <w:rPr>
          <w:rFonts w:ascii="Arial" w:cs="Arial" w:eastAsia="Arial" w:hAnsi="Arial"/>
          <w:sz w:val="13"/>
          <w:szCs w:val="13"/>
          <w:b w:val="1"/>
          <w:bCs w:val="1"/>
          <w:color w:val="auto"/>
        </w:rPr>
        <w:t>Timing</w:t>
      </w:r>
      <w:r>
        <w:rPr>
          <w:sz w:val="20"/>
          <w:szCs w:val="20"/>
          <w:color w:val="auto"/>
        </w:rPr>
        <w:tab/>
      </w:r>
      <w:r>
        <w:rPr>
          <w:rFonts w:ascii="Arial" w:cs="Arial" w:eastAsia="Arial" w:hAnsi="Arial"/>
          <w:sz w:val="13"/>
          <w:szCs w:val="13"/>
          <w:b w:val="1"/>
          <w:bCs w:val="1"/>
          <w:color w:val="auto"/>
        </w:rPr>
        <w:t>Impact on Financial Statements</w:t>
      </w:r>
    </w:p>
    <w:p>
      <w:pPr>
        <w:spacing w:after="0" w:line="23" w:lineRule="exact"/>
        <w:rPr>
          <w:sz w:val="20"/>
          <w:szCs w:val="20"/>
          <w:color w:val="auto"/>
        </w:rPr>
      </w:pPr>
    </w:p>
    <w:p>
      <w:pPr>
        <w:spacing w:after="0"/>
        <w:tabs>
          <w:tab w:leader="none" w:pos="4440" w:val="left"/>
          <w:tab w:leader="none" w:pos="5360" w:val="left"/>
        </w:tabs>
        <w:rPr>
          <w:sz w:val="20"/>
          <w:szCs w:val="20"/>
          <w:color w:val="auto"/>
        </w:rPr>
      </w:pPr>
      <w:r>
        <w:rPr>
          <w:rFonts w:ascii="Arial" w:cs="Arial" w:eastAsia="Arial" w:hAnsi="Arial"/>
          <w:sz w:val="13"/>
          <w:szCs w:val="13"/>
          <w:color w:val="auto"/>
        </w:rPr>
        <w:t>On June 30, 2022, the FASB issued ASU 2022-03, Fair Value</w:t>
      </w:r>
      <w:r>
        <w:rPr>
          <w:sz w:val="20"/>
          <w:szCs w:val="20"/>
          <w:color w:val="auto"/>
        </w:rPr>
        <w:tab/>
      </w:r>
      <w:r>
        <w:rPr>
          <w:rFonts w:ascii="Arial" w:cs="Arial" w:eastAsia="Arial" w:hAnsi="Arial"/>
          <w:sz w:val="13"/>
          <w:szCs w:val="13"/>
          <w:color w:val="auto"/>
        </w:rPr>
        <w:t>1st Quarter</w:t>
      </w:r>
      <w:r>
        <w:rPr>
          <w:sz w:val="20"/>
          <w:szCs w:val="20"/>
          <w:color w:val="auto"/>
        </w:rPr>
        <w:tab/>
      </w:r>
      <w:r>
        <w:rPr>
          <w:rFonts w:ascii="Arial" w:cs="Arial" w:eastAsia="Arial" w:hAnsi="Arial"/>
          <w:sz w:val="13"/>
          <w:szCs w:val="13"/>
          <w:color w:val="auto"/>
        </w:rPr>
        <w:t>The adoption of this ASU is not expected to have a</w:t>
      </w:r>
    </w:p>
    <w:p>
      <w:pPr>
        <w:spacing w:after="0" w:line="15" w:lineRule="exact"/>
        <w:rPr>
          <w:sz w:val="20"/>
          <w:szCs w:val="20"/>
          <w:color w:val="auto"/>
        </w:rPr>
      </w:pPr>
    </w:p>
    <w:p>
      <w:pPr>
        <w:spacing w:after="0"/>
        <w:tabs>
          <w:tab w:leader="none" w:pos="4620" w:val="left"/>
          <w:tab w:leader="none" w:pos="5360" w:val="left"/>
        </w:tabs>
        <w:rPr>
          <w:sz w:val="20"/>
          <w:szCs w:val="20"/>
          <w:color w:val="auto"/>
        </w:rPr>
      </w:pPr>
      <w:r>
        <w:rPr>
          <w:rFonts w:ascii="Arial" w:cs="Arial" w:eastAsia="Arial" w:hAnsi="Arial"/>
          <w:sz w:val="13"/>
          <w:szCs w:val="13"/>
          <w:color w:val="auto"/>
        </w:rPr>
        <w:t>Measurement (Topic 820) - Fair Value Measurement of Equity</w:t>
      </w:r>
      <w:r>
        <w:rPr>
          <w:sz w:val="20"/>
          <w:szCs w:val="20"/>
          <w:color w:val="auto"/>
        </w:rPr>
        <w:tab/>
      </w:r>
      <w:r>
        <w:rPr>
          <w:rFonts w:ascii="Arial" w:cs="Arial" w:eastAsia="Arial" w:hAnsi="Arial"/>
          <w:sz w:val="13"/>
          <w:szCs w:val="13"/>
          <w:color w:val="auto"/>
        </w:rPr>
        <w:t>2024</w:t>
      </w:r>
      <w:r>
        <w:rPr>
          <w:sz w:val="20"/>
          <w:szCs w:val="20"/>
          <w:color w:val="auto"/>
        </w:rPr>
        <w:tab/>
      </w:r>
      <w:r>
        <w:rPr>
          <w:rFonts w:ascii="Arial" w:cs="Arial" w:eastAsia="Arial" w:hAnsi="Arial"/>
          <w:sz w:val="13"/>
          <w:szCs w:val="13"/>
          <w:color w:val="auto"/>
        </w:rPr>
        <w:t>material impact on our consolidated financial</w:t>
      </w:r>
    </w:p>
    <w:p>
      <w:pPr>
        <w:spacing w:after="0" w:line="7" w:lineRule="exact"/>
        <w:rPr>
          <w:sz w:val="20"/>
          <w:szCs w:val="20"/>
          <w:color w:val="auto"/>
        </w:rPr>
      </w:pPr>
    </w:p>
    <w:p>
      <w:pPr>
        <w:spacing w:after="0"/>
        <w:tabs>
          <w:tab w:leader="none" w:pos="5360" w:val="left"/>
        </w:tabs>
        <w:rPr>
          <w:sz w:val="20"/>
          <w:szCs w:val="20"/>
          <w:color w:val="auto"/>
        </w:rPr>
      </w:pPr>
      <w:r>
        <w:rPr>
          <w:rFonts w:ascii="Arial" w:cs="Arial" w:eastAsia="Arial" w:hAnsi="Arial"/>
          <w:sz w:val="13"/>
          <w:szCs w:val="13"/>
          <w:color w:val="auto"/>
        </w:rPr>
        <w:t>Securities Subject to Contractual Sale Restrictions. This ASU clarifies</w:t>
      </w:r>
      <w:r>
        <w:rPr>
          <w:sz w:val="20"/>
          <w:szCs w:val="20"/>
          <w:color w:val="auto"/>
        </w:rPr>
        <w:tab/>
      </w:r>
      <w:r>
        <w:rPr>
          <w:rFonts w:ascii="Arial" w:cs="Arial" w:eastAsia="Arial" w:hAnsi="Arial"/>
          <w:sz w:val="13"/>
          <w:szCs w:val="13"/>
          <w:color w:val="auto"/>
        </w:rPr>
        <w:t>statements.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that a contractual restriction on the sale of an equity security is not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considered part of the unit of account of the equity security and is not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considered in measuring fair value. Further, this ASU clarifies that an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entity cannot, recognize and measure a contractual sale restriction as a</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separate unit of account. Additionally, the amendments require the</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disclosures for equity securities subject to contractual sale restrictions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to include the fair value of equity securities subject to contractual sale</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restrictions reflected on the balance sheet, the nature and remaining</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duration of the restrictions and the circumstances that could cause a</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lapse in the restrictions. This ASU is effective for interim and annual</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reporting periods beginning after December 15, 2023; early adoption is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permitted.</w:t>
      </w:r>
    </w:p>
    <w:p>
      <w:pPr>
        <w:spacing w:after="0" w:line="191" w:lineRule="exact"/>
        <w:rPr>
          <w:sz w:val="20"/>
          <w:szCs w:val="20"/>
          <w:color w:val="auto"/>
        </w:rPr>
      </w:pPr>
    </w:p>
    <w:p>
      <w:pPr>
        <w:sectPr>
          <w:pgSz w:w="11900" w:h="16840" w:orient="portrait"/>
          <w:cols w:equalWidth="0" w:num="2">
            <w:col w:w="1800" w:space="200"/>
            <w:col w:w="8620"/>
          </w:cols>
          <w:pgMar w:left="580" w:top="782" w:right="700"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164465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782" w:right="700" w:bottom="1440" w:gutter="0" w:footer="0" w:header="0"/>
          <w:type w:val="continuous"/>
        </w:sectPr>
      </w:pPr>
    </w:p>
    <w:bookmarkStart w:id="40" w:name="page41"/>
    <w:bookmarkEnd w:id="40"/>
    <w:p>
      <w:pPr>
        <w:jc w:val="center"/>
        <w:ind w:right="20"/>
        <w:spacing w:after="0"/>
        <w:rPr>
          <w:sz w:val="20"/>
          <w:szCs w:val="20"/>
          <w:color w:val="auto"/>
        </w:rPr>
      </w:pPr>
      <w:r>
        <w:rPr>
          <w:rFonts w:ascii="Arial" w:cs="Arial" w:eastAsia="Arial" w:hAnsi="Arial"/>
          <w:sz w:val="16"/>
          <w:szCs w:val="16"/>
          <w:b w:val="1"/>
          <w:bCs w:val="1"/>
          <w:color w:val="auto"/>
        </w:rPr>
        <w:t>OVERVIEW</w:t>
      </w:r>
    </w:p>
    <w:p>
      <w:pPr>
        <w:spacing w:after="0" w:line="184" w:lineRule="exact"/>
        <w:rPr>
          <w:sz w:val="20"/>
          <w:szCs w:val="20"/>
          <w:color w:val="auto"/>
        </w:rPr>
      </w:pPr>
    </w:p>
    <w:p>
      <w:pPr>
        <w:ind w:firstLine="432"/>
        <w:spacing w:after="0" w:line="239" w:lineRule="auto"/>
        <w:rPr>
          <w:sz w:val="20"/>
          <w:szCs w:val="20"/>
          <w:color w:val="auto"/>
        </w:rPr>
      </w:pPr>
      <w:r>
        <w:rPr>
          <w:rFonts w:ascii="Arial" w:cs="Arial" w:eastAsia="Arial" w:hAnsi="Arial"/>
          <w:sz w:val="16"/>
          <w:szCs w:val="16"/>
          <w:color w:val="auto"/>
        </w:rPr>
        <w:t>For the second quarter of 2023, we reported net earnings of $55.8 million, compared with $59.3 million for the first quarter of 2023 and $59.1 million for the second quarter of 2022. Diluted earnings per share were $ 0.40 for the second quarter, compared to $0.42 for the prior quarter and $0.42 for the same period last year. Net income of $55.8 million for the second quarter of 2023 produced an annualized return on average equity (“ROAE”) of 11.03%, an annualized return on average tangible common equity (“ROATCE”) of 18.39%, and an annualized return on average assets (“ROAA”) of 1.36%. Our net interest margin, tax equivalent (“NIM”), was 3.22% for the second quarter of 2023, while our efficiency ratio was 40.86%.</w:t>
      </w:r>
    </w:p>
    <w:p>
      <w:pPr>
        <w:spacing w:after="0" w:line="164" w:lineRule="exact"/>
        <w:rPr>
          <w:sz w:val="20"/>
          <w:szCs w:val="20"/>
          <w:color w:val="auto"/>
        </w:rPr>
      </w:pPr>
    </w:p>
    <w:p>
      <w:pPr>
        <w:ind w:right="260" w:firstLine="432"/>
        <w:spacing w:after="0" w:line="238" w:lineRule="auto"/>
        <w:rPr>
          <w:sz w:val="20"/>
          <w:szCs w:val="20"/>
          <w:color w:val="auto"/>
        </w:rPr>
      </w:pPr>
      <w:r>
        <w:rPr>
          <w:rFonts w:ascii="Arial" w:cs="Arial" w:eastAsia="Arial" w:hAnsi="Arial"/>
          <w:sz w:val="16"/>
          <w:szCs w:val="16"/>
          <w:color w:val="auto"/>
        </w:rPr>
        <w:t>The second quarter of 2023 included $500,000 in provision for credit losses, compared to $1.5 million in provision for credit losses in the first quarter of 2023 and $3.6 million in the second quarter of 2022. The year-to-date provision for credit losses of $2.0 million was the result of an overall increase in projected loss rates from 0.94% at the end of 2022 to 0.98% at June 30, 2023. The increase in projected loss rates continues to be driven primarily by a deteriorating economic forecast that assumes modest GDP growth through 2024, as well as lower commercial real estate values and an increase in the rate of unemployment. Our forecast reflects GDP growth of 1.5% for all of 2023 and 0.8% in 2024. Unemployment is forecasted to be 3.8% in 2023 and 5.0% in 2024.</w:t>
      </w:r>
    </w:p>
    <w:p>
      <w:pPr>
        <w:spacing w:after="0" w:line="166" w:lineRule="exact"/>
        <w:rPr>
          <w:sz w:val="20"/>
          <w:szCs w:val="20"/>
          <w:color w:val="auto"/>
        </w:rPr>
      </w:pPr>
    </w:p>
    <w:p>
      <w:pPr>
        <w:ind w:right="80" w:firstLine="432"/>
        <w:spacing w:after="0"/>
        <w:rPr>
          <w:sz w:val="20"/>
          <w:szCs w:val="20"/>
          <w:color w:val="auto"/>
        </w:rPr>
      </w:pPr>
      <w:r>
        <w:rPr>
          <w:rFonts w:ascii="Arial" w:cs="Arial" w:eastAsia="Arial" w:hAnsi="Arial"/>
          <w:sz w:val="16"/>
          <w:szCs w:val="16"/>
          <w:color w:val="auto"/>
        </w:rPr>
        <w:t>On January 7, 2022, we completed the acquisition of Suncrest Bank (“Suncrest”). At close, Citizens Business Bank acquired loans with a fair value of $774.5 million, assumed $512.8 million of noninterest-bearing deposits, and $669.8 million of interest-bearing deposits. The integration of Suncrest was completed in the second quarter with the consolidation of two banking centers. As a result of the Suncrest merger, we incurred $6.0 million in acquisition expense during the first six months of 2022.</w:t>
      </w:r>
    </w:p>
    <w:p>
      <w:pPr>
        <w:spacing w:after="0" w:line="164" w:lineRule="exact"/>
        <w:rPr>
          <w:sz w:val="20"/>
          <w:szCs w:val="20"/>
          <w:color w:val="auto"/>
        </w:rPr>
      </w:pPr>
    </w:p>
    <w:p>
      <w:pPr>
        <w:ind w:right="60" w:firstLine="432"/>
        <w:spacing w:after="0"/>
        <w:rPr>
          <w:sz w:val="20"/>
          <w:szCs w:val="20"/>
          <w:color w:val="auto"/>
        </w:rPr>
      </w:pPr>
      <w:r>
        <w:rPr>
          <w:rFonts w:ascii="Arial" w:cs="Arial" w:eastAsia="Arial" w:hAnsi="Arial"/>
          <w:sz w:val="16"/>
          <w:szCs w:val="16"/>
          <w:color w:val="auto"/>
        </w:rPr>
        <w:t>As a result of the acquisition of Suncrest, we recorded a provision for credit loss of $ 4.9 million on January 7, 2022 for the acquired loans that were not considered purchased credit deteriorated (“PCD”). The $6.1 million provision for credit losses for the first six months of 2022 was the net result of the January 7, 2022 provision for credit losses recorded for the acquisition of the Suncrest non-PCD loans and the impact of changes in the economic forecast of certain macroeconomic variables compared to the end of 2021.</w:t>
      </w:r>
    </w:p>
    <w:p>
      <w:pPr>
        <w:spacing w:after="0" w:line="164" w:lineRule="exact"/>
        <w:rPr>
          <w:sz w:val="20"/>
          <w:szCs w:val="20"/>
          <w:color w:val="auto"/>
        </w:rPr>
      </w:pPr>
    </w:p>
    <w:p>
      <w:pPr>
        <w:ind w:right="180" w:firstLine="432"/>
        <w:spacing w:after="0"/>
        <w:rPr>
          <w:sz w:val="20"/>
          <w:szCs w:val="20"/>
          <w:color w:val="auto"/>
        </w:rPr>
      </w:pPr>
      <w:r>
        <w:rPr>
          <w:rFonts w:ascii="Arial" w:cs="Arial" w:eastAsia="Arial" w:hAnsi="Arial"/>
          <w:sz w:val="16"/>
          <w:szCs w:val="16"/>
          <w:color w:val="auto"/>
        </w:rPr>
        <w:t>At June 30, 2023, total assets of $16.48 billion increased by $8.0 million, or 0.05%, from total assets of $16.48 billion at December 31, 2022. Interest-earning assets of $14.94 billion at June 30, 2023 decreased by $36.1 million, or 0.24%, when compared with $14.97 billion at December 31, 2022. The decrease in interest-earning assets was primarily due to a $228.7 million decrease in investment securities and a $172.0 million decrease in total loans, partially offset by a $341.8 million increase in interest-earning balances due from the Federal Reserve.</w:t>
      </w:r>
    </w:p>
    <w:p>
      <w:pPr>
        <w:spacing w:after="0" w:line="164" w:lineRule="exact"/>
        <w:rPr>
          <w:sz w:val="20"/>
          <w:szCs w:val="20"/>
          <w:color w:val="auto"/>
        </w:rPr>
      </w:pPr>
    </w:p>
    <w:p>
      <w:pPr>
        <w:ind w:right="40" w:firstLine="432"/>
        <w:spacing w:after="0" w:line="239" w:lineRule="auto"/>
        <w:rPr>
          <w:sz w:val="20"/>
          <w:szCs w:val="20"/>
          <w:color w:val="auto"/>
        </w:rPr>
      </w:pPr>
      <w:r>
        <w:rPr>
          <w:rFonts w:ascii="Arial" w:cs="Arial" w:eastAsia="Arial" w:hAnsi="Arial"/>
          <w:sz w:val="16"/>
          <w:szCs w:val="16"/>
          <w:color w:val="auto"/>
        </w:rPr>
        <w:t xml:space="preserve">In June 2023, fair value hedging transactions were executed in which $1 billion notional pay-fixed interest rate swaps were consummated with maturities ranging from four to five years, wherein the Company pays a weighted average fixed rate of approximately 3.8% and receives daily SOFR. The fair value of these instruments totaled $11.1 million on June 30, 2023. These instruments generated interest income of $446,000 for the second quarter of 2023. Refer to Note 10 –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of the notes to the unaudited condensed consolidated financial statements of this report for additional information.</w:t>
      </w:r>
    </w:p>
    <w:p>
      <w:pPr>
        <w:spacing w:after="0" w:line="164" w:lineRule="exact"/>
        <w:rPr>
          <w:sz w:val="20"/>
          <w:szCs w:val="20"/>
          <w:color w:val="auto"/>
        </w:rPr>
      </w:pPr>
    </w:p>
    <w:p>
      <w:pPr>
        <w:ind w:right="60" w:firstLine="432"/>
        <w:spacing w:after="0" w:line="239" w:lineRule="auto"/>
        <w:rPr>
          <w:sz w:val="20"/>
          <w:szCs w:val="20"/>
          <w:color w:val="auto"/>
        </w:rPr>
      </w:pPr>
      <w:r>
        <w:rPr>
          <w:rFonts w:ascii="Arial" w:cs="Arial" w:eastAsia="Arial" w:hAnsi="Arial"/>
          <w:sz w:val="16"/>
          <w:szCs w:val="16"/>
          <w:color w:val="auto"/>
        </w:rPr>
        <w:t>Total investment securities were $5.58 billion at June 30, 2023, a decrease of $ 228.7 million, or 3.94%, from $ 5.81 billion at December 31, 2022. At June 30, 2023, investment securities held-to-maturity (“HTM”) totaled $2.51 billion, a decrease of $41.6 million, or 1.63%, from December 31, 2022. At June 30, 2023, investment securities available-for -sale (“AFS”) totaled $3.07 billion, inclusive of a pre-tax net unrealized loss of $497.7 million. AFS securities decreased by $187.1 million, or 5.75%, from $3.26 billion at December 31, 2022. Our tax equivalent yield on investments was 2.37% for the quarter ended June 30, 2023, compared to 2.37% for the March 31, 2023 and 1.93% for the second quarter of 2022.</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2" w:right="640" w:bottom="1440" w:gutter="0" w:footer="0" w:header="0"/>
        </w:sectPr>
      </w:pPr>
    </w:p>
    <w:bookmarkStart w:id="41" w:name="page42"/>
    <w:bookmarkEnd w:id="41"/>
    <w:p>
      <w:pPr>
        <w:ind w:firstLine="432"/>
        <w:spacing w:after="0" w:line="237" w:lineRule="auto"/>
        <w:rPr>
          <w:sz w:val="20"/>
          <w:szCs w:val="20"/>
          <w:color w:val="auto"/>
        </w:rPr>
      </w:pPr>
      <w:r>
        <w:rPr>
          <w:rFonts w:ascii="Arial" w:cs="Arial" w:eastAsia="Arial" w:hAnsi="Arial"/>
          <w:sz w:val="16"/>
          <w:szCs w:val="16"/>
          <w:color w:val="auto"/>
        </w:rPr>
        <w:t>Total loans and leases, at amortized cost, of $8.91 billion at June 30, 2023, declined by $172.0 million, or 1.89%, from December 31, 2022. After adjusting for seasonality of dairy &amp; livestock and PPP loans, our core loans declined by $31.9 million, or 0.37%, from December 31, 2022. The $ 172.0 million decrease in total loans included decreases of $136.0 million in dairy &amp; livestock loans, $ 19.4 million in construction loans, $12.0 million in SBA loans, $4.1 million in PPP loans, and $21.8 million in consumer and other loans, partially offset by increases of $ 19.1 million in commercial real estate loans, and $7.6 million in commercial and industrial loans. The decline in dairy &amp; livestock loans primarily relates to the seasonal peak in line utilization at the end of every calendar year, demonstrated by a decline in utilization from 78% at December 31, 2022 to 68% at June 30, 2023. Our yield on loans was 5.01% for the quarter ended June 30, 2023, compared to 4.90% for the quarter ended March 31, 2023 and 4.31% for the second quarter of 2022. Loan yields, excluding the impact of PPP loans and discount accretion from acquired loans, increased from 4.20% in the second quarter of 2022 to 4.96% in the second quarter of 2023. This 76 basis point increase in our core loan yields year-over-year is a result of recent increases in interest rates, highlighted by the 500 basis point increase in the Fed Funds rate since the end of the first quarter of 2022.</w:t>
      </w:r>
    </w:p>
    <w:p>
      <w:pPr>
        <w:spacing w:after="0" w:line="164" w:lineRule="exact"/>
        <w:rPr>
          <w:sz w:val="20"/>
          <w:szCs w:val="20"/>
          <w:color w:val="auto"/>
        </w:rPr>
      </w:pPr>
    </w:p>
    <w:p>
      <w:pPr>
        <w:ind w:right="140" w:firstLine="432"/>
        <w:spacing w:after="0"/>
        <w:rPr>
          <w:sz w:val="20"/>
          <w:szCs w:val="20"/>
          <w:color w:val="auto"/>
        </w:rPr>
      </w:pPr>
      <w:r>
        <w:rPr>
          <w:rFonts w:ascii="Arial" w:cs="Arial" w:eastAsia="Arial" w:hAnsi="Arial"/>
          <w:sz w:val="16"/>
          <w:szCs w:val="16"/>
          <w:color w:val="auto"/>
        </w:rPr>
        <w:t>The allowance for credit losses totaled $87.0 million at June 30, 2023, compared to $85.1 million at December 31, 2022. The $2 million provision for credit losses in the first half of 2023 was the result of an overall increase in projected loss rates from 0.94% at the end of 2022 to 0.98% at June 30, 2023. The increase in projected loss rates continues to be driven primarily by a deteriorating economic forecast that assumes modest GDP growth through 2024, as well as lower commercial real estate values and an increase in the rate of unemployment.</w:t>
      </w:r>
    </w:p>
    <w:p>
      <w:pPr>
        <w:spacing w:after="0" w:line="164" w:lineRule="exact"/>
        <w:rPr>
          <w:sz w:val="20"/>
          <w:szCs w:val="20"/>
          <w:color w:val="auto"/>
        </w:rPr>
      </w:pPr>
    </w:p>
    <w:p>
      <w:pPr>
        <w:ind w:right="40" w:firstLine="432"/>
        <w:spacing w:after="0"/>
        <w:rPr>
          <w:sz w:val="20"/>
          <w:szCs w:val="20"/>
          <w:color w:val="auto"/>
        </w:rPr>
      </w:pPr>
      <w:r>
        <w:rPr>
          <w:rFonts w:ascii="Arial" w:cs="Arial" w:eastAsia="Arial" w:hAnsi="Arial"/>
          <w:sz w:val="16"/>
          <w:szCs w:val="16"/>
          <w:color w:val="auto"/>
        </w:rPr>
        <w:t>Noninterest-bearing deposits were $7.88 billion at June 30, 2023, an increase of $34.5 million, or 0.44%, when compared to $7.84 billion at March 31, 2023, a decrease $285.6 million, or 3.50% when compared to $8.16 billion at December 31, 2022, and a decrease of $ 1.0 billion, or 11.29%, when compared to $8.88 billion at June 30, 2022. At June 30, 2023, noninterest-bearing deposits were 63.55% of total deposits, compared to 63.92% at March 31, 2023, 63.60% at December 31, 2022, and 63.11% at June 30, 2022.</w:t>
      </w:r>
    </w:p>
    <w:p>
      <w:pPr>
        <w:spacing w:after="0" w:line="164" w:lineRule="exact"/>
        <w:rPr>
          <w:sz w:val="20"/>
          <w:szCs w:val="20"/>
          <w:color w:val="auto"/>
        </w:rPr>
      </w:pPr>
    </w:p>
    <w:p>
      <w:pPr>
        <w:ind w:right="40" w:firstLine="432"/>
        <w:spacing w:after="0" w:line="281" w:lineRule="auto"/>
        <w:rPr>
          <w:sz w:val="20"/>
          <w:szCs w:val="20"/>
          <w:color w:val="auto"/>
        </w:rPr>
      </w:pPr>
      <w:r>
        <w:rPr>
          <w:rFonts w:ascii="Arial" w:cs="Arial" w:eastAsia="Arial" w:hAnsi="Arial"/>
          <w:sz w:val="14"/>
          <w:szCs w:val="14"/>
          <w:color w:val="auto"/>
        </w:rPr>
        <w:t>Interest-bearing deposits were $4.52 billion at June 30, 2023, an increase of $91.2 million, or 2.06%, when compared to $4.43 billion at March 31, 2023, a decrease of $153.2 million, or 3.28%, when compared to $4.67 billion at December 31, 2022 and a decrease of $672.3 million when compared to June 30, 2022. Customer repurchase agreements totaled $452.4 million at June 30, 2023, compared to $490.2 million at March 31, 2023, $565.4 million at December 31, 2022 and $502.8 million at June 30, 2022. Our average cost of total deposits including customer repurchase agreements was 0.35% for the quarter ended June 30, 2023, compared to 0.17% for the quarter ended March 31, 2023 and 0.04% for the second quarter of 2022.</w:t>
      </w:r>
    </w:p>
    <w:p>
      <w:pPr>
        <w:spacing w:after="0" w:line="138" w:lineRule="exact"/>
        <w:rPr>
          <w:sz w:val="20"/>
          <w:szCs w:val="20"/>
          <w:color w:val="auto"/>
        </w:rPr>
      </w:pPr>
    </w:p>
    <w:p>
      <w:pPr>
        <w:ind w:right="100" w:firstLine="432"/>
        <w:spacing w:after="0" w:line="272" w:lineRule="auto"/>
        <w:rPr>
          <w:sz w:val="20"/>
          <w:szCs w:val="20"/>
          <w:color w:val="auto"/>
        </w:rPr>
      </w:pPr>
      <w:r>
        <w:rPr>
          <w:rFonts w:ascii="Arial" w:cs="Arial" w:eastAsia="Arial" w:hAnsi="Arial"/>
          <w:sz w:val="14"/>
          <w:szCs w:val="14"/>
          <w:color w:val="auto"/>
        </w:rPr>
        <w:t>At June 30, 2023, total short-term borrowings of $1.50 billion consisted of $695 million of one -year advances from the Federal Reserve’s Bank Term Funding Program, at a cost of 4.7% and $800 million of short -term Federal Home Loan Bank ("FHLB") advances, at an average cost of approximately 5%. The $90 million increase in borrowings from the end of the first quarter of 2023 to the end of the second quarter of 2023, coincided with a $322.2 million increase in funds on deposit at the Federal Reserve, which earn a rate of more than 5%. As of December 31, 2022, we had $995.0 million in short-term FHLB borrowings. The $ 500 million increase in short-term borrowings from December 31, 2022 reflects the $341.8 million increase in funds held at the Federal Reserve, as well as the decline in deposits that resulted from market conditions that include the availability of higher interest rates on short-term alternatives to deposits, such as money market mutual funds and treasury notes. With slowing loan demand, cash flow generated from our investment securities, and the normal historical inflows of deposits we experience during the third quarter of most years, borrowings may moderate during the second half of 2023. However, continued increases in short-term rates and overall inflationary pressures may continue to create challenges that impact deposit levels and our liquidity in the near term. Since April of 2022 to June of 2023, the Federal Reserve has increased the Federal Funds rate by 500 basis points to the target range of 5.00% to 5.25%. In comparison to the rising Federal Funds rate, our average cost of deposits has increased from 3 basis points for the second quarter of 2022 to 35 basis points for the second quarter of 2023. We had $1.53 billion in average short- term borrowings at a cost of 4.90% for the second quarter of 2023, compared to $971.7 million in the first quarter of 2023 at a cost of 4.81%. These short-term borrowings and an increase in the cost of deposits and customer repurchase agreements from 17 basis points in the first quarter of 2023 to 35 basis points in the second quarter of 2023, increased our cost of funds by 34 basis points to 0.83% for the second quarter of 2023.</w:t>
      </w:r>
    </w:p>
    <w:p>
      <w:pPr>
        <w:spacing w:after="0" w:line="326" w:lineRule="exact"/>
        <w:rPr>
          <w:sz w:val="20"/>
          <w:szCs w:val="20"/>
          <w:color w:val="auto"/>
        </w:rPr>
      </w:pPr>
    </w:p>
    <w:p>
      <w:pPr>
        <w:ind w:right="120" w:firstLine="432"/>
        <w:spacing w:after="0" w:line="271" w:lineRule="auto"/>
        <w:rPr>
          <w:sz w:val="20"/>
          <w:szCs w:val="20"/>
          <w:color w:val="auto"/>
        </w:rPr>
      </w:pPr>
      <w:r>
        <w:rPr>
          <w:rFonts w:ascii="Arial" w:cs="Arial" w:eastAsia="Arial" w:hAnsi="Arial"/>
          <w:sz w:val="14"/>
          <w:szCs w:val="14"/>
          <w:color w:val="auto"/>
        </w:rPr>
        <w:t>The Company’s total equity was $2.00 billion at June 30, 2023. This represented an overall increase of $52.9 million from total equity of $1.95 billion at December 31, 2022. Increases to equity included $115.0 million in net earnings and a $9.9 million increase in other comprehensive income. At the end of the second quarter of 2023, we entered into pay-fixed rate swaps to mitigate the risks of rising interest rates on our AFS securities portfolio. This resulted in a fair value remeasurement of this swap derivative at June 30, 2023, resulting in an after tax increase in other comprehensive income of $7.8 million. Decreases from December 31, 2022 included $55.8 million in cash dividends. We engaged in no stock repurchases during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2" w:name="page43"/>
    <w:bookmarkEnd w:id="42"/>
    <w:p>
      <w:pPr>
        <w:ind w:right="100"/>
        <w:spacing w:after="0" w:line="243" w:lineRule="auto"/>
        <w:rPr>
          <w:sz w:val="20"/>
          <w:szCs w:val="20"/>
          <w:color w:val="auto"/>
        </w:rPr>
      </w:pPr>
      <w:r>
        <w:rPr>
          <w:rFonts w:ascii="Arial" w:cs="Arial" w:eastAsia="Arial" w:hAnsi="Arial"/>
          <w:sz w:val="16"/>
          <w:szCs w:val="16"/>
          <w:color w:val="auto"/>
        </w:rPr>
        <w:t>the second quarter of 2023, compared to the first quarter of 2023, when we repurchased, under our 10b5- 1 stock repurchase plan, 791,800 shares of common stock, at an average repurchase price of $23.43, totaling $18.5 million. This 10b5-1 plan expired on March 2, 2023 and no new plan has been put in place since that time. Our tangible book value per share at June 30, 2023 was $8.74.</w:t>
      </w:r>
    </w:p>
    <w:p>
      <w:pPr>
        <w:spacing w:after="0" w:line="161" w:lineRule="exact"/>
        <w:rPr>
          <w:sz w:val="20"/>
          <w:szCs w:val="20"/>
          <w:color w:val="auto"/>
        </w:rPr>
      </w:pPr>
    </w:p>
    <w:p>
      <w:pPr>
        <w:ind w:firstLine="432"/>
        <w:spacing w:after="0" w:line="239" w:lineRule="auto"/>
        <w:rPr>
          <w:sz w:val="20"/>
          <w:szCs w:val="20"/>
          <w:color w:val="auto"/>
        </w:rPr>
      </w:pPr>
      <w:r>
        <w:rPr>
          <w:rFonts w:ascii="Arial" w:cs="Arial" w:eastAsia="Arial" w:hAnsi="Arial"/>
          <w:sz w:val="16"/>
          <w:szCs w:val="16"/>
          <w:color w:val="auto"/>
        </w:rPr>
        <w:t xml:space="preserve">Our capital ratios under the revised capital framework referred to as Basel III remain well-above regulatory requirements. As of June 30, 2023, the Company’s Tier 1 leverage capital ratio was 9.81%, common equity Tier 1 ratio was 14.07%, Tier 1 risk-based capital ratio was 14.07%, and total risk-based capital ratio was 14.92%. Refer to our </w:t>
      </w:r>
      <w:r>
        <w:rPr>
          <w:rFonts w:ascii="Arial" w:cs="Arial" w:eastAsia="Arial" w:hAnsi="Arial"/>
          <w:sz w:val="16"/>
          <w:szCs w:val="16"/>
          <w:i w:val="1"/>
          <w:iCs w:val="1"/>
          <w:color w:val="auto"/>
        </w:rPr>
        <w:t>Analysis of Financial Condition – Capital Resources</w:t>
      </w:r>
      <w:r>
        <w:rPr>
          <w:rFonts w:ascii="Arial" w:cs="Arial" w:eastAsia="Arial" w:hAnsi="Arial"/>
          <w:sz w:val="16"/>
          <w:szCs w:val="16"/>
          <w:color w:val="auto"/>
        </w:rPr>
        <w:t>.</w:t>
      </w:r>
    </w:p>
    <w:p>
      <w:pPr>
        <w:jc w:val="center"/>
        <w:ind w:right="-9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790" w:right="760"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ANALYSIS OF THE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Performance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6"/>
                <w:szCs w:val="16"/>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r>
      <w:tr>
        <w:trPr>
          <w:trHeight w:val="186"/>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60" w:type="dxa"/>
            <w:vAlign w:val="bottom"/>
            <w:gridSpan w:val="9"/>
          </w:tcPr>
          <w:p>
            <w:pPr>
              <w:jc w:val="right"/>
              <w:ind w:right="50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Net interest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119,535</w:t>
            </w:r>
          </w:p>
        </w:tc>
        <w:tc>
          <w:tcPr>
            <w:tcW w:w="3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125,728</w:t>
            </w:r>
          </w:p>
        </w:tc>
        <w:tc>
          <w:tcPr>
            <w:tcW w:w="3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(6,193 )</w:t>
            </w: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-4.93 %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26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(500 )</w:t>
            </w:r>
          </w:p>
        </w:tc>
        <w:tc>
          <w:tcPr>
            <w:tcW w:w="2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(1,500 )</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66.67 %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12,656</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13,202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(546 )</w:t>
            </w: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-4.14 %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expense</w:t>
            </w:r>
          </w:p>
        </w:tc>
        <w:tc>
          <w:tcPr>
            <w:tcW w:w="26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(54,017 )</w:t>
            </w:r>
          </w:p>
        </w:tc>
        <w:tc>
          <w:tcPr>
            <w:tcW w:w="2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(54,881 )</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1.57 %</w:t>
            </w:r>
          </w:p>
        </w:tc>
      </w:tr>
      <w:tr>
        <w:trPr>
          <w:trHeight w:val="195"/>
        </w:trPr>
        <w:tc>
          <w:tcPr>
            <w:tcW w:w="48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26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(21,904 )</w:t>
            </w:r>
          </w:p>
        </w:tc>
        <w:tc>
          <w:tcPr>
            <w:tcW w:w="2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(23,279 )</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5.91 %</w:t>
            </w:r>
          </w:p>
        </w:tc>
      </w:tr>
      <w:tr>
        <w:trPr>
          <w:trHeight w:val="235"/>
        </w:trPr>
        <w:tc>
          <w:tcPr>
            <w:tcW w:w="4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earnings</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55,770</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59,270</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(3,500 )</w:t>
            </w:r>
          </w:p>
        </w:tc>
        <w:tc>
          <w:tcPr>
            <w:tcW w:w="4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-5.91 %</w:t>
            </w:r>
          </w:p>
        </w:tc>
      </w:tr>
      <w:tr>
        <w:trPr>
          <w:trHeight w:val="261"/>
        </w:trPr>
        <w:tc>
          <w:tcPr>
            <w:tcW w:w="48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Earnings per common share:</w:t>
            </w:r>
          </w:p>
        </w:tc>
        <w:tc>
          <w:tcPr>
            <w:tcW w:w="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300" w:type="dxa"/>
            <w:vAlign w:val="bottom"/>
            <w:tcBorders>
              <w:top w:val="single" w:sz="8" w:color="CFF0FC"/>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00" w:type="dxa"/>
            <w:vAlign w:val="bottom"/>
            <w:tcBorders>
              <w:top w:val="single" w:sz="8" w:color="CFF0FC"/>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95"/>
        </w:trPr>
        <w:tc>
          <w:tcPr>
            <w:tcW w:w="4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0.40</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0.42</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(0.02 )</w:t>
            </w:r>
          </w:p>
        </w:tc>
        <w:tc>
          <w:tcPr>
            <w:tcW w:w="4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00" w:type="dxa"/>
            <w:vAlign w:val="bottom"/>
          </w:tcPr>
          <w:p>
            <w:pPr>
              <w:ind w:left="18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0.40</w:t>
            </w:r>
          </w:p>
        </w:tc>
        <w:tc>
          <w:tcPr>
            <w:tcW w:w="3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0.42</w:t>
            </w:r>
          </w:p>
        </w:tc>
        <w:tc>
          <w:tcPr>
            <w:tcW w:w="3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(0.02 )</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assets</w:t>
            </w:r>
          </w:p>
        </w:tc>
        <w:tc>
          <w:tcPr>
            <w:tcW w:w="2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1.36 %</w:t>
            </w:r>
          </w:p>
        </w:tc>
        <w:tc>
          <w:tcPr>
            <w:tcW w:w="2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1.47 %</w:t>
            </w:r>
          </w:p>
        </w:tc>
        <w:tc>
          <w:tcPr>
            <w:tcW w:w="300" w:type="dxa"/>
            <w:vAlign w:val="bottom"/>
            <w:shd w:val="clear" w:color="auto" w:fill="CFF0FC"/>
          </w:tcPr>
          <w:p>
            <w:pPr>
              <w:spacing w:after="0"/>
              <w:rPr>
                <w:sz w:val="16"/>
                <w:szCs w:val="16"/>
                <w:color w:val="auto"/>
              </w:rPr>
            </w:pPr>
          </w:p>
        </w:tc>
        <w:tc>
          <w:tcPr>
            <w:tcW w:w="1360" w:type="dxa"/>
            <w:vAlign w:val="bottom"/>
            <w:gridSpan w:val="3"/>
            <w:shd w:val="clear" w:color="auto" w:fill="CFF0FC"/>
          </w:tcPr>
          <w:p>
            <w:pPr>
              <w:jc w:val="right"/>
              <w:ind w:right="440"/>
              <w:spacing w:after="0"/>
              <w:rPr>
                <w:sz w:val="20"/>
                <w:szCs w:val="20"/>
                <w:color w:val="auto"/>
              </w:rPr>
            </w:pPr>
            <w:r>
              <w:rPr>
                <w:rFonts w:ascii="Arial" w:cs="Arial" w:eastAsia="Arial" w:hAnsi="Arial"/>
                <w:sz w:val="14"/>
                <w:szCs w:val="14"/>
                <w:color w:val="auto"/>
              </w:rPr>
              <w:t>-0.11 %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Return on average shareholders' equity</w:t>
            </w:r>
          </w:p>
        </w:tc>
        <w:tc>
          <w:tcPr>
            <w:tcW w:w="26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11.03 %</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12.15 %</w:t>
            </w:r>
          </w:p>
        </w:tc>
        <w:tc>
          <w:tcPr>
            <w:tcW w:w="300" w:type="dxa"/>
            <w:vAlign w:val="bottom"/>
          </w:tcPr>
          <w:p>
            <w:pPr>
              <w:spacing w:after="0"/>
              <w:rPr>
                <w:sz w:val="16"/>
                <w:szCs w:val="16"/>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4"/>
                <w:szCs w:val="14"/>
                <w:color w:val="auto"/>
              </w:rPr>
              <w:t>-1.12 %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Efficiency ratio</w:t>
            </w:r>
          </w:p>
        </w:tc>
        <w:tc>
          <w:tcPr>
            <w:tcW w:w="2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40.86 %</w:t>
            </w:r>
          </w:p>
        </w:tc>
        <w:tc>
          <w:tcPr>
            <w:tcW w:w="2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39.50 %</w:t>
            </w:r>
          </w:p>
        </w:tc>
        <w:tc>
          <w:tcPr>
            <w:tcW w:w="300" w:type="dxa"/>
            <w:vAlign w:val="bottom"/>
            <w:shd w:val="clear" w:color="auto" w:fill="CFF0FC"/>
          </w:tcPr>
          <w:p>
            <w:pPr>
              <w:spacing w:after="0"/>
              <w:rPr>
                <w:sz w:val="16"/>
                <w:szCs w:val="16"/>
                <w:color w:val="auto"/>
              </w:rPr>
            </w:pPr>
          </w:p>
        </w:tc>
        <w:tc>
          <w:tcPr>
            <w:tcW w:w="1360" w:type="dxa"/>
            <w:vAlign w:val="bottom"/>
            <w:gridSpan w:val="3"/>
            <w:shd w:val="clear" w:color="auto" w:fill="CFF0FC"/>
          </w:tcPr>
          <w:p>
            <w:pPr>
              <w:jc w:val="right"/>
              <w:ind w:right="440"/>
              <w:spacing w:after="0"/>
              <w:rPr>
                <w:sz w:val="20"/>
                <w:szCs w:val="20"/>
                <w:color w:val="auto"/>
              </w:rPr>
            </w:pPr>
            <w:r>
              <w:rPr>
                <w:rFonts w:ascii="Arial" w:cs="Arial" w:eastAsia="Arial" w:hAnsi="Arial"/>
                <w:sz w:val="14"/>
                <w:szCs w:val="14"/>
                <w:color w:val="auto"/>
              </w:rPr>
              <w:t>1.36 %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expense to average assets</w:t>
            </w:r>
          </w:p>
        </w:tc>
        <w:tc>
          <w:tcPr>
            <w:tcW w:w="26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1.32 %</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1.36 %</w:t>
            </w:r>
          </w:p>
        </w:tc>
        <w:tc>
          <w:tcPr>
            <w:tcW w:w="300" w:type="dxa"/>
            <w:vAlign w:val="bottom"/>
          </w:tcPr>
          <w:p>
            <w:pPr>
              <w:spacing w:after="0"/>
              <w:rPr>
                <w:sz w:val="16"/>
                <w:szCs w:val="16"/>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4"/>
                <w:szCs w:val="14"/>
                <w:color w:val="auto"/>
              </w:rPr>
              <w:t>-0.04 %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2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Variance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11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20" w:type="dxa"/>
            <w:vAlign w:val="bottom"/>
            <w:gridSpan w:val="9"/>
          </w:tcPr>
          <w:p>
            <w:pPr>
              <w:jc w:val="right"/>
              <w:ind w:right="48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860" w:type="dxa"/>
            <w:vAlign w:val="bottom"/>
          </w:tcPr>
          <w:p>
            <w:pPr>
              <w:ind w:left="20"/>
              <w:spacing w:after="0"/>
              <w:rPr>
                <w:sz w:val="20"/>
                <w:szCs w:val="20"/>
                <w:color w:val="auto"/>
              </w:rPr>
            </w:pPr>
            <w:r>
              <w:rPr>
                <w:rFonts w:ascii="Arial" w:cs="Arial" w:eastAsia="Arial" w:hAnsi="Arial"/>
                <w:sz w:val="14"/>
                <w:szCs w:val="14"/>
                <w:color w:val="auto"/>
              </w:rPr>
              <w:t>Net interest income</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119,535</w:t>
            </w:r>
          </w:p>
        </w:tc>
        <w:tc>
          <w:tcPr>
            <w:tcW w:w="3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121,940</w:t>
            </w:r>
          </w:p>
        </w:tc>
        <w:tc>
          <w:tcPr>
            <w:tcW w:w="3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(2,405 )</w:t>
            </w: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84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(500 )</w:t>
            </w:r>
          </w:p>
        </w:tc>
        <w:tc>
          <w:tcPr>
            <w:tcW w:w="28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(3,600 )</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3,100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86.11 %</w:t>
            </w:r>
          </w:p>
        </w:tc>
        <w:tc>
          <w:tcPr>
            <w:tcW w:w="0" w:type="dxa"/>
            <w:vAlign w:val="bottom"/>
          </w:tcPr>
          <w:p>
            <w:pPr>
              <w:spacing w:after="0"/>
              <w:rPr>
                <w:sz w:val="1"/>
                <w:szCs w:val="1"/>
                <w:color w:val="auto"/>
              </w:rPr>
            </w:pP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12,656</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14,670</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(2,014 )</w:t>
            </w:r>
          </w:p>
        </w:tc>
        <w:tc>
          <w:tcPr>
            <w:tcW w:w="5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-13.73 %</w:t>
            </w:r>
          </w:p>
        </w:tc>
        <w:tc>
          <w:tcPr>
            <w:tcW w:w="0" w:type="dxa"/>
            <w:vAlign w:val="bottom"/>
          </w:tcPr>
          <w:p>
            <w:pPr>
              <w:spacing w:after="0"/>
              <w:rPr>
                <w:sz w:val="1"/>
                <w:szCs w:val="1"/>
                <w:color w:val="auto"/>
              </w:rPr>
            </w:pP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Noninterest expense</w:t>
            </w:r>
          </w:p>
        </w:tc>
        <w:tc>
          <w:tcPr>
            <w:tcW w:w="84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(54,017 )</w:t>
            </w:r>
          </w:p>
        </w:tc>
        <w:tc>
          <w:tcPr>
            <w:tcW w:w="28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(50,871 )</w:t>
            </w:r>
          </w:p>
        </w:tc>
        <w:tc>
          <w:tcPr>
            <w:tcW w:w="2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(3,146 )</w:t>
            </w:r>
          </w:p>
        </w:tc>
        <w:tc>
          <w:tcPr>
            <w:tcW w:w="5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-6.18 %</w:t>
            </w:r>
          </w:p>
        </w:tc>
        <w:tc>
          <w:tcPr>
            <w:tcW w:w="0" w:type="dxa"/>
            <w:vAlign w:val="bottom"/>
          </w:tcPr>
          <w:p>
            <w:pPr>
              <w:spacing w:after="0"/>
              <w:rPr>
                <w:sz w:val="1"/>
                <w:szCs w:val="1"/>
                <w:color w:val="auto"/>
              </w:rPr>
            </w:pPr>
          </w:p>
        </w:tc>
      </w:tr>
      <w:tr>
        <w:trPr>
          <w:trHeight w:val="195"/>
        </w:trPr>
        <w:tc>
          <w:tcPr>
            <w:tcW w:w="486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84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(21,904 )</w:t>
            </w:r>
          </w:p>
        </w:tc>
        <w:tc>
          <w:tcPr>
            <w:tcW w:w="28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(23,081 )</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5.10 %</w:t>
            </w:r>
          </w:p>
        </w:tc>
        <w:tc>
          <w:tcPr>
            <w:tcW w:w="0" w:type="dxa"/>
            <w:vAlign w:val="bottom"/>
          </w:tcPr>
          <w:p>
            <w:pPr>
              <w:spacing w:after="0"/>
              <w:rPr>
                <w:sz w:val="1"/>
                <w:szCs w:val="1"/>
                <w:color w:val="auto"/>
              </w:rPr>
            </w:pPr>
          </w:p>
        </w:tc>
      </w:tr>
      <w:tr>
        <w:trPr>
          <w:trHeight w:val="235"/>
        </w:trPr>
        <w:tc>
          <w:tcPr>
            <w:tcW w:w="48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earnings</w:t>
            </w: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55,770</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59,058</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(3,288 )</w:t>
            </w:r>
          </w:p>
        </w:tc>
        <w:tc>
          <w:tcPr>
            <w:tcW w:w="50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-5.57 %</w:t>
            </w:r>
          </w:p>
        </w:tc>
        <w:tc>
          <w:tcPr>
            <w:tcW w:w="0" w:type="dxa"/>
            <w:vAlign w:val="bottom"/>
          </w:tcPr>
          <w:p>
            <w:pPr>
              <w:spacing w:after="0"/>
              <w:rPr>
                <w:sz w:val="1"/>
                <w:szCs w:val="1"/>
                <w:color w:val="auto"/>
              </w:rPr>
            </w:pPr>
          </w:p>
        </w:tc>
      </w:tr>
      <w:tr>
        <w:trPr>
          <w:trHeight w:val="165"/>
        </w:trPr>
        <w:tc>
          <w:tcPr>
            <w:tcW w:w="486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Earnings per common share:</w:t>
            </w:r>
          </w:p>
        </w:tc>
        <w:tc>
          <w:tcPr>
            <w:tcW w:w="8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8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Basic</w:t>
            </w: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0.40</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0.42</w:t>
            </w: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(0.02 )</w:t>
            </w:r>
          </w:p>
        </w:tc>
        <w:tc>
          <w:tcPr>
            <w:tcW w:w="5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180"/>
              <w:spacing w:after="0"/>
              <w:rPr>
                <w:sz w:val="20"/>
                <w:szCs w:val="20"/>
                <w:color w:val="auto"/>
              </w:rPr>
            </w:pPr>
            <w:r>
              <w:rPr>
                <w:rFonts w:ascii="Arial" w:cs="Arial" w:eastAsia="Arial" w:hAnsi="Arial"/>
                <w:sz w:val="14"/>
                <w:szCs w:val="14"/>
                <w:color w:val="auto"/>
              </w:rPr>
              <w:t>Diluted</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0.40</w:t>
            </w:r>
          </w:p>
        </w:tc>
        <w:tc>
          <w:tcPr>
            <w:tcW w:w="3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0.42</w:t>
            </w:r>
          </w:p>
        </w:tc>
        <w:tc>
          <w:tcPr>
            <w:tcW w:w="3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(0.02 )</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assets</w:t>
            </w:r>
          </w:p>
        </w:tc>
        <w:tc>
          <w:tcPr>
            <w:tcW w:w="8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1.36 %</w:t>
            </w:r>
          </w:p>
        </w:tc>
        <w:tc>
          <w:tcPr>
            <w:tcW w:w="2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1.39 %</w:t>
            </w:r>
          </w:p>
        </w:tc>
        <w:tc>
          <w:tcPr>
            <w:tcW w:w="260" w:type="dxa"/>
            <w:vAlign w:val="bottom"/>
            <w:shd w:val="clear" w:color="auto" w:fill="CFF0FC"/>
          </w:tcPr>
          <w:p>
            <w:pPr>
              <w:spacing w:after="0"/>
              <w:rPr>
                <w:sz w:val="16"/>
                <w:szCs w:val="16"/>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-0.03 %</w:t>
            </w: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20"/>
              <w:spacing w:after="0"/>
              <w:rPr>
                <w:sz w:val="20"/>
                <w:szCs w:val="20"/>
                <w:color w:val="auto"/>
              </w:rPr>
            </w:pPr>
            <w:r>
              <w:rPr>
                <w:rFonts w:ascii="Arial" w:cs="Arial" w:eastAsia="Arial" w:hAnsi="Arial"/>
                <w:sz w:val="14"/>
                <w:szCs w:val="14"/>
                <w:color w:val="auto"/>
              </w:rPr>
              <w:t>Return on average shareholders' equity</w:t>
            </w:r>
          </w:p>
        </w:tc>
        <w:tc>
          <w:tcPr>
            <w:tcW w:w="8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11.03 %</w:t>
            </w:r>
          </w:p>
        </w:tc>
        <w:tc>
          <w:tcPr>
            <w:tcW w:w="2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11.33 %</w:t>
            </w:r>
          </w:p>
        </w:tc>
        <w:tc>
          <w:tcPr>
            <w:tcW w:w="260" w:type="dxa"/>
            <w:vAlign w:val="bottom"/>
          </w:tcPr>
          <w:p>
            <w:pPr>
              <w:spacing w:after="0"/>
              <w:rPr>
                <w:sz w:val="16"/>
                <w:szCs w:val="16"/>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-0.30 %</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Efficiency ratio</w:t>
            </w:r>
          </w:p>
        </w:tc>
        <w:tc>
          <w:tcPr>
            <w:tcW w:w="8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40.86 %</w:t>
            </w:r>
          </w:p>
        </w:tc>
        <w:tc>
          <w:tcPr>
            <w:tcW w:w="2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37.24 %</w:t>
            </w:r>
          </w:p>
        </w:tc>
        <w:tc>
          <w:tcPr>
            <w:tcW w:w="260" w:type="dxa"/>
            <w:vAlign w:val="bottom"/>
            <w:shd w:val="clear" w:color="auto" w:fill="CFF0FC"/>
          </w:tcPr>
          <w:p>
            <w:pPr>
              <w:spacing w:after="0"/>
              <w:rPr>
                <w:sz w:val="16"/>
                <w:szCs w:val="16"/>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3.62 %</w:t>
            </w: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Noninterest expense to average assets</w:t>
            </w:r>
          </w:p>
        </w:tc>
        <w:tc>
          <w:tcPr>
            <w:tcW w:w="8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1.32 %</w:t>
            </w:r>
          </w:p>
        </w:tc>
        <w:tc>
          <w:tcPr>
            <w:tcW w:w="2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1.20 %</w:t>
            </w:r>
          </w:p>
        </w:tc>
        <w:tc>
          <w:tcPr>
            <w:tcW w:w="260" w:type="dxa"/>
            <w:vAlign w:val="bottom"/>
          </w:tcPr>
          <w:p>
            <w:pPr>
              <w:spacing w:after="0"/>
              <w:rPr>
                <w:sz w:val="16"/>
                <w:szCs w:val="16"/>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0.12 %</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r>
      <w:tr>
        <w:trPr>
          <w:trHeight w:val="192"/>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0" w:type="dxa"/>
            <w:vAlign w:val="bottom"/>
            <w:gridSpan w:val="9"/>
          </w:tcPr>
          <w:p>
            <w:pPr>
              <w:jc w:val="right"/>
              <w:ind w:right="50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4800" w:type="dxa"/>
            <w:vAlign w:val="bottom"/>
          </w:tcPr>
          <w:p>
            <w:pPr>
              <w:ind w:left="20"/>
              <w:spacing w:after="0"/>
              <w:rPr>
                <w:sz w:val="20"/>
                <w:szCs w:val="20"/>
                <w:color w:val="auto"/>
              </w:rPr>
            </w:pPr>
            <w:r>
              <w:rPr>
                <w:rFonts w:ascii="Arial" w:cs="Arial" w:eastAsia="Arial" w:hAnsi="Arial"/>
                <w:sz w:val="14"/>
                <w:szCs w:val="14"/>
                <w:color w:val="auto"/>
              </w:rPr>
              <w:t>Net interest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245,263</w:t>
            </w:r>
          </w:p>
        </w:tc>
        <w:tc>
          <w:tcPr>
            <w:tcW w:w="30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234,780</w:t>
            </w:r>
          </w:p>
        </w:tc>
        <w:tc>
          <w:tcPr>
            <w:tcW w:w="3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10,483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4.47 %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32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(2,000 )</w:t>
            </w:r>
          </w:p>
        </w:tc>
        <w:tc>
          <w:tcPr>
            <w:tcW w:w="4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(6,100 )</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-67.21 %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25,858</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25,934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(76 )</w:t>
            </w: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-0.29 %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expense</w:t>
            </w:r>
          </w:p>
        </w:tc>
        <w:tc>
          <w:tcPr>
            <w:tcW w:w="32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(108,898 )</w:t>
            </w:r>
          </w:p>
        </w:tc>
        <w:tc>
          <w:tcPr>
            <w:tcW w:w="4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(109,109 )</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0.19 %</w:t>
            </w:r>
          </w:p>
        </w:tc>
      </w:tr>
      <w:tr>
        <w:trPr>
          <w:trHeight w:val="195"/>
        </w:trPr>
        <w:tc>
          <w:tcPr>
            <w:tcW w:w="48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32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(45,183 )</w:t>
            </w:r>
          </w:p>
        </w:tc>
        <w:tc>
          <w:tcPr>
            <w:tcW w:w="4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(40,887 )</w:t>
            </w:r>
          </w:p>
        </w:tc>
        <w:tc>
          <w:tcPr>
            <w:tcW w:w="3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(4,296 )</w:t>
            </w: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-10.51 %</w:t>
            </w:r>
          </w:p>
        </w:tc>
      </w:tr>
      <w:tr>
        <w:trPr>
          <w:trHeight w:val="195"/>
        </w:trPr>
        <w:tc>
          <w:tcPr>
            <w:tcW w:w="4800" w:type="dxa"/>
            <w:vAlign w:val="bottom"/>
          </w:tcPr>
          <w:p>
            <w:pPr>
              <w:ind w:left="220"/>
              <w:spacing w:after="0"/>
              <w:rPr>
                <w:sz w:val="20"/>
                <w:szCs w:val="20"/>
                <w:color w:val="auto"/>
              </w:rPr>
            </w:pPr>
            <w:r>
              <w:rPr>
                <w:rFonts w:ascii="Arial" w:cs="Arial" w:eastAsia="Arial" w:hAnsi="Arial"/>
                <w:sz w:val="14"/>
                <w:szCs w:val="14"/>
                <w:color w:val="auto"/>
              </w:rPr>
              <w:t>Net earnings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115,040</w:t>
            </w:r>
          </w:p>
        </w:tc>
        <w:tc>
          <w:tcPr>
            <w:tcW w:w="300" w:type="dxa"/>
            <w:vAlign w:val="bottom"/>
          </w:tcPr>
          <w:p>
            <w:pPr>
              <w:spacing w:after="0"/>
              <w:rPr>
                <w:sz w:val="16"/>
                <w:szCs w:val="16"/>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104,618</w:t>
            </w:r>
          </w:p>
        </w:tc>
        <w:tc>
          <w:tcPr>
            <w:tcW w:w="3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9.96 %</w:t>
            </w:r>
          </w:p>
        </w:tc>
      </w:tr>
      <w:tr>
        <w:trPr>
          <w:trHeight w:val="20"/>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Earnings per common share:</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4800" w:type="dxa"/>
            <w:vAlign w:val="bottom"/>
          </w:tcPr>
          <w:p>
            <w:pPr>
              <w:ind w:left="22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0.83</w:t>
            </w:r>
          </w:p>
        </w:tc>
        <w:tc>
          <w:tcPr>
            <w:tcW w:w="30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0.74</w:t>
            </w:r>
          </w:p>
        </w:tc>
        <w:tc>
          <w:tcPr>
            <w:tcW w:w="3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0.82</w:t>
            </w:r>
          </w:p>
        </w:tc>
        <w:tc>
          <w:tcPr>
            <w:tcW w:w="3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0.74</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Return on average assets</w:t>
            </w: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1.42 %</w:t>
            </w:r>
          </w:p>
        </w:tc>
        <w:tc>
          <w:tcPr>
            <w:tcW w:w="4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1.23 %</w:t>
            </w:r>
          </w:p>
        </w:tc>
        <w:tc>
          <w:tcPr>
            <w:tcW w:w="300" w:type="dxa"/>
            <w:vAlign w:val="bottom"/>
          </w:tcPr>
          <w:p>
            <w:pPr>
              <w:spacing w:after="0"/>
              <w:rPr>
                <w:sz w:val="16"/>
                <w:szCs w:val="16"/>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4"/>
                <w:szCs w:val="14"/>
                <w:color w:val="auto"/>
              </w:rPr>
              <w:t>0.19 %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shareholders' equity</w:t>
            </w:r>
          </w:p>
        </w:tc>
        <w:tc>
          <w:tcPr>
            <w:tcW w:w="3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11.58 %</w:t>
            </w: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9.74 %</w:t>
            </w:r>
          </w:p>
        </w:tc>
        <w:tc>
          <w:tcPr>
            <w:tcW w:w="300" w:type="dxa"/>
            <w:vAlign w:val="bottom"/>
            <w:shd w:val="clear" w:color="auto" w:fill="CFF0FC"/>
          </w:tcPr>
          <w:p>
            <w:pPr>
              <w:spacing w:after="0"/>
              <w:rPr>
                <w:sz w:val="16"/>
                <w:szCs w:val="16"/>
                <w:color w:val="auto"/>
              </w:rPr>
            </w:pPr>
          </w:p>
        </w:tc>
        <w:tc>
          <w:tcPr>
            <w:tcW w:w="1360" w:type="dxa"/>
            <w:vAlign w:val="bottom"/>
            <w:gridSpan w:val="3"/>
            <w:shd w:val="clear" w:color="auto" w:fill="CFF0FC"/>
          </w:tcPr>
          <w:p>
            <w:pPr>
              <w:jc w:val="right"/>
              <w:ind w:right="440"/>
              <w:spacing w:after="0"/>
              <w:rPr>
                <w:sz w:val="20"/>
                <w:szCs w:val="20"/>
                <w:color w:val="auto"/>
              </w:rPr>
            </w:pPr>
            <w:r>
              <w:rPr>
                <w:rFonts w:ascii="Arial" w:cs="Arial" w:eastAsia="Arial" w:hAnsi="Arial"/>
                <w:sz w:val="14"/>
                <w:szCs w:val="14"/>
                <w:color w:val="auto"/>
              </w:rPr>
              <w:t>1.84 %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Efficiency ratio</w:t>
            </w: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40.17 %</w:t>
            </w:r>
          </w:p>
        </w:tc>
        <w:tc>
          <w:tcPr>
            <w:tcW w:w="4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41.85 %</w:t>
            </w:r>
          </w:p>
        </w:tc>
        <w:tc>
          <w:tcPr>
            <w:tcW w:w="300" w:type="dxa"/>
            <w:vAlign w:val="bottom"/>
          </w:tcPr>
          <w:p>
            <w:pPr>
              <w:spacing w:after="0"/>
              <w:rPr>
                <w:sz w:val="16"/>
                <w:szCs w:val="16"/>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4"/>
                <w:szCs w:val="14"/>
                <w:color w:val="auto"/>
              </w:rPr>
              <w:t>-1.68 %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 to average assets</w:t>
            </w:r>
          </w:p>
        </w:tc>
        <w:tc>
          <w:tcPr>
            <w:tcW w:w="3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1.34 %</w:t>
            </w: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1.28 %</w:t>
            </w:r>
          </w:p>
        </w:tc>
        <w:tc>
          <w:tcPr>
            <w:tcW w:w="300" w:type="dxa"/>
            <w:vAlign w:val="bottom"/>
            <w:shd w:val="clear" w:color="auto" w:fill="CFF0FC"/>
          </w:tcPr>
          <w:p>
            <w:pPr>
              <w:spacing w:after="0"/>
              <w:rPr>
                <w:sz w:val="16"/>
                <w:szCs w:val="16"/>
                <w:color w:val="auto"/>
              </w:rPr>
            </w:pPr>
          </w:p>
        </w:tc>
        <w:tc>
          <w:tcPr>
            <w:tcW w:w="1360" w:type="dxa"/>
            <w:vAlign w:val="bottom"/>
            <w:gridSpan w:val="3"/>
            <w:shd w:val="clear" w:color="auto" w:fill="CFF0FC"/>
          </w:tcPr>
          <w:p>
            <w:pPr>
              <w:jc w:val="right"/>
              <w:ind w:right="440"/>
              <w:spacing w:after="0"/>
              <w:rPr>
                <w:sz w:val="20"/>
                <w:szCs w:val="20"/>
                <w:color w:val="auto"/>
              </w:rPr>
            </w:pPr>
            <w:r>
              <w:rPr>
                <w:rFonts w:ascii="Arial" w:cs="Arial" w:eastAsia="Arial" w:hAnsi="Arial"/>
                <w:sz w:val="14"/>
                <w:szCs w:val="14"/>
                <w:color w:val="auto"/>
              </w:rPr>
              <w:t>0.06 %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bl>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44</w:t>
      </w:r>
    </w:p>
    <w:p>
      <w:pPr>
        <w:sectPr>
          <w:pgSz w:w="11900" w:h="16840" w:orient="portrait"/>
          <w:cols w:equalWidth="0" w:num="1">
            <w:col w:w="10620"/>
          </w:cols>
          <w:pgMar w:left="660" w:top="782" w:right="620"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Return on Average Tangible Common Equity Reconciliation (Non-GAAP)</w:t>
      </w:r>
    </w:p>
    <w:p>
      <w:pPr>
        <w:spacing w:after="0" w:line="184" w:lineRule="exact"/>
        <w:rPr>
          <w:sz w:val="20"/>
          <w:szCs w:val="20"/>
          <w:color w:val="auto"/>
        </w:rPr>
      </w:pPr>
    </w:p>
    <w:p>
      <w:pPr>
        <w:ind w:right="100" w:firstLine="432"/>
        <w:spacing w:after="0"/>
        <w:rPr>
          <w:sz w:val="20"/>
          <w:szCs w:val="20"/>
          <w:color w:val="auto"/>
        </w:rPr>
      </w:pPr>
      <w:r>
        <w:rPr>
          <w:rFonts w:ascii="Arial" w:cs="Arial" w:eastAsia="Arial" w:hAnsi="Arial"/>
          <w:sz w:val="16"/>
          <w:szCs w:val="16"/>
          <w:color w:val="auto"/>
        </w:rPr>
        <w:t>The return on average tangible common equity is a non-GAAP disclosure. The Company uses certain non -GAAP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gridSpan w:val="6"/>
          </w:tcPr>
          <w:p>
            <w:pPr>
              <w:jc w:val="center"/>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Six Months Ended</w:t>
            </w:r>
          </w:p>
        </w:tc>
      </w:tr>
      <w:tr>
        <w:trPr>
          <w:trHeight w:val="180"/>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5"/>
                <w:szCs w:val="15"/>
                <w:color w:val="auto"/>
              </w:rPr>
            </w:pPr>
          </w:p>
        </w:tc>
        <w:tc>
          <w:tcPr>
            <w:tcW w:w="1100" w:type="dxa"/>
            <w:vAlign w:val="bottom"/>
            <w:gridSpan w:val="3"/>
          </w:tcPr>
          <w:p>
            <w:pPr>
              <w:jc w:val="center"/>
              <w:ind w:right="314"/>
              <w:spacing w:after="0"/>
              <w:rPr>
                <w:sz w:val="20"/>
                <w:szCs w:val="20"/>
                <w:color w:val="auto"/>
              </w:rPr>
            </w:pPr>
            <w:r>
              <w:rPr>
                <w:rFonts w:ascii="Arial" w:cs="Arial" w:eastAsia="Arial" w:hAnsi="Arial"/>
                <w:sz w:val="13"/>
                <w:szCs w:val="13"/>
                <w:b w:val="1"/>
                <w:bCs w:val="1"/>
                <w:color w:val="auto"/>
                <w:w w:val="99"/>
              </w:rPr>
              <w:t>March 31,</w:t>
            </w:r>
          </w:p>
        </w:tc>
        <w:tc>
          <w:tcPr>
            <w:tcW w:w="18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5"/>
                <w:szCs w:val="15"/>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June 30,</w:t>
            </w:r>
          </w:p>
        </w:tc>
      </w:tr>
      <w:tr>
        <w:trPr>
          <w:trHeight w:val="182"/>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54"/>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3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7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3"/>
                <w:szCs w:val="13"/>
                <w:i w:val="1"/>
                <w:iCs w:val="1"/>
                <w:color w:val="auto"/>
              </w:rPr>
              <w:t>(Dollars in thousands)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4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55,770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59,270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59,058</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115,040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104,618</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4300" w:type="dxa"/>
            <w:vAlign w:val="bottom"/>
          </w:tcPr>
          <w:p>
            <w:pPr>
              <w:ind w:left="180"/>
              <w:spacing w:after="0"/>
              <w:rPr>
                <w:sz w:val="20"/>
                <w:szCs w:val="20"/>
                <w:color w:val="auto"/>
              </w:rPr>
            </w:pPr>
            <w:r>
              <w:rPr>
                <w:rFonts w:ascii="Arial" w:cs="Arial" w:eastAsia="Arial" w:hAnsi="Arial"/>
                <w:sz w:val="13"/>
                <w:szCs w:val="13"/>
                <w:color w:val="auto"/>
              </w:rPr>
              <w:t>Add: Amortization of intangible assets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1,998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3,439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3,996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5"/>
        </w:trPr>
        <w:tc>
          <w:tcPr>
            <w:tcW w:w="43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Less: Tax effect of amortization of intangible assets (1)</w:t>
            </w:r>
          </w:p>
        </w:tc>
        <w:tc>
          <w:tcPr>
            <w:tcW w:w="1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(509 )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(508 )</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(591 )</w:t>
            </w:r>
          </w:p>
        </w:tc>
        <w:tc>
          <w:tcPr>
            <w:tcW w:w="1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(1,017 )</w:t>
            </w:r>
          </w:p>
        </w:tc>
        <w:tc>
          <w:tcPr>
            <w:tcW w:w="1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(1,181 )</w:t>
            </w:r>
          </w:p>
        </w:tc>
        <w:tc>
          <w:tcPr>
            <w:tcW w:w="40" w:type="dxa"/>
            <w:vAlign w:val="bottom"/>
          </w:tcPr>
          <w:p>
            <w:pPr>
              <w:spacing w:after="0"/>
              <w:rPr>
                <w:sz w:val="16"/>
                <w:szCs w:val="16"/>
                <w:color w:val="auto"/>
              </w:rPr>
            </w:pPr>
          </w:p>
        </w:tc>
      </w:tr>
      <w:tr>
        <w:trPr>
          <w:trHeight w:val="180"/>
        </w:trPr>
        <w:tc>
          <w:tcPr>
            <w:tcW w:w="4300" w:type="dxa"/>
            <w:vAlign w:val="bottom"/>
          </w:tcPr>
          <w:p>
            <w:pPr>
              <w:ind w:left="340"/>
              <w:spacing w:after="0"/>
              <w:rPr>
                <w:sz w:val="20"/>
                <w:szCs w:val="20"/>
                <w:color w:val="auto"/>
              </w:rPr>
            </w:pPr>
            <w:r>
              <w:rPr>
                <w:rFonts w:ascii="Arial" w:cs="Arial" w:eastAsia="Arial" w:hAnsi="Arial"/>
                <w:sz w:val="13"/>
                <w:szCs w:val="13"/>
                <w:color w:val="auto"/>
              </w:rPr>
              <w:t>Tangible net income</w:t>
            </w: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56,980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60,465</w:t>
            </w: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117,462</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107,433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4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4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Average stockholders' equity</w:t>
            </w: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2,027,708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1,978,244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2,091,454</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2,003,112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2,166,975</w:t>
            </w:r>
          </w:p>
        </w:tc>
        <w:tc>
          <w:tcPr>
            <w:tcW w:w="8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4300" w:type="dxa"/>
            <w:vAlign w:val="bottom"/>
          </w:tcPr>
          <w:p>
            <w:pPr>
              <w:ind w:left="180"/>
              <w:spacing w:after="0"/>
              <w:rPr>
                <w:sz w:val="20"/>
                <w:szCs w:val="20"/>
                <w:color w:val="auto"/>
              </w:rPr>
            </w:pPr>
            <w:r>
              <w:rPr>
                <w:rFonts w:ascii="Arial" w:cs="Arial" w:eastAsia="Arial" w:hAnsi="Arial"/>
                <w:sz w:val="13"/>
                <w:szCs w:val="13"/>
                <w:color w:val="auto"/>
              </w:rPr>
              <w:t>Less: Average goodwill</w:t>
            </w:r>
          </w:p>
        </w:tc>
        <w:tc>
          <w:tcPr>
            <w:tcW w:w="1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(765,822 )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(765,822 )</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(765,822 )</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(765,822 )</w:t>
            </w:r>
          </w:p>
        </w:tc>
        <w:tc>
          <w:tcPr>
            <w:tcW w:w="18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(762,437 )</w:t>
            </w:r>
          </w:p>
        </w:tc>
        <w:tc>
          <w:tcPr>
            <w:tcW w:w="40" w:type="dxa"/>
            <w:vAlign w:val="bottom"/>
          </w:tcPr>
          <w:p>
            <w:pPr>
              <w:spacing w:after="0"/>
              <w:rPr>
                <w:sz w:val="15"/>
                <w:szCs w:val="15"/>
                <w:color w:val="auto"/>
              </w:rPr>
            </w:pPr>
          </w:p>
        </w:tc>
      </w:tr>
      <w:tr>
        <w:trPr>
          <w:trHeight w:val="185"/>
        </w:trPr>
        <w:tc>
          <w:tcPr>
            <w:tcW w:w="43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Less: Average intangible assets</w:t>
            </w:r>
          </w:p>
        </w:tc>
        <w:tc>
          <w:tcPr>
            <w:tcW w:w="1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(19,298 )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(20,983 )</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(26,381 )</w:t>
            </w:r>
          </w:p>
        </w:tc>
        <w:tc>
          <w:tcPr>
            <w:tcW w:w="1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(20,136 )</w:t>
            </w:r>
          </w:p>
        </w:tc>
        <w:tc>
          <w:tcPr>
            <w:tcW w:w="1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(27,280 )</w:t>
            </w:r>
          </w:p>
        </w:tc>
        <w:tc>
          <w:tcPr>
            <w:tcW w:w="40" w:type="dxa"/>
            <w:vAlign w:val="bottom"/>
          </w:tcPr>
          <w:p>
            <w:pPr>
              <w:spacing w:after="0"/>
              <w:rPr>
                <w:sz w:val="16"/>
                <w:szCs w:val="16"/>
                <w:color w:val="auto"/>
              </w:rPr>
            </w:pPr>
          </w:p>
        </w:tc>
      </w:tr>
      <w:tr>
        <w:trPr>
          <w:trHeight w:val="180"/>
        </w:trPr>
        <w:tc>
          <w:tcPr>
            <w:tcW w:w="4300" w:type="dxa"/>
            <w:vAlign w:val="bottom"/>
          </w:tcPr>
          <w:p>
            <w:pPr>
              <w:ind w:left="340"/>
              <w:spacing w:after="0"/>
              <w:rPr>
                <w:sz w:val="20"/>
                <w:szCs w:val="20"/>
                <w:color w:val="auto"/>
              </w:rPr>
            </w:pPr>
            <w:r>
              <w:rPr>
                <w:rFonts w:ascii="Arial" w:cs="Arial" w:eastAsia="Arial" w:hAnsi="Arial"/>
                <w:sz w:val="13"/>
                <w:szCs w:val="13"/>
                <w:color w:val="auto"/>
              </w:rPr>
              <w:t>Average tangible common equity</w:t>
            </w: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1,242,588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1,191,439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1,299,251</w:t>
            </w: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1,217,154</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1,377,258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4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4300" w:type="dxa"/>
            <w:vAlign w:val="bottom"/>
          </w:tcPr>
          <w:p>
            <w:pPr>
              <w:ind w:left="20"/>
              <w:spacing w:after="0"/>
              <w:rPr>
                <w:sz w:val="20"/>
                <w:szCs w:val="20"/>
                <w:color w:val="auto"/>
              </w:rPr>
            </w:pPr>
            <w:r>
              <w:rPr>
                <w:rFonts w:ascii="Arial" w:cs="Arial" w:eastAsia="Arial" w:hAnsi="Arial"/>
                <w:sz w:val="13"/>
                <w:szCs w:val="13"/>
                <w:color w:val="auto"/>
              </w:rPr>
              <w:t>Return on average equity, annualized</w:t>
            </w:r>
          </w:p>
        </w:tc>
        <w:tc>
          <w:tcPr>
            <w:tcW w:w="18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3"/>
                <w:szCs w:val="13"/>
                <w:color w:val="auto"/>
              </w:rPr>
              <w:t>11.03 %</w:t>
            </w:r>
          </w:p>
        </w:tc>
        <w:tc>
          <w:tcPr>
            <w:tcW w:w="120" w:type="dxa"/>
            <w:vAlign w:val="bottom"/>
          </w:tcPr>
          <w:p>
            <w:pPr>
              <w:spacing w:after="0"/>
              <w:rPr>
                <w:sz w:val="14"/>
                <w:szCs w:val="14"/>
                <w:color w:val="auto"/>
              </w:rPr>
            </w:pPr>
          </w:p>
        </w:tc>
        <w:tc>
          <w:tcPr>
            <w:tcW w:w="1100" w:type="dxa"/>
            <w:vAlign w:val="bottom"/>
            <w:gridSpan w:val="3"/>
          </w:tcPr>
          <w:p>
            <w:pPr>
              <w:jc w:val="right"/>
              <w:ind w:right="74"/>
              <w:spacing w:after="0"/>
              <w:rPr>
                <w:sz w:val="20"/>
                <w:szCs w:val="20"/>
                <w:color w:val="auto"/>
              </w:rPr>
            </w:pPr>
            <w:r>
              <w:rPr>
                <w:rFonts w:ascii="Arial" w:cs="Arial" w:eastAsia="Arial" w:hAnsi="Arial"/>
                <w:sz w:val="13"/>
                <w:szCs w:val="13"/>
                <w:color w:val="auto"/>
              </w:rPr>
              <w:t>12.15 %</w:t>
            </w:r>
          </w:p>
        </w:tc>
        <w:tc>
          <w:tcPr>
            <w:tcW w:w="1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11.33 %</w:t>
            </w: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11.58 %</w:t>
            </w:r>
          </w:p>
        </w:tc>
        <w:tc>
          <w:tcPr>
            <w:tcW w:w="1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9.74 %</w:t>
            </w:r>
          </w:p>
        </w:tc>
      </w:tr>
      <w:tr>
        <w:trPr>
          <w:trHeight w:val="180"/>
        </w:trPr>
        <w:tc>
          <w:tcPr>
            <w:tcW w:w="4300" w:type="dxa"/>
            <w:vAlign w:val="bottom"/>
          </w:tcPr>
          <w:p>
            <w:pPr>
              <w:ind w:left="20"/>
              <w:spacing w:after="0"/>
              <w:rPr>
                <w:sz w:val="20"/>
                <w:szCs w:val="20"/>
                <w:color w:val="auto"/>
              </w:rPr>
            </w:pPr>
            <w:r>
              <w:rPr>
                <w:rFonts w:ascii="Arial" w:cs="Arial" w:eastAsia="Arial" w:hAnsi="Arial"/>
                <w:sz w:val="13"/>
                <w:szCs w:val="13"/>
                <w:color w:val="auto"/>
              </w:rPr>
              <w:t>Return on average tangible common equity, annualized</w:t>
            </w:r>
          </w:p>
        </w:tc>
        <w:tc>
          <w:tcPr>
            <w:tcW w:w="180" w:type="dxa"/>
            <w:vAlign w:val="bottom"/>
          </w:tcPr>
          <w:p>
            <w:pPr>
              <w:spacing w:after="0"/>
              <w:rPr>
                <w:sz w:val="15"/>
                <w:szCs w:val="15"/>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3"/>
                <w:szCs w:val="13"/>
                <w:color w:val="auto"/>
              </w:rPr>
              <w:t>18.39 %</w:t>
            </w:r>
          </w:p>
        </w:tc>
        <w:tc>
          <w:tcPr>
            <w:tcW w:w="120" w:type="dxa"/>
            <w:vAlign w:val="bottom"/>
          </w:tcPr>
          <w:p>
            <w:pPr>
              <w:spacing w:after="0"/>
              <w:rPr>
                <w:sz w:val="15"/>
                <w:szCs w:val="15"/>
                <w:color w:val="auto"/>
              </w:rPr>
            </w:pPr>
          </w:p>
        </w:tc>
        <w:tc>
          <w:tcPr>
            <w:tcW w:w="1100" w:type="dxa"/>
            <w:vAlign w:val="bottom"/>
            <w:gridSpan w:val="3"/>
          </w:tcPr>
          <w:p>
            <w:pPr>
              <w:jc w:val="right"/>
              <w:ind w:right="74"/>
              <w:spacing w:after="0"/>
              <w:rPr>
                <w:sz w:val="20"/>
                <w:szCs w:val="20"/>
                <w:color w:val="auto"/>
              </w:rPr>
            </w:pPr>
            <w:r>
              <w:rPr>
                <w:rFonts w:ascii="Arial" w:cs="Arial" w:eastAsia="Arial" w:hAnsi="Arial"/>
                <w:sz w:val="13"/>
                <w:szCs w:val="13"/>
                <w:color w:val="auto"/>
              </w:rPr>
              <w:t>20.59 %</w:t>
            </w:r>
          </w:p>
        </w:tc>
        <w:tc>
          <w:tcPr>
            <w:tcW w:w="1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18.67 %</w:t>
            </w: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19.46 %</w:t>
            </w:r>
          </w:p>
        </w:tc>
        <w:tc>
          <w:tcPr>
            <w:tcW w:w="1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15.73 %</w:t>
            </w:r>
          </w:p>
        </w:tc>
      </w:tr>
    </w:tbl>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(1)Tax effected at respective statutory rates.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Interest Income</w:t>
      </w:r>
    </w:p>
    <w:p>
      <w:pPr>
        <w:spacing w:after="0" w:line="160" w:lineRule="exact"/>
        <w:rPr>
          <w:sz w:val="20"/>
          <w:szCs w:val="20"/>
          <w:color w:val="auto"/>
        </w:rPr>
      </w:pPr>
    </w:p>
    <w:p>
      <w:pPr>
        <w:ind w:right="60" w:firstLine="432"/>
        <w:spacing w:after="0" w:line="273" w:lineRule="auto"/>
        <w:rPr>
          <w:sz w:val="20"/>
          <w:szCs w:val="20"/>
          <w:color w:val="auto"/>
        </w:rPr>
      </w:pPr>
      <w:r>
        <w:rPr>
          <w:rFonts w:ascii="Arial" w:cs="Arial" w:eastAsia="Arial" w:hAnsi="Arial"/>
          <w:sz w:val="14"/>
          <w:szCs w:val="14"/>
          <w:color w:val="auto"/>
        </w:rPr>
        <w:t xml:space="preserve">The principal component of our earnings is net interest income, which is the difference between the interest and fees earned on loans, investments and interest earning cash (interest-earning assets) and the interest paid on deposits and borrowed funds (interest- 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and six months ended June 30, 2023 and 2022. Our net interest income, interest spread, and net interest margin are sensitive to general business and economic conditions. These conditions include short-term and long-term interest rates, inflation, monetary policy, and the strength of the global,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the growth and maturity of earning assets, and derivative financial instruments. See Item 2 – </w:t>
      </w:r>
      <w:r>
        <w:rPr>
          <w:rFonts w:ascii="Arial" w:cs="Arial" w:eastAsia="Arial" w:hAnsi="Arial"/>
          <w:sz w:val="14"/>
          <w:szCs w:val="14"/>
          <w:i w:val="1"/>
          <w:iCs w:val="1"/>
          <w:color w:val="auto"/>
        </w:rPr>
        <w:t>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of Operations – Asset/Liability and Market Risk Management – Interest Rate Sensitivity Management </w:t>
      </w:r>
      <w:r>
        <w:rPr>
          <w:rFonts w:ascii="Arial" w:cs="Arial" w:eastAsia="Arial" w:hAnsi="Arial"/>
          <w:sz w:val="14"/>
          <w:szCs w:val="14"/>
          <w:color w:val="auto"/>
        </w:rPr>
        <w:t>included herein.</w:t>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45</w:t>
      </w:r>
    </w:p>
    <w:p>
      <w:pPr>
        <w:sectPr>
          <w:pgSz w:w="11900" w:h="16840" w:orient="portrait"/>
          <w:cols w:equalWidth="0" w:num="1">
            <w:col w:w="10600"/>
          </w:cols>
          <w:pgMar w:left="660" w:top="782" w:right="640" w:bottom="1440" w:gutter="0" w:footer="0" w:header="0"/>
        </w:sectPr>
      </w:pPr>
    </w:p>
    <w:bookmarkStart w:id="45" w:name="page46"/>
    <w:bookmarkEnd w:id="45"/>
    <w:p>
      <w:pPr>
        <w:ind w:right="60" w:firstLine="432"/>
        <w:spacing w:after="0" w:line="24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tables below present the interest rate spread, net interest margin and the composition of average interest -earning assets and average interest-bearing liabilities by category for the periods indicated, including the changes in average balance, composition, and average yield/rate between these respective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6"/>
          </w:tcPr>
          <w:p>
            <w:pPr>
              <w:jc w:val="center"/>
              <w:ind w:left="282"/>
              <w:spacing w:after="0"/>
              <w:rPr>
                <w:sz w:val="20"/>
                <w:szCs w:val="20"/>
                <w:color w:val="auto"/>
              </w:rPr>
            </w:pPr>
            <w:r>
              <w:rPr>
                <w:rFonts w:ascii="Arial" w:cs="Arial" w:eastAsia="Arial" w:hAnsi="Arial"/>
                <w:sz w:val="16"/>
                <w:szCs w:val="16"/>
                <w:b w:val="1"/>
                <w:bCs w:val="1"/>
                <w:color w:val="auto"/>
                <w:w w:val="97"/>
              </w:rPr>
              <w:t>Three Months Ended 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Average</w:t>
            </w:r>
          </w:p>
        </w:tc>
        <w:tc>
          <w:tcPr>
            <w:tcW w:w="1040" w:type="dxa"/>
            <w:vAlign w:val="bottom"/>
            <w:gridSpan w:val="4"/>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02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Yield/</w:t>
            </w:r>
          </w:p>
        </w:tc>
        <w:tc>
          <w:tcPr>
            <w:tcW w:w="160" w:type="dxa"/>
            <w:vAlign w:val="bottom"/>
          </w:tcPr>
          <w:p>
            <w:pPr>
              <w:spacing w:after="0"/>
              <w:rPr>
                <w:sz w:val="18"/>
                <w:szCs w:val="18"/>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Average</w:t>
            </w:r>
          </w:p>
        </w:tc>
        <w:tc>
          <w:tcPr>
            <w:tcW w:w="920" w:type="dxa"/>
            <w:vAlign w:val="bottom"/>
            <w:gridSpan w:val="3"/>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rPr>
              <w:t>Yield/</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Interest</w:t>
            </w: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Rate</w:t>
            </w: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Interest</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jc w:val="center"/>
              <w:ind w:right="44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INTEREST-EARNING ASSETS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rPr>
                <w:sz w:val="20"/>
                <w:szCs w:val="20"/>
                <w:color w:val="auto"/>
              </w:rPr>
            </w:pPr>
            <w:r>
              <w:rPr>
                <w:rFonts w:ascii="Arial" w:cs="Arial" w:eastAsia="Arial" w:hAnsi="Arial"/>
                <w:sz w:val="16"/>
                <w:szCs w:val="16"/>
                <w:color w:val="auto"/>
              </w:rPr>
              <w:t>Investment securities (1)</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Available-for-sale securities:</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500"/>
              <w:spacing w:after="0"/>
              <w:rPr>
                <w:sz w:val="20"/>
                <w:szCs w:val="20"/>
                <w:color w:val="auto"/>
              </w:rPr>
            </w:pPr>
            <w:r>
              <w:rPr>
                <w:rFonts w:ascii="Arial" w:cs="Arial" w:eastAsia="Arial" w:hAnsi="Arial"/>
                <w:sz w:val="16"/>
                <w:szCs w:val="16"/>
                <w:color w:val="auto"/>
              </w:rPr>
              <w:t>Taxable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3,136,769</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19,187</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2.45 %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3,708,306</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16,863</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1.85 %</w:t>
            </w:r>
          </w:p>
        </w:tc>
        <w:tc>
          <w:tcPr>
            <w:tcW w:w="0" w:type="dxa"/>
            <w:vAlign w:val="bottom"/>
          </w:tcPr>
          <w:p>
            <w:pPr>
              <w:spacing w:after="0"/>
              <w:rPr>
                <w:sz w:val="1"/>
                <w:szCs w:val="1"/>
                <w:color w:val="auto"/>
              </w:rPr>
            </w:pPr>
          </w:p>
        </w:tc>
      </w:tr>
      <w:tr>
        <w:trPr>
          <w:trHeight w:val="204"/>
        </w:trPr>
        <w:tc>
          <w:tcPr>
            <w:tcW w:w="4120" w:type="dxa"/>
            <w:vAlign w:val="bottom"/>
          </w:tcPr>
          <w:p>
            <w:pPr>
              <w:ind w:left="500"/>
              <w:spacing w:after="0"/>
              <w:rPr>
                <w:sz w:val="20"/>
                <w:szCs w:val="20"/>
                <w:color w:val="auto"/>
              </w:rPr>
            </w:pPr>
            <w:r>
              <w:rPr>
                <w:rFonts w:ascii="Arial" w:cs="Arial" w:eastAsia="Arial" w:hAnsi="Arial"/>
                <w:sz w:val="16"/>
                <w:szCs w:val="16"/>
                <w:color w:val="auto"/>
              </w:rPr>
              <w:t>Tax-advantaged</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26,148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3.09 %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3.10 %</w:t>
            </w:r>
          </w:p>
        </w:tc>
        <w:tc>
          <w:tcPr>
            <w:tcW w:w="0" w:type="dxa"/>
            <w:vAlign w:val="bottom"/>
          </w:tcPr>
          <w:p>
            <w:pPr>
              <w:spacing w:after="0"/>
              <w:rPr>
                <w:sz w:val="1"/>
                <w:szCs w:val="1"/>
                <w:color w:val="auto"/>
              </w:rPr>
            </w:pPr>
          </w:p>
        </w:tc>
      </w:tr>
      <w:tr>
        <w:trPr>
          <w:trHeight w:val="204"/>
        </w:trPr>
        <w:tc>
          <w:tcPr>
            <w:tcW w:w="4120" w:type="dxa"/>
            <w:vAlign w:val="bottom"/>
          </w:tcPr>
          <w:p>
            <w:pPr>
              <w:ind w:left="340"/>
              <w:spacing w:after="0"/>
              <w:rPr>
                <w:sz w:val="20"/>
                <w:szCs w:val="20"/>
                <w:color w:val="auto"/>
              </w:rPr>
            </w:pPr>
            <w:r>
              <w:rPr>
                <w:rFonts w:ascii="Arial" w:cs="Arial" w:eastAsia="Arial" w:hAnsi="Arial"/>
                <w:sz w:val="16"/>
                <w:szCs w:val="16"/>
                <w:color w:val="auto"/>
              </w:rPr>
              <w:t>Held-to-maturity securities: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500"/>
              <w:spacing w:after="0"/>
              <w:rPr>
                <w:sz w:val="20"/>
                <w:szCs w:val="20"/>
                <w:color w:val="auto"/>
              </w:rPr>
            </w:pPr>
            <w:r>
              <w:rPr>
                <w:rFonts w:ascii="Arial" w:cs="Arial" w:eastAsia="Arial" w:hAnsi="Arial"/>
                <w:sz w:val="16"/>
                <w:szCs w:val="16"/>
                <w:color w:val="auto"/>
              </w:rPr>
              <w:t>Taxable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2,144,571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11,293</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2.11 %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2,078,983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9,978</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1.93 %</w:t>
            </w:r>
          </w:p>
        </w:tc>
        <w:tc>
          <w:tcPr>
            <w:tcW w:w="0" w:type="dxa"/>
            <w:vAlign w:val="bottom"/>
          </w:tcPr>
          <w:p>
            <w:pPr>
              <w:spacing w:after="0"/>
              <w:rPr>
                <w:sz w:val="1"/>
                <w:szCs w:val="1"/>
                <w:color w:val="auto"/>
              </w:rPr>
            </w:pPr>
          </w:p>
        </w:tc>
      </w:tr>
      <w:tr>
        <w:trPr>
          <w:trHeight w:val="204"/>
        </w:trPr>
        <w:tc>
          <w:tcPr>
            <w:tcW w:w="4120" w:type="dxa"/>
            <w:vAlign w:val="bottom"/>
          </w:tcPr>
          <w:p>
            <w:pPr>
              <w:ind w:left="500"/>
              <w:spacing w:after="0"/>
              <w:rPr>
                <w:sz w:val="20"/>
                <w:szCs w:val="20"/>
                <w:color w:val="auto"/>
              </w:rPr>
            </w:pPr>
            <w:r>
              <w:rPr>
                <w:rFonts w:ascii="Arial" w:cs="Arial" w:eastAsia="Arial" w:hAnsi="Arial"/>
                <w:sz w:val="16"/>
                <w:szCs w:val="16"/>
                <w:color w:val="auto"/>
              </w:rPr>
              <w:t>Tax-advantaged</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382,118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3.10 %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288,978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2.92 %</w:t>
            </w:r>
          </w:p>
        </w:tc>
        <w:tc>
          <w:tcPr>
            <w:tcW w:w="0" w:type="dxa"/>
            <w:vAlign w:val="bottom"/>
          </w:tcPr>
          <w:p>
            <w:pPr>
              <w:spacing w:after="0"/>
              <w:rPr>
                <w:sz w:val="1"/>
                <w:szCs w:val="1"/>
                <w:color w:val="auto"/>
              </w:rPr>
            </w:pPr>
          </w:p>
        </w:tc>
      </w:tr>
      <w:tr>
        <w:trPr>
          <w:trHeight w:val="204"/>
        </w:trPr>
        <w:tc>
          <w:tcPr>
            <w:tcW w:w="4120" w:type="dxa"/>
            <w:vAlign w:val="bottom"/>
          </w:tcPr>
          <w:p>
            <w:pPr>
              <w:ind w:left="180"/>
              <w:spacing w:after="0"/>
              <w:rPr>
                <w:sz w:val="20"/>
                <w:szCs w:val="20"/>
                <w:color w:val="auto"/>
              </w:rPr>
            </w:pPr>
            <w:r>
              <w:rPr>
                <w:rFonts w:ascii="Arial" w:cs="Arial" w:eastAsia="Arial" w:hAnsi="Arial"/>
                <w:sz w:val="16"/>
                <w:szCs w:val="16"/>
                <w:color w:val="auto"/>
              </w:rPr>
              <w:t>Investment in FHLB stock</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6.05 %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6.08 %</w:t>
            </w:r>
          </w:p>
        </w:tc>
        <w:tc>
          <w:tcPr>
            <w:tcW w:w="0" w:type="dxa"/>
            <w:vAlign w:val="bottom"/>
          </w:tcPr>
          <w:p>
            <w:pPr>
              <w:spacing w:after="0"/>
              <w:rPr>
                <w:sz w:val="1"/>
                <w:szCs w:val="1"/>
                <w:color w:val="auto"/>
              </w:rPr>
            </w:pPr>
          </w:p>
        </w:tc>
      </w:tr>
      <w:tr>
        <w:trPr>
          <w:trHeight w:val="204"/>
        </w:trPr>
        <w:tc>
          <w:tcPr>
            <w:tcW w:w="4120" w:type="dxa"/>
            <w:vAlign w:val="bottom"/>
          </w:tcPr>
          <w:p>
            <w:pPr>
              <w:ind w:left="180"/>
              <w:spacing w:after="0"/>
              <w:rPr>
                <w:sz w:val="20"/>
                <w:szCs w:val="20"/>
                <w:color w:val="auto"/>
              </w:rPr>
            </w:pPr>
            <w:r>
              <w:rPr>
                <w:rFonts w:ascii="Arial" w:cs="Arial" w:eastAsia="Arial" w:hAnsi="Arial"/>
                <w:sz w:val="16"/>
                <w:szCs w:val="16"/>
                <w:color w:val="auto"/>
              </w:rPr>
              <w:t>Interest-earning deposits with other institutions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353,610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4,670</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5.30 %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804,147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1,463</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0.73 %</w:t>
            </w:r>
          </w:p>
        </w:tc>
        <w:tc>
          <w:tcPr>
            <w:tcW w:w="0" w:type="dxa"/>
            <w:vAlign w:val="bottom"/>
          </w:tcPr>
          <w:p>
            <w:pPr>
              <w:spacing w:after="0"/>
              <w:rPr>
                <w:sz w:val="1"/>
                <w:szCs w:val="1"/>
                <w:color w:val="auto"/>
              </w:rPr>
            </w:pPr>
          </w:p>
        </w:tc>
      </w:tr>
      <w:tr>
        <w:trPr>
          <w:trHeight w:val="204"/>
        </w:trPr>
        <w:tc>
          <w:tcPr>
            <w:tcW w:w="4120" w:type="dxa"/>
            <w:vAlign w:val="bottom"/>
          </w:tcPr>
          <w:p>
            <w:pPr>
              <w:ind w:left="180"/>
              <w:spacing w:after="0"/>
              <w:rPr>
                <w:sz w:val="20"/>
                <w:szCs w:val="20"/>
                <w:color w:val="auto"/>
              </w:rPr>
            </w:pPr>
            <w:r>
              <w:rPr>
                <w:rFonts w:ascii="Arial" w:cs="Arial" w:eastAsia="Arial" w:hAnsi="Arial"/>
                <w:sz w:val="16"/>
                <w:szCs w:val="16"/>
                <w:color w:val="auto"/>
              </w:rPr>
              <w:t>Loans (2)</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8,892,414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110,990</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5.01 %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8,634,575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92,770</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4.31 %</w:t>
            </w:r>
          </w:p>
        </w:tc>
        <w:tc>
          <w:tcPr>
            <w:tcW w:w="0" w:type="dxa"/>
            <w:vAlign w:val="bottom"/>
          </w:tcPr>
          <w:p>
            <w:pPr>
              <w:spacing w:after="0"/>
              <w:rPr>
                <w:sz w:val="1"/>
                <w:szCs w:val="1"/>
                <w:color w:val="auto"/>
              </w:rPr>
            </w:pPr>
          </w:p>
        </w:tc>
      </w:tr>
      <w:tr>
        <w:trPr>
          <w:trHeight w:val="205"/>
        </w:trPr>
        <w:tc>
          <w:tcPr>
            <w:tcW w:w="4120" w:type="dxa"/>
            <w:vAlign w:val="bottom"/>
          </w:tcPr>
          <w:p>
            <w:pPr>
              <w:ind w:left="180"/>
              <w:spacing w:after="0"/>
              <w:rPr>
                <w:sz w:val="20"/>
                <w:szCs w:val="20"/>
                <w:color w:val="auto"/>
              </w:rPr>
            </w:pPr>
            <w:r>
              <w:rPr>
                <w:rFonts w:ascii="Arial" w:cs="Arial" w:eastAsia="Arial" w:hAnsi="Arial"/>
                <w:sz w:val="16"/>
                <w:szCs w:val="16"/>
                <w:color w:val="auto"/>
              </w:rPr>
              <w:t>Total interest-earning assets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14,967,662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149,239</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4.01 %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15,560,771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123,262</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3.20 %</w:t>
            </w: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noninterest-earning assets</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1,488,862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1,446,177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vMerge w:val="restart"/>
          </w:tcPr>
          <w:p>
            <w:pPr>
              <w:ind w:left="180"/>
              <w:spacing w:after="0"/>
              <w:rPr>
                <w:sz w:val="20"/>
                <w:szCs w:val="20"/>
                <w:color w:val="auto"/>
              </w:rPr>
            </w:pPr>
            <w:r>
              <w:rPr>
                <w:rFonts w:ascii="Arial" w:cs="Arial" w:eastAsia="Arial" w:hAnsi="Arial"/>
                <w:sz w:val="16"/>
                <w:szCs w:val="16"/>
                <w:color w:val="auto"/>
              </w:rPr>
              <w:t>Total assets</w:t>
            </w: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16,456,524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17,006,948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4120" w:type="dxa"/>
            <w:vAlign w:val="bottom"/>
            <w:vMerge w:val="continue"/>
          </w:tcPr>
          <w:p>
            <w:pPr>
              <w:spacing w:after="0"/>
              <w:rPr>
                <w:sz w:val="7"/>
                <w:szCs w:val="7"/>
                <w:color w:val="auto"/>
              </w:rPr>
            </w:pPr>
          </w:p>
        </w:tc>
        <w:tc>
          <w:tcPr>
            <w:tcW w:w="200" w:type="dxa"/>
            <w:vAlign w:val="bottom"/>
            <w:tcBorders>
              <w:bottom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INTEREST-BEARING LIABILITIES</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180"/>
              <w:spacing w:after="0"/>
              <w:rPr>
                <w:sz w:val="20"/>
                <w:szCs w:val="20"/>
                <w:color w:val="auto"/>
              </w:rPr>
            </w:pPr>
            <w:r>
              <w:rPr>
                <w:rFonts w:ascii="Arial" w:cs="Arial" w:eastAsia="Arial" w:hAnsi="Arial"/>
                <w:sz w:val="16"/>
                <w:szCs w:val="16"/>
                <w:color w:val="auto"/>
              </w:rPr>
              <w:t>Savings deposits (3)</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4,186,438</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10,351</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0.99 %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4,887,799</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204"/>
        </w:trPr>
        <w:tc>
          <w:tcPr>
            <w:tcW w:w="4120" w:type="dxa"/>
            <w:vAlign w:val="bottom"/>
          </w:tcPr>
          <w:p>
            <w:pPr>
              <w:ind w:left="180"/>
              <w:spacing w:after="0"/>
              <w:rPr>
                <w:sz w:val="20"/>
                <w:szCs w:val="20"/>
                <w:color w:val="auto"/>
              </w:rPr>
            </w:pPr>
            <w:r>
              <w:rPr>
                <w:rFonts w:ascii="Arial" w:cs="Arial" w:eastAsia="Arial" w:hAnsi="Arial"/>
                <w:sz w:val="16"/>
                <w:szCs w:val="16"/>
                <w:color w:val="auto"/>
              </w:rPr>
              <w:t>Time deposits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295,328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0.56 %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361,463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0.07 %</w:t>
            </w:r>
          </w:p>
        </w:tc>
        <w:tc>
          <w:tcPr>
            <w:tcW w:w="0" w:type="dxa"/>
            <w:vAlign w:val="bottom"/>
          </w:tcPr>
          <w:p>
            <w:pPr>
              <w:spacing w:after="0"/>
              <w:rPr>
                <w:sz w:val="1"/>
                <w:szCs w:val="1"/>
                <w:color w:val="auto"/>
              </w:rPr>
            </w:pPr>
          </w:p>
        </w:tc>
      </w:tr>
      <w:tr>
        <w:trPr>
          <w:trHeight w:val="204"/>
        </w:trPr>
        <w:tc>
          <w:tcPr>
            <w:tcW w:w="4120" w:type="dxa"/>
            <w:vAlign w:val="bottom"/>
          </w:tcPr>
          <w:p>
            <w:pPr>
              <w:ind w:left="34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4,481,766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10,765</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0.96 %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5,249,262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187"/>
        </w:trPr>
        <w:tc>
          <w:tcPr>
            <w:tcW w:w="4120" w:type="dxa"/>
            <w:vAlign w:val="bottom"/>
          </w:tcPr>
          <w:p>
            <w:pPr>
              <w:ind w:left="180"/>
              <w:spacing w:after="0"/>
              <w:rPr>
                <w:sz w:val="20"/>
                <w:szCs w:val="20"/>
                <w:color w:val="auto"/>
              </w:rPr>
            </w:pPr>
            <w:r>
              <w:rPr>
                <w:rFonts w:ascii="Arial" w:cs="Arial" w:eastAsia="Arial" w:hAnsi="Arial"/>
                <w:sz w:val="16"/>
                <w:szCs w:val="16"/>
                <w:color w:val="auto"/>
              </w:rPr>
              <w:t>FHLB advances, other borrowings, and customer</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20" w:type="dxa"/>
            <w:vAlign w:val="bottom"/>
          </w:tcPr>
          <w:p>
            <w:pPr>
              <w:ind w:left="300"/>
              <w:spacing w:after="0"/>
              <w:rPr>
                <w:sz w:val="20"/>
                <w:szCs w:val="20"/>
                <w:color w:val="auto"/>
              </w:rPr>
            </w:pPr>
            <w:r>
              <w:rPr>
                <w:rFonts w:ascii="Arial" w:cs="Arial" w:eastAsia="Arial" w:hAnsi="Arial"/>
                <w:sz w:val="16"/>
                <w:szCs w:val="16"/>
                <w:color w:val="auto"/>
              </w:rPr>
              <w:t>repurchase agreements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2,022,137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18,939</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3.76 %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581,613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0.08 %</w:t>
            </w:r>
          </w:p>
        </w:tc>
        <w:tc>
          <w:tcPr>
            <w:tcW w:w="0" w:type="dxa"/>
            <w:vAlign w:val="bottom"/>
          </w:tcPr>
          <w:p>
            <w:pPr>
              <w:spacing w:after="0"/>
              <w:rPr>
                <w:sz w:val="1"/>
                <w:szCs w:val="1"/>
                <w:color w:val="auto"/>
              </w:rPr>
            </w:pPr>
          </w:p>
        </w:tc>
      </w:tr>
      <w:tr>
        <w:trPr>
          <w:trHeight w:val="205"/>
        </w:trPr>
        <w:tc>
          <w:tcPr>
            <w:tcW w:w="4120" w:type="dxa"/>
            <w:vAlign w:val="bottom"/>
          </w:tcPr>
          <w:p>
            <w:pPr>
              <w:ind w:left="180"/>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6,503,903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29,704</w:t>
            </w: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1.83 %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5,830,875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Noninterest-bearing deposits</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7,823,496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8,923,043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101,417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161,576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2,027,708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2,091,454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16,456,524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17,006,948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interest income</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119,535</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121,940</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120" w:type="dxa"/>
            <w:vAlign w:val="bottom"/>
            <w:tcBorders>
              <w:top w:val="single" w:sz="8" w:color="CFF0FC"/>
            </w:tcBorders>
            <w:vMerge w:val="restart"/>
          </w:tcPr>
          <w:p>
            <w:pPr>
              <w:ind w:left="360"/>
              <w:spacing w:after="0"/>
              <w:rPr>
                <w:sz w:val="20"/>
                <w:szCs w:val="20"/>
                <w:color w:val="auto"/>
              </w:rPr>
            </w:pPr>
            <w:r>
              <w:rPr>
                <w:rFonts w:ascii="Arial" w:cs="Arial" w:eastAsia="Arial" w:hAnsi="Arial"/>
                <w:sz w:val="16"/>
                <w:szCs w:val="16"/>
                <w:color w:val="auto"/>
              </w:rPr>
              <w:t>Net interest spread - tax equivalent</w:t>
            </w:r>
          </w:p>
        </w:tc>
        <w:tc>
          <w:tcPr>
            <w:tcW w:w="20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2.18 %</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3.11 %</w:t>
            </w:r>
          </w:p>
        </w:tc>
        <w:tc>
          <w:tcPr>
            <w:tcW w:w="0" w:type="dxa"/>
            <w:vAlign w:val="bottom"/>
          </w:tcPr>
          <w:p>
            <w:pPr>
              <w:spacing w:after="0"/>
              <w:rPr>
                <w:sz w:val="1"/>
                <w:szCs w:val="1"/>
                <w:color w:val="auto"/>
              </w:rPr>
            </w:pPr>
          </w:p>
        </w:tc>
      </w:tr>
      <w:tr>
        <w:trPr>
          <w:trHeight w:val="202"/>
        </w:trPr>
        <w:tc>
          <w:tcPr>
            <w:tcW w:w="4120" w:type="dxa"/>
            <w:vAlign w:val="bottom"/>
          </w:tcPr>
          <w:p>
            <w:pPr>
              <w:ind w:left="360"/>
              <w:spacing w:after="0"/>
              <w:rPr>
                <w:sz w:val="20"/>
                <w:szCs w:val="20"/>
                <w:color w:val="auto"/>
              </w:rPr>
            </w:pPr>
            <w:r>
              <w:rPr>
                <w:rFonts w:ascii="Arial" w:cs="Arial" w:eastAsia="Arial" w:hAnsi="Arial"/>
                <w:sz w:val="16"/>
                <w:szCs w:val="16"/>
                <w:color w:val="auto"/>
              </w:rPr>
              <w:t>Net interest margin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3.20 %</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3.15 %</w:t>
            </w:r>
          </w:p>
        </w:tc>
        <w:tc>
          <w:tcPr>
            <w:tcW w:w="0" w:type="dxa"/>
            <w:vAlign w:val="bottom"/>
          </w:tcPr>
          <w:p>
            <w:pPr>
              <w:spacing w:after="0"/>
              <w:rPr>
                <w:sz w:val="1"/>
                <w:szCs w:val="1"/>
                <w:color w:val="auto"/>
              </w:rPr>
            </w:pPr>
          </w:p>
        </w:tc>
      </w:tr>
      <w:tr>
        <w:trPr>
          <w:trHeight w:val="204"/>
        </w:trPr>
        <w:tc>
          <w:tcPr>
            <w:tcW w:w="4120" w:type="dxa"/>
            <w:vAlign w:val="bottom"/>
          </w:tcPr>
          <w:p>
            <w:pPr>
              <w:ind w:left="360"/>
              <w:spacing w:after="0"/>
              <w:rPr>
                <w:sz w:val="20"/>
                <w:szCs w:val="20"/>
                <w:color w:val="auto"/>
              </w:rPr>
            </w:pPr>
            <w:r>
              <w:rPr>
                <w:rFonts w:ascii="Arial" w:cs="Arial" w:eastAsia="Arial" w:hAnsi="Arial"/>
                <w:sz w:val="16"/>
                <w:szCs w:val="16"/>
                <w:color w:val="auto"/>
              </w:rPr>
              <w:t>Net interest margin - tax equivalent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3.22 %</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3.16 %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40" w:right="100"/>
        <w:spacing w:after="0" w:line="256" w:lineRule="auto"/>
        <w:rPr>
          <w:sz w:val="20"/>
          <w:szCs w:val="20"/>
          <w:color w:val="auto"/>
        </w:rPr>
      </w:pPr>
      <w:r>
        <w:rPr>
          <w:rFonts w:ascii="Arial" w:cs="Arial" w:eastAsia="Arial" w:hAnsi="Arial"/>
          <w:sz w:val="13"/>
          <w:szCs w:val="13"/>
          <w:color w:val="auto"/>
        </w:rPr>
        <w:t>(1)Includes tax equivalent (TE) adjustments utilizing federal statutory rates of 21% in effect for the three months ended June 30, 2023 and June 30, 2022. The non TE rates for total investment securities were 2.33% and 1.91% for the three months ended June 30, 2023 and June 30, 2022, respectively.</w:t>
      </w:r>
    </w:p>
    <w:p>
      <w:pPr>
        <w:spacing w:after="0" w:line="1" w:lineRule="exact"/>
        <w:rPr>
          <w:sz w:val="20"/>
          <w:szCs w:val="20"/>
          <w:color w:val="auto"/>
        </w:rPr>
      </w:pPr>
    </w:p>
    <w:p>
      <w:pPr>
        <w:ind w:left="540" w:right="260"/>
        <w:spacing w:after="0" w:line="250" w:lineRule="auto"/>
        <w:rPr>
          <w:sz w:val="20"/>
          <w:szCs w:val="20"/>
          <w:color w:val="auto"/>
        </w:rPr>
      </w:pPr>
      <w:r>
        <w:rPr>
          <w:rFonts w:ascii="Arial" w:cs="Arial" w:eastAsia="Arial" w:hAnsi="Arial"/>
          <w:sz w:val="13"/>
          <w:szCs w:val="13"/>
          <w:color w:val="auto"/>
        </w:rPr>
        <w:t>(2)Includes loan fees of $890,000 and $2.1 million for the three months ended June 30, 2023 and June 30, 2022, respectively. Prepayment penalty fees of $686,000 and $2.4 million are included in interest income for the three months ended June 30, 2023 and June 30, 2022, respectively.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(3)Includes interest-bearing demand and money market accounts.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46</w:t>
      </w:r>
    </w:p>
    <w:p>
      <w:pPr>
        <w:sectPr>
          <w:pgSz w:w="11900" w:h="16840" w:orient="portrait"/>
          <w:cols w:equalWidth="0" w:num="1">
            <w:col w:w="10620"/>
          </w:cols>
          <w:pgMar w:left="660" w:top="790" w:right="62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4"/>
            <w:vMerge w:val="restart"/>
          </w:tcPr>
          <w:p>
            <w:pPr>
              <w:jc w:val="right"/>
              <w:ind w:right="322"/>
              <w:spacing w:after="0"/>
              <w:rPr>
                <w:sz w:val="20"/>
                <w:szCs w:val="20"/>
                <w:color w:val="auto"/>
              </w:rPr>
            </w:pPr>
            <w:r>
              <w:rPr>
                <w:rFonts w:ascii="Arial" w:cs="Arial" w:eastAsia="Arial" w:hAnsi="Arial"/>
                <w:sz w:val="16"/>
                <w:szCs w:val="16"/>
                <w:b w:val="1"/>
                <w:bCs w:val="1"/>
                <w:color w:val="auto"/>
              </w:rPr>
              <w:t>2023</w:t>
            </w:r>
          </w:p>
        </w:tc>
        <w:tc>
          <w:tcPr>
            <w:tcW w:w="226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920" w:type="dxa"/>
            <w:vAlign w:val="bottom"/>
            <w:gridSpan w:val="3"/>
            <w:vMerge w:val="restart"/>
          </w:tcPr>
          <w:p>
            <w:pPr>
              <w:ind w:left="26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Average</w:t>
            </w:r>
          </w:p>
        </w:tc>
        <w:tc>
          <w:tcPr>
            <w:tcW w:w="106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Yield/</w:t>
            </w:r>
          </w:p>
        </w:tc>
        <w:tc>
          <w:tcPr>
            <w:tcW w:w="140" w:type="dxa"/>
            <w:vAlign w:val="bottom"/>
          </w:tcPr>
          <w:p>
            <w:pPr>
              <w:spacing w:after="0"/>
              <w:rPr>
                <w:sz w:val="17"/>
                <w:szCs w:val="17"/>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w:t>
            </w:r>
          </w:p>
        </w:tc>
        <w:tc>
          <w:tcPr>
            <w:tcW w:w="9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rPr>
              <w:t>Yield/</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b w:val="1"/>
                <w:bCs w:val="1"/>
                <w:color w:val="auto"/>
                <w:w w:val="93"/>
              </w:rPr>
              <w:t>Interest</w:t>
            </w:r>
          </w:p>
        </w:tc>
        <w:tc>
          <w:tcPr>
            <w:tcW w:w="100" w:type="dxa"/>
            <w:vAlign w:val="bottom"/>
          </w:tcPr>
          <w:p>
            <w:pPr>
              <w:spacing w:after="0"/>
              <w:rPr>
                <w:sz w:val="18"/>
                <w:szCs w:val="18"/>
                <w:color w:val="auto"/>
              </w:rPr>
            </w:pPr>
          </w:p>
        </w:tc>
        <w:tc>
          <w:tcPr>
            <w:tcW w:w="1100" w:type="dxa"/>
            <w:vAlign w:val="bottom"/>
          </w:tcPr>
          <w:p>
            <w:pPr>
              <w:jc w:val="right"/>
              <w:ind w:right="384"/>
              <w:spacing w:after="0"/>
              <w:rPr>
                <w:sz w:val="20"/>
                <w:szCs w:val="20"/>
                <w:color w:val="auto"/>
              </w:rPr>
            </w:pPr>
            <w:r>
              <w:rPr>
                <w:rFonts w:ascii="Arial" w:cs="Arial" w:eastAsia="Arial" w:hAnsi="Arial"/>
                <w:sz w:val="16"/>
                <w:szCs w:val="16"/>
                <w:b w:val="1"/>
                <w:bCs w:val="1"/>
                <w:color w:val="auto"/>
              </w:rPr>
              <w:t>Rate</w:t>
            </w:r>
          </w:p>
        </w:tc>
        <w:tc>
          <w:tcPr>
            <w:tcW w:w="14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860" w:type="dxa"/>
            <w:vAlign w:val="bottom"/>
            <w:gridSpan w:val="3"/>
          </w:tcPr>
          <w:p>
            <w:pPr>
              <w:ind w:left="100"/>
              <w:spacing w:after="0"/>
              <w:rPr>
                <w:sz w:val="20"/>
                <w:szCs w:val="20"/>
                <w:color w:val="auto"/>
              </w:rPr>
            </w:pPr>
            <w:r>
              <w:rPr>
                <w:rFonts w:ascii="Arial" w:cs="Arial" w:eastAsia="Arial" w:hAnsi="Arial"/>
                <w:sz w:val="16"/>
                <w:szCs w:val="16"/>
                <w:b w:val="1"/>
                <w:bCs w:val="1"/>
                <w:color w:val="auto"/>
              </w:rPr>
              <w:t>Interest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ind w:left="26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INTEREST-EARNING ASSETS</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80"/>
              <w:spacing w:after="0"/>
              <w:rPr>
                <w:sz w:val="20"/>
                <w:szCs w:val="20"/>
                <w:color w:val="auto"/>
              </w:rPr>
            </w:pPr>
            <w:r>
              <w:rPr>
                <w:rFonts w:ascii="Arial" w:cs="Arial" w:eastAsia="Arial" w:hAnsi="Arial"/>
                <w:sz w:val="16"/>
                <w:szCs w:val="16"/>
                <w:color w:val="auto"/>
              </w:rPr>
              <w:t>Investment securities (1)</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Available-for-sale securities:</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40" w:type="dxa"/>
            <w:vAlign w:val="bottom"/>
          </w:tcPr>
          <w:p>
            <w:pPr>
              <w:ind w:left="500"/>
              <w:spacing w:after="0"/>
              <w:rPr>
                <w:sz w:val="20"/>
                <w:szCs w:val="20"/>
                <w:color w:val="auto"/>
              </w:rPr>
            </w:pPr>
            <w:r>
              <w:rPr>
                <w:rFonts w:ascii="Arial" w:cs="Arial" w:eastAsia="Arial" w:hAnsi="Arial"/>
                <w:sz w:val="16"/>
                <w:szCs w:val="16"/>
                <w:color w:val="auto"/>
              </w:rPr>
              <w:t>Taxable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3,163,468</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38,615</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2.44 %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3,613,093</w:t>
            </w:r>
          </w:p>
        </w:tc>
        <w:tc>
          <w:tcPr>
            <w:tcW w:w="10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29,512</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1.68 %</w:t>
            </w:r>
          </w:p>
        </w:tc>
        <w:tc>
          <w:tcPr>
            <w:tcW w:w="0" w:type="dxa"/>
            <w:vAlign w:val="bottom"/>
          </w:tcPr>
          <w:p>
            <w:pPr>
              <w:spacing w:after="0"/>
              <w:rPr>
                <w:sz w:val="1"/>
                <w:szCs w:val="1"/>
                <w:color w:val="auto"/>
              </w:rPr>
            </w:pPr>
          </w:p>
        </w:tc>
      </w:tr>
      <w:tr>
        <w:trPr>
          <w:trHeight w:val="204"/>
        </w:trPr>
        <w:tc>
          <w:tcPr>
            <w:tcW w:w="4240" w:type="dxa"/>
            <w:vAlign w:val="bottom"/>
          </w:tcPr>
          <w:p>
            <w:pPr>
              <w:ind w:left="500"/>
              <w:spacing w:after="0"/>
              <w:rPr>
                <w:sz w:val="20"/>
                <w:szCs w:val="20"/>
                <w:color w:val="auto"/>
              </w:rPr>
            </w:pPr>
            <w:r>
              <w:rPr>
                <w:rFonts w:ascii="Arial" w:cs="Arial" w:eastAsia="Arial" w:hAnsi="Arial"/>
                <w:sz w:val="16"/>
                <w:szCs w:val="16"/>
                <w:color w:val="auto"/>
              </w:rPr>
              <w:t>Tax-advantaged</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337</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3.11 %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28,916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3.00 %</w:t>
            </w:r>
          </w:p>
        </w:tc>
        <w:tc>
          <w:tcPr>
            <w:tcW w:w="0" w:type="dxa"/>
            <w:vAlign w:val="bottom"/>
          </w:tcPr>
          <w:p>
            <w:pPr>
              <w:spacing w:after="0"/>
              <w:rPr>
                <w:sz w:val="1"/>
                <w:szCs w:val="1"/>
                <w:color w:val="auto"/>
              </w:rPr>
            </w:pPr>
          </w:p>
        </w:tc>
      </w:tr>
      <w:tr>
        <w:trPr>
          <w:trHeight w:val="204"/>
        </w:trPr>
        <w:tc>
          <w:tcPr>
            <w:tcW w:w="4240" w:type="dxa"/>
            <w:vAlign w:val="bottom"/>
          </w:tcPr>
          <w:p>
            <w:pPr>
              <w:ind w:left="340"/>
              <w:spacing w:after="0"/>
              <w:rPr>
                <w:sz w:val="20"/>
                <w:szCs w:val="20"/>
                <w:color w:val="auto"/>
              </w:rPr>
            </w:pPr>
            <w:r>
              <w:rPr>
                <w:rFonts w:ascii="Arial" w:cs="Arial" w:eastAsia="Arial" w:hAnsi="Arial"/>
                <w:sz w:val="16"/>
                <w:szCs w:val="16"/>
                <w:color w:val="auto"/>
              </w:rPr>
              <w:t>Held-to-maturity securities: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500"/>
              <w:spacing w:after="0"/>
              <w:rPr>
                <w:sz w:val="20"/>
                <w:szCs w:val="20"/>
                <w:color w:val="auto"/>
              </w:rPr>
            </w:pPr>
            <w:r>
              <w:rPr>
                <w:rFonts w:ascii="Arial" w:cs="Arial" w:eastAsia="Arial" w:hAnsi="Arial"/>
                <w:sz w:val="16"/>
                <w:szCs w:val="16"/>
                <w:color w:val="auto"/>
              </w:rPr>
              <w:t>Taxable</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2,154,188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22,800</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2.12 %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2,022,005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19,082</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204"/>
        </w:trPr>
        <w:tc>
          <w:tcPr>
            <w:tcW w:w="4240" w:type="dxa"/>
            <w:vAlign w:val="bottom"/>
          </w:tcPr>
          <w:p>
            <w:pPr>
              <w:ind w:left="500"/>
              <w:spacing w:after="0"/>
              <w:rPr>
                <w:sz w:val="20"/>
                <w:szCs w:val="20"/>
                <w:color w:val="auto"/>
              </w:rPr>
            </w:pPr>
            <w:r>
              <w:rPr>
                <w:rFonts w:ascii="Arial" w:cs="Arial" w:eastAsia="Arial" w:hAnsi="Arial"/>
                <w:sz w:val="16"/>
                <w:szCs w:val="16"/>
                <w:color w:val="auto"/>
              </w:rPr>
              <w:t>Tax-advantaged</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382,392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4,896</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3.10 %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277,129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3,295</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2.88 %</w:t>
            </w: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Arial" w:cs="Arial" w:eastAsia="Arial" w:hAnsi="Arial"/>
                <w:sz w:val="16"/>
                <w:szCs w:val="16"/>
                <w:color w:val="auto"/>
              </w:rPr>
              <w:t>Investment in FHLB stock</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832</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5.51 %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18,470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7.03 %</w:t>
            </w: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Arial" w:cs="Arial" w:eastAsia="Arial" w:hAnsi="Arial"/>
                <w:sz w:val="16"/>
                <w:szCs w:val="16"/>
                <w:color w:val="auto"/>
              </w:rPr>
              <w:t>Interest-earning deposits with other institutions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201,617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5,161</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5.16 %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1,232,928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0.37 %</w:t>
            </w: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Arial" w:cs="Arial" w:eastAsia="Arial" w:hAnsi="Arial"/>
                <w:sz w:val="16"/>
                <w:szCs w:val="16"/>
                <w:color w:val="auto"/>
              </w:rPr>
              <w:t>Loans (2)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8,927,671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219,384</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4.95 %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8,567,876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182,231</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4.29 %</w:t>
            </w:r>
          </w:p>
        </w:tc>
        <w:tc>
          <w:tcPr>
            <w:tcW w:w="0" w:type="dxa"/>
            <w:vAlign w:val="bottom"/>
          </w:tcPr>
          <w:p>
            <w:pPr>
              <w:spacing w:after="0"/>
              <w:rPr>
                <w:sz w:val="1"/>
                <w:szCs w:val="1"/>
                <w:color w:val="auto"/>
              </w:rPr>
            </w:pPr>
          </w:p>
        </w:tc>
      </w:tr>
      <w:tr>
        <w:trPr>
          <w:trHeight w:val="205"/>
        </w:trPr>
        <w:tc>
          <w:tcPr>
            <w:tcW w:w="4240" w:type="dxa"/>
            <w:vAlign w:val="bottom"/>
          </w:tcPr>
          <w:p>
            <w:pPr>
              <w:ind w:left="180"/>
              <w:spacing w:after="0"/>
              <w:rPr>
                <w:sz w:val="20"/>
                <w:szCs w:val="20"/>
                <w:color w:val="auto"/>
              </w:rPr>
            </w:pPr>
            <w:r>
              <w:rPr>
                <w:rFonts w:ascii="Arial" w:cs="Arial" w:eastAsia="Arial" w:hAnsi="Arial"/>
                <w:sz w:val="16"/>
                <w:szCs w:val="16"/>
                <w:color w:val="auto"/>
              </w:rPr>
              <w:t>Total interest-earning assets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14,885,711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292,025</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3.96 %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15,760,417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237,362</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3.06 %</w:t>
            </w:r>
          </w:p>
        </w:tc>
        <w:tc>
          <w:tcPr>
            <w:tcW w:w="0" w:type="dxa"/>
            <w:vAlign w:val="bottom"/>
          </w:tcPr>
          <w:p>
            <w:pPr>
              <w:spacing w:after="0"/>
              <w:rPr>
                <w:sz w:val="1"/>
                <w:szCs w:val="1"/>
                <w:color w:val="auto"/>
              </w:rPr>
            </w:pPr>
          </w:p>
        </w:tc>
      </w:tr>
      <w:tr>
        <w:trPr>
          <w:trHeight w:val="205"/>
        </w:trPr>
        <w:tc>
          <w:tcPr>
            <w:tcW w:w="4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noninterest-earning assets</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1,499,515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1,433,991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16,385,226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17,194,408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INTEREST-BEARING LIABILITIES</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40" w:type="dxa"/>
            <w:vAlign w:val="bottom"/>
          </w:tcPr>
          <w:p>
            <w:pPr>
              <w:ind w:left="180"/>
              <w:spacing w:after="0"/>
              <w:rPr>
                <w:sz w:val="20"/>
                <w:szCs w:val="20"/>
                <w:color w:val="auto"/>
              </w:rPr>
            </w:pPr>
            <w:r>
              <w:rPr>
                <w:rFonts w:ascii="Arial" w:cs="Arial" w:eastAsia="Arial" w:hAnsi="Arial"/>
                <w:sz w:val="16"/>
                <w:szCs w:val="16"/>
                <w:color w:val="auto"/>
              </w:rPr>
              <w:t>Savings deposits (3)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4,260,782</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15,598</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0.74 %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4,984,664</w:t>
            </w:r>
          </w:p>
        </w:tc>
        <w:tc>
          <w:tcPr>
            <w:tcW w:w="10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Arial" w:cs="Arial" w:eastAsia="Arial" w:hAnsi="Arial"/>
                <w:sz w:val="16"/>
                <w:szCs w:val="16"/>
                <w:color w:val="auto"/>
              </w:rPr>
              <w:t>Time deposits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290,340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532</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0.37 %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371,648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0.08 %</w:t>
            </w:r>
          </w:p>
        </w:tc>
        <w:tc>
          <w:tcPr>
            <w:tcW w:w="0" w:type="dxa"/>
            <w:vAlign w:val="bottom"/>
          </w:tcPr>
          <w:p>
            <w:pPr>
              <w:spacing w:after="0"/>
              <w:rPr>
                <w:sz w:val="1"/>
                <w:szCs w:val="1"/>
                <w:color w:val="auto"/>
              </w:rPr>
            </w:pPr>
          </w:p>
        </w:tc>
      </w:tr>
      <w:tr>
        <w:trPr>
          <w:trHeight w:val="204"/>
        </w:trPr>
        <w:tc>
          <w:tcPr>
            <w:tcW w:w="4240" w:type="dxa"/>
            <w:vAlign w:val="bottom"/>
            <w:vMerge w:val="restart"/>
          </w:tcPr>
          <w:p>
            <w:pPr>
              <w:ind w:left="340"/>
              <w:spacing w:after="0"/>
              <w:rPr>
                <w:sz w:val="20"/>
                <w:szCs w:val="20"/>
                <w:color w:val="auto"/>
              </w:rPr>
            </w:pPr>
            <w:r>
              <w:rPr>
                <w:rFonts w:ascii="Arial" w:cs="Arial" w:eastAsia="Arial" w:hAnsi="Arial"/>
                <w:sz w:val="16"/>
                <w:szCs w:val="16"/>
                <w:color w:val="auto"/>
              </w:rPr>
              <w:t>Total interest-bearing deposits</w:t>
            </w: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4,551,122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16,130</w:t>
            </w:r>
          </w:p>
        </w:tc>
        <w:tc>
          <w:tcPr>
            <w:tcW w:w="1200" w:type="dxa"/>
            <w:vAlign w:val="bottom"/>
            <w:gridSpan w:val="2"/>
            <w:vMerge w:val="restart"/>
          </w:tcPr>
          <w:p>
            <w:pPr>
              <w:jc w:val="right"/>
              <w:ind w:right="64"/>
              <w:spacing w:after="0"/>
              <w:rPr>
                <w:sz w:val="20"/>
                <w:szCs w:val="20"/>
                <w:color w:val="auto"/>
              </w:rPr>
            </w:pPr>
            <w:r>
              <w:rPr>
                <w:rFonts w:ascii="Arial" w:cs="Arial" w:eastAsia="Arial" w:hAnsi="Arial"/>
                <w:sz w:val="16"/>
                <w:szCs w:val="16"/>
                <w:color w:val="auto"/>
              </w:rPr>
              <w:t>0.71 %</w:t>
            </w:r>
          </w:p>
        </w:tc>
        <w:tc>
          <w:tcPr>
            <w:tcW w:w="1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5,356,312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2,328</w:t>
            </w:r>
          </w:p>
        </w:tc>
        <w:tc>
          <w:tcPr>
            <w:tcW w:w="100" w:type="dxa"/>
            <w:vAlign w:val="bottom"/>
          </w:tcPr>
          <w:p>
            <w:pPr>
              <w:spacing w:after="0"/>
              <w:rPr>
                <w:sz w:val="17"/>
                <w:szCs w:val="17"/>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144"/>
        </w:trPr>
        <w:tc>
          <w:tcPr>
            <w:tcW w:w="4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40" w:type="dxa"/>
            <w:vAlign w:val="bottom"/>
          </w:tcPr>
          <w:p>
            <w:pPr>
              <w:ind w:left="180"/>
              <w:spacing w:after="0"/>
              <w:rPr>
                <w:sz w:val="20"/>
                <w:szCs w:val="20"/>
                <w:color w:val="auto"/>
              </w:rPr>
            </w:pPr>
            <w:r>
              <w:rPr>
                <w:rFonts w:ascii="Arial" w:cs="Arial" w:eastAsia="Arial" w:hAnsi="Arial"/>
                <w:sz w:val="16"/>
                <w:szCs w:val="16"/>
                <w:color w:val="auto"/>
              </w:rPr>
              <w:t>FHLB advances, other borrowings, and customer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40" w:type="dxa"/>
            <w:vAlign w:val="bottom"/>
          </w:tcPr>
          <w:p>
            <w:pPr>
              <w:ind w:left="300"/>
              <w:spacing w:after="0"/>
              <w:rPr>
                <w:sz w:val="20"/>
                <w:szCs w:val="20"/>
                <w:color w:val="auto"/>
              </w:rPr>
            </w:pPr>
            <w:r>
              <w:rPr>
                <w:rFonts w:ascii="Arial" w:cs="Arial" w:eastAsia="Arial" w:hAnsi="Arial"/>
                <w:sz w:val="16"/>
                <w:szCs w:val="16"/>
                <w:color w:val="auto"/>
              </w:rPr>
              <w:t>repurchase agreements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1,773,677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30,632</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3.48 %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630,526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0.08 %</w:t>
            </w:r>
          </w:p>
        </w:tc>
        <w:tc>
          <w:tcPr>
            <w:tcW w:w="0" w:type="dxa"/>
            <w:vAlign w:val="bottom"/>
          </w:tcPr>
          <w:p>
            <w:pPr>
              <w:spacing w:after="0"/>
              <w:rPr>
                <w:sz w:val="1"/>
                <w:szCs w:val="1"/>
                <w:color w:val="auto"/>
              </w:rPr>
            </w:pPr>
          </w:p>
        </w:tc>
      </w:tr>
      <w:tr>
        <w:trPr>
          <w:trHeight w:val="205"/>
        </w:trPr>
        <w:tc>
          <w:tcPr>
            <w:tcW w:w="4240" w:type="dxa"/>
            <w:vAlign w:val="bottom"/>
          </w:tcPr>
          <w:p>
            <w:pPr>
              <w:ind w:left="180"/>
              <w:spacing w:after="0"/>
              <w:rPr>
                <w:sz w:val="20"/>
                <w:szCs w:val="20"/>
                <w:color w:val="auto"/>
              </w:rPr>
            </w:pPr>
            <w:r>
              <w:rPr>
                <w:rFonts w:ascii="Arial" w:cs="Arial" w:eastAsia="Arial" w:hAnsi="Arial"/>
                <w:sz w:val="16"/>
                <w:szCs w:val="16"/>
                <w:color w:val="auto"/>
              </w:rPr>
              <w:t>Interest-bearing liabilities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6,324,799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46,762</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1.49 %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5,986,838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2,582</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205"/>
        </w:trPr>
        <w:tc>
          <w:tcPr>
            <w:tcW w:w="4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Noninterest-bearing deposits</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7,957,357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8,822,444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99,959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218,151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2,003,112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2,166,975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16,385,227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17,194,408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interest income</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245,263</w:t>
            </w: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234,780</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240" w:type="dxa"/>
            <w:vAlign w:val="bottom"/>
            <w:tcBorders>
              <w:top w:val="single" w:sz="8" w:color="CFF0FC"/>
            </w:tcBorders>
            <w:vMerge w:val="restart"/>
          </w:tcPr>
          <w:p>
            <w:pPr>
              <w:ind w:left="360"/>
              <w:spacing w:after="0"/>
              <w:rPr>
                <w:sz w:val="20"/>
                <w:szCs w:val="20"/>
                <w:color w:val="auto"/>
              </w:rPr>
            </w:pPr>
            <w:r>
              <w:rPr>
                <w:rFonts w:ascii="Arial" w:cs="Arial" w:eastAsia="Arial" w:hAnsi="Arial"/>
                <w:sz w:val="16"/>
                <w:szCs w:val="16"/>
                <w:color w:val="auto"/>
              </w:rPr>
              <w:t>Net interest spread - tax equivalent</w:t>
            </w:r>
          </w:p>
        </w:tc>
        <w:tc>
          <w:tcPr>
            <w:tcW w:w="140" w:type="dxa"/>
            <w:vAlign w:val="bottom"/>
            <w:tcBorders>
              <w:top w:val="single" w:sz="8" w:color="CFF0FC"/>
            </w:tcBorders>
          </w:tcPr>
          <w:p>
            <w:pPr>
              <w:spacing w:after="0"/>
              <w:rPr>
                <w:sz w:val="15"/>
                <w:szCs w:val="15"/>
                <w:color w:val="auto"/>
              </w:rPr>
            </w:pPr>
          </w:p>
        </w:tc>
        <w:tc>
          <w:tcPr>
            <w:tcW w:w="8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0" w:type="dxa"/>
            <w:vAlign w:val="bottom"/>
            <w:tcBorders>
              <w:top w:val="single" w:sz="8" w:color="CFF0FC"/>
            </w:tcBorders>
            <w:gridSpan w:val="2"/>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980" w:type="dxa"/>
            <w:vAlign w:val="bottom"/>
            <w:tcBorders>
              <w:top w:val="single" w:sz="8" w:color="CFF0FC"/>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2.47 %</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2.98 %</w:t>
            </w:r>
          </w:p>
        </w:tc>
        <w:tc>
          <w:tcPr>
            <w:tcW w:w="0" w:type="dxa"/>
            <w:vAlign w:val="bottom"/>
          </w:tcPr>
          <w:p>
            <w:pPr>
              <w:spacing w:after="0"/>
              <w:rPr>
                <w:sz w:val="1"/>
                <w:szCs w:val="1"/>
                <w:color w:val="auto"/>
              </w:rPr>
            </w:pPr>
          </w:p>
        </w:tc>
      </w:tr>
      <w:tr>
        <w:trPr>
          <w:trHeight w:val="202"/>
        </w:trPr>
        <w:tc>
          <w:tcPr>
            <w:tcW w:w="4240" w:type="dxa"/>
            <w:vAlign w:val="bottom"/>
          </w:tcPr>
          <w:p>
            <w:pPr>
              <w:ind w:left="360"/>
              <w:spacing w:after="0"/>
              <w:rPr>
                <w:sz w:val="20"/>
                <w:szCs w:val="20"/>
                <w:color w:val="auto"/>
              </w:rPr>
            </w:pPr>
            <w:r>
              <w:rPr>
                <w:rFonts w:ascii="Arial" w:cs="Arial" w:eastAsia="Arial" w:hAnsi="Arial"/>
                <w:sz w:val="16"/>
                <w:szCs w:val="16"/>
                <w:color w:val="auto"/>
              </w:rPr>
              <w:t>Net interest margin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3.31 %</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3.02 %</w:t>
            </w:r>
          </w:p>
        </w:tc>
        <w:tc>
          <w:tcPr>
            <w:tcW w:w="0" w:type="dxa"/>
            <w:vAlign w:val="bottom"/>
          </w:tcPr>
          <w:p>
            <w:pPr>
              <w:spacing w:after="0"/>
              <w:rPr>
                <w:sz w:val="1"/>
                <w:szCs w:val="1"/>
                <w:color w:val="auto"/>
              </w:rPr>
            </w:pPr>
          </w:p>
        </w:tc>
      </w:tr>
      <w:tr>
        <w:trPr>
          <w:trHeight w:val="204"/>
        </w:trPr>
        <w:tc>
          <w:tcPr>
            <w:tcW w:w="4240" w:type="dxa"/>
            <w:vAlign w:val="bottom"/>
          </w:tcPr>
          <w:p>
            <w:pPr>
              <w:ind w:left="360"/>
              <w:spacing w:after="0"/>
              <w:rPr>
                <w:sz w:val="20"/>
                <w:szCs w:val="20"/>
                <w:color w:val="auto"/>
              </w:rPr>
            </w:pPr>
            <w:r>
              <w:rPr>
                <w:rFonts w:ascii="Arial" w:cs="Arial" w:eastAsia="Arial" w:hAnsi="Arial"/>
                <w:sz w:val="16"/>
                <w:szCs w:val="16"/>
                <w:color w:val="auto"/>
              </w:rPr>
              <w:t>Net interest margin - tax equivalent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3.33 %</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bl>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ind w:left="540" w:right="60"/>
        <w:spacing w:after="0" w:line="256" w:lineRule="auto"/>
        <w:rPr>
          <w:sz w:val="20"/>
          <w:szCs w:val="20"/>
          <w:color w:val="auto"/>
        </w:rPr>
      </w:pPr>
      <w:r>
        <w:rPr>
          <w:rFonts w:ascii="Arial" w:cs="Arial" w:eastAsia="Arial" w:hAnsi="Arial"/>
          <w:sz w:val="13"/>
          <w:szCs w:val="13"/>
          <w:color w:val="auto"/>
        </w:rPr>
        <w:t>(1)Includes tax equivalent (TE) adjustments utilizing federal statutory rates of 21% in effect for the six months ended June 30, 2023 and June 30, 2022. The non TE rates for total investment securities were 2.33% and 1.79% for the six months ended June 30, 2023 and June 30, 2022, respectively.</w:t>
      </w:r>
    </w:p>
    <w:p>
      <w:pPr>
        <w:spacing w:after="0" w:line="1" w:lineRule="exact"/>
        <w:rPr>
          <w:sz w:val="20"/>
          <w:szCs w:val="20"/>
          <w:color w:val="auto"/>
        </w:rPr>
      </w:pPr>
    </w:p>
    <w:p>
      <w:pPr>
        <w:ind w:left="540" w:right="160"/>
        <w:spacing w:after="0" w:line="250" w:lineRule="auto"/>
        <w:rPr>
          <w:sz w:val="20"/>
          <w:szCs w:val="20"/>
          <w:color w:val="auto"/>
        </w:rPr>
      </w:pPr>
      <w:r>
        <w:rPr>
          <w:rFonts w:ascii="Arial" w:cs="Arial" w:eastAsia="Arial" w:hAnsi="Arial"/>
          <w:sz w:val="13"/>
          <w:szCs w:val="13"/>
          <w:color w:val="auto"/>
        </w:rPr>
        <w:t>(2)Includes loan fees of $1.7 million and $5.4 million for the six months ended June 30, 2023 and June 30, 2022, respectively. Prepayment penalty fees of $1.3 million and $4.6 million are included in interest income for the six months ended June 30, 2023 and June 30, 2022, respectively.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(3)Includes interest-bearing demand and money market accounts.</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47</w:t>
      </w:r>
    </w:p>
    <w:p>
      <w:pPr>
        <w:sectPr>
          <w:pgSz w:w="11900" w:h="16840" w:orient="portrait"/>
          <w:cols w:equalWidth="0" w:num="1">
            <w:col w:w="10620"/>
          </w:cols>
          <w:pgMar w:left="660" w:top="818" w:right="620" w:bottom="1440" w:gutter="0" w:footer="0" w:header="0"/>
        </w:sectPr>
      </w:pPr>
    </w:p>
    <w:bookmarkStart w:id="47" w:name="page48"/>
    <w:bookmarkEnd w:id="47"/>
    <w:p>
      <w:pPr>
        <w:ind w:right="20" w:firstLine="528"/>
        <w:spacing w:after="0" w:line="28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Rate and Volume Analysis for Changes in Interest Income, Interest Expense and Net Interest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740" w:type="dxa"/>
            <w:vAlign w:val="bottom"/>
            <w:gridSpan w:val="4"/>
          </w:tcPr>
          <w:p>
            <w:pPr>
              <w:jc w:val="center"/>
              <w:ind w:right="322"/>
              <w:spacing w:after="0"/>
              <w:rPr>
                <w:sz w:val="20"/>
                <w:szCs w:val="20"/>
                <w:color w:val="auto"/>
              </w:rPr>
            </w:pPr>
            <w:r>
              <w:rPr>
                <w:rFonts w:ascii="Arial" w:cs="Arial" w:eastAsia="Arial" w:hAnsi="Arial"/>
                <w:sz w:val="16"/>
                <w:szCs w:val="16"/>
                <w:b w:val="1"/>
                <w:bCs w:val="1"/>
                <w:color w:val="auto"/>
                <w:w w:val="97"/>
              </w:rPr>
              <w:t>Comparison of Three Months Ended June 30,</w:t>
            </w:r>
          </w:p>
        </w:tc>
        <w:tc>
          <w:tcPr>
            <w:tcW w:w="1140" w:type="dxa"/>
            <w:vAlign w:val="bottom"/>
          </w:tcPr>
          <w:p>
            <w:pPr>
              <w:spacing w:after="0"/>
              <w:rPr>
                <w:sz w:val="17"/>
                <w:szCs w:val="17"/>
                <w:color w:val="auto"/>
              </w:rPr>
            </w:pPr>
          </w:p>
        </w:tc>
      </w:tr>
      <w:tr>
        <w:trPr>
          <w:trHeight w:val="204"/>
        </w:trPr>
        <w:tc>
          <w:tcPr>
            <w:tcW w:w="3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60" w:type="dxa"/>
            <w:vAlign w:val="bottom"/>
            <w:gridSpan w:val="3"/>
          </w:tcPr>
          <w:p>
            <w:pPr>
              <w:jc w:val="center"/>
              <w:ind w:right="802"/>
              <w:spacing w:after="0"/>
              <w:rPr>
                <w:sz w:val="20"/>
                <w:szCs w:val="20"/>
                <w:color w:val="auto"/>
              </w:rPr>
            </w:pPr>
            <w:r>
              <w:rPr>
                <w:rFonts w:ascii="Arial" w:cs="Arial" w:eastAsia="Arial" w:hAnsi="Arial"/>
                <w:sz w:val="16"/>
                <w:szCs w:val="16"/>
                <w:b w:val="1"/>
                <w:bCs w:val="1"/>
                <w:color w:val="auto"/>
                <w:w w:val="97"/>
              </w:rPr>
              <w:t>2023 Compared to 2022</w:t>
            </w:r>
          </w:p>
        </w:tc>
        <w:tc>
          <w:tcPr>
            <w:tcW w:w="1140" w:type="dxa"/>
            <w:vAlign w:val="bottom"/>
          </w:tcPr>
          <w:p>
            <w:pPr>
              <w:spacing w:after="0"/>
              <w:rPr>
                <w:sz w:val="17"/>
                <w:szCs w:val="17"/>
                <w:color w:val="auto"/>
              </w:rPr>
            </w:pPr>
          </w:p>
        </w:tc>
      </w:tr>
      <w:tr>
        <w:trPr>
          <w:trHeight w:val="204"/>
        </w:trPr>
        <w:tc>
          <w:tcPr>
            <w:tcW w:w="3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60" w:type="dxa"/>
            <w:vAlign w:val="bottom"/>
            <w:gridSpan w:val="3"/>
          </w:tcPr>
          <w:p>
            <w:pPr>
              <w:jc w:val="center"/>
              <w:ind w:right="802"/>
              <w:spacing w:after="0"/>
              <w:rPr>
                <w:sz w:val="20"/>
                <w:szCs w:val="20"/>
                <w:color w:val="auto"/>
              </w:rPr>
            </w:pPr>
            <w:r>
              <w:rPr>
                <w:rFonts w:ascii="Arial" w:cs="Arial" w:eastAsia="Arial" w:hAnsi="Arial"/>
                <w:sz w:val="16"/>
                <w:szCs w:val="16"/>
                <w:b w:val="1"/>
                <w:bCs w:val="1"/>
                <w:color w:val="auto"/>
                <w:w w:val="98"/>
              </w:rPr>
              <w:t>Increase (Decrease) Due to</w:t>
            </w:r>
          </w:p>
        </w:tc>
        <w:tc>
          <w:tcPr>
            <w:tcW w:w="1140" w:type="dxa"/>
            <w:vAlign w:val="bottom"/>
          </w:tcPr>
          <w:p>
            <w:pPr>
              <w:spacing w:after="0"/>
              <w:rPr>
                <w:sz w:val="17"/>
                <w:szCs w:val="17"/>
                <w:color w:val="auto"/>
              </w:rPr>
            </w:pPr>
          </w:p>
        </w:tc>
      </w:tr>
      <w:tr>
        <w:trPr>
          <w:trHeight w:val="204"/>
        </w:trPr>
        <w:tc>
          <w:tcPr>
            <w:tcW w:w="3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jc w:val="right"/>
              <w:ind w:right="962"/>
              <w:spacing w:after="0"/>
              <w:rPr>
                <w:sz w:val="20"/>
                <w:szCs w:val="20"/>
                <w:color w:val="auto"/>
              </w:rPr>
            </w:pPr>
            <w:r>
              <w:rPr>
                <w:rFonts w:ascii="Arial" w:cs="Arial" w:eastAsia="Arial" w:hAnsi="Arial"/>
                <w:sz w:val="16"/>
                <w:szCs w:val="16"/>
                <w:b w:val="1"/>
                <w:bCs w:val="1"/>
                <w:color w:val="auto"/>
              </w:rPr>
              <w:t>Rate/</w:t>
            </w:r>
          </w:p>
        </w:tc>
        <w:tc>
          <w:tcPr>
            <w:tcW w:w="1140" w:type="dxa"/>
            <w:vAlign w:val="bottom"/>
          </w:tcPr>
          <w:p>
            <w:pPr>
              <w:spacing w:after="0"/>
              <w:rPr>
                <w:sz w:val="17"/>
                <w:szCs w:val="17"/>
                <w:color w:val="auto"/>
              </w:rPr>
            </w:pPr>
          </w:p>
        </w:tc>
      </w:tr>
      <w:tr>
        <w:trPr>
          <w:trHeight w:val="207"/>
        </w:trPr>
        <w:tc>
          <w:tcPr>
            <w:tcW w:w="3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jc w:val="right"/>
              <w:ind w:right="402"/>
              <w:spacing w:after="0"/>
              <w:rPr>
                <w:sz w:val="20"/>
                <w:szCs w:val="20"/>
                <w:color w:val="auto"/>
              </w:rPr>
            </w:pPr>
            <w:r>
              <w:rPr>
                <w:rFonts w:ascii="Arial" w:cs="Arial" w:eastAsia="Arial" w:hAnsi="Arial"/>
                <w:sz w:val="16"/>
                <w:szCs w:val="16"/>
                <w:b w:val="1"/>
                <w:bCs w:val="1"/>
                <w:color w:val="auto"/>
              </w:rPr>
              <w:t>Volume</w:t>
            </w:r>
          </w:p>
        </w:tc>
        <w:tc>
          <w:tcPr>
            <w:tcW w:w="480" w:type="dxa"/>
            <w:vAlign w:val="bottom"/>
          </w:tcPr>
          <w:p>
            <w:pPr>
              <w:spacing w:after="0"/>
              <w:rPr>
                <w:sz w:val="17"/>
                <w:szCs w:val="17"/>
                <w:color w:val="auto"/>
              </w:rPr>
            </w:pPr>
          </w:p>
        </w:tc>
        <w:tc>
          <w:tcPr>
            <w:tcW w:w="1260" w:type="dxa"/>
            <w:vAlign w:val="bottom"/>
          </w:tcPr>
          <w:p>
            <w:pPr>
              <w:jc w:val="right"/>
              <w:ind w:right="622"/>
              <w:spacing w:after="0"/>
              <w:rPr>
                <w:sz w:val="20"/>
                <w:szCs w:val="20"/>
                <w:color w:val="auto"/>
              </w:rPr>
            </w:pPr>
            <w:r>
              <w:rPr>
                <w:rFonts w:ascii="Arial" w:cs="Arial" w:eastAsia="Arial" w:hAnsi="Arial"/>
                <w:sz w:val="16"/>
                <w:szCs w:val="16"/>
                <w:b w:val="1"/>
                <w:bCs w:val="1"/>
                <w:color w:val="auto"/>
              </w:rPr>
              <w:t>Rate</w:t>
            </w:r>
          </w:p>
        </w:tc>
        <w:tc>
          <w:tcPr>
            <w:tcW w:w="340" w:type="dxa"/>
            <w:vAlign w:val="bottom"/>
          </w:tcPr>
          <w:p>
            <w:pPr>
              <w:spacing w:after="0"/>
              <w:rPr>
                <w:sz w:val="17"/>
                <w:szCs w:val="17"/>
                <w:color w:val="auto"/>
              </w:rPr>
            </w:pPr>
          </w:p>
        </w:tc>
        <w:tc>
          <w:tcPr>
            <w:tcW w:w="1660" w:type="dxa"/>
            <w:vAlign w:val="bottom"/>
          </w:tcPr>
          <w:p>
            <w:pPr>
              <w:jc w:val="right"/>
              <w:ind w:right="862"/>
              <w:spacing w:after="0"/>
              <w:rPr>
                <w:sz w:val="20"/>
                <w:szCs w:val="20"/>
                <w:color w:val="auto"/>
              </w:rPr>
            </w:pPr>
            <w:r>
              <w:rPr>
                <w:rFonts w:ascii="Arial" w:cs="Arial" w:eastAsia="Arial" w:hAnsi="Arial"/>
                <w:sz w:val="16"/>
                <w:szCs w:val="16"/>
                <w:b w:val="1"/>
                <w:bCs w:val="1"/>
                <w:color w:val="auto"/>
              </w:rPr>
              <w:t>Volume</w:t>
            </w: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Total</w:t>
            </w:r>
          </w:p>
        </w:tc>
      </w:tr>
      <w:tr>
        <w:trPr>
          <w:trHeight w:val="195"/>
        </w:trPr>
        <w:tc>
          <w:tcPr>
            <w:tcW w:w="3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60" w:type="dxa"/>
            <w:vAlign w:val="bottom"/>
            <w:gridSpan w:val="3"/>
          </w:tcPr>
          <w:p>
            <w:pPr>
              <w:jc w:val="center"/>
              <w:ind w:right="822"/>
              <w:spacing w:after="0"/>
              <w:rPr>
                <w:sz w:val="20"/>
                <w:szCs w:val="20"/>
                <w:color w:val="auto"/>
              </w:rPr>
            </w:pPr>
            <w:r>
              <w:rPr>
                <w:rFonts w:ascii="Arial" w:cs="Arial" w:eastAsia="Arial" w:hAnsi="Arial"/>
                <w:sz w:val="14"/>
                <w:szCs w:val="14"/>
                <w:i w:val="1"/>
                <w:iCs w:val="1"/>
                <w:color w:val="auto"/>
              </w:rPr>
              <w:t>(Dollars in thousands)</w:t>
            </w:r>
          </w:p>
        </w:tc>
        <w:tc>
          <w:tcPr>
            <w:tcW w:w="1140" w:type="dxa"/>
            <w:vAlign w:val="bottom"/>
          </w:tcPr>
          <w:p>
            <w:pPr>
              <w:spacing w:after="0"/>
              <w:rPr>
                <w:sz w:val="16"/>
                <w:szCs w:val="16"/>
                <w:color w:val="auto"/>
              </w:rPr>
            </w:pPr>
          </w:p>
        </w:tc>
      </w:tr>
      <w:tr>
        <w:trPr>
          <w:trHeight w:val="21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6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03"/>
        </w:trPr>
        <w:tc>
          <w:tcPr>
            <w:tcW w:w="3820" w:type="dxa"/>
            <w:vAlign w:val="bottom"/>
          </w:tcPr>
          <w:p>
            <w:pPr>
              <w:ind w:left="180"/>
              <w:spacing w:after="0"/>
              <w:rPr>
                <w:sz w:val="20"/>
                <w:szCs w:val="20"/>
                <w:color w:val="auto"/>
              </w:rPr>
            </w:pPr>
            <w:r>
              <w:rPr>
                <w:rFonts w:ascii="Arial" w:cs="Arial" w:eastAsia="Arial" w:hAnsi="Arial"/>
                <w:sz w:val="16"/>
                <w:szCs w:val="16"/>
                <w:color w:val="auto"/>
              </w:rPr>
              <w:t>Available-for-sale securities:</w:t>
            </w: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Taxable investment securities</w:t>
            </w:r>
          </w:p>
        </w:tc>
        <w:tc>
          <w:tcPr>
            <w:tcW w:w="6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(2,363 )</w:t>
            </w:r>
          </w:p>
        </w:tc>
        <w:tc>
          <w:tcPr>
            <w:tcW w:w="4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5,448</w:t>
            </w:r>
          </w:p>
        </w:tc>
        <w:tc>
          <w:tcPr>
            <w:tcW w:w="3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(761 )   $</w:t>
            </w: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2,324</w:t>
            </w:r>
          </w:p>
        </w:tc>
      </w:tr>
      <w:tr>
        <w:trPr>
          <w:trHeight w:val="203"/>
        </w:trPr>
        <w:tc>
          <w:tcPr>
            <w:tcW w:w="3820" w:type="dxa"/>
            <w:vAlign w:val="bottom"/>
          </w:tcPr>
          <w:p>
            <w:pPr>
              <w:ind w:left="340"/>
              <w:spacing w:after="0"/>
              <w:rPr>
                <w:sz w:val="20"/>
                <w:szCs w:val="20"/>
                <w:color w:val="auto"/>
              </w:rPr>
            </w:pPr>
            <w:r>
              <w:rPr>
                <w:rFonts w:ascii="Arial" w:cs="Arial" w:eastAsia="Arial" w:hAnsi="Arial"/>
                <w:sz w:val="16"/>
                <w:szCs w:val="16"/>
                <w:color w:val="auto"/>
              </w:rPr>
              <w:t>Tax-advantaged investment securities</w:t>
            </w:r>
          </w:p>
        </w:tc>
        <w:tc>
          <w:tcPr>
            <w:tcW w:w="6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(10 )</w:t>
            </w:r>
          </w:p>
        </w:tc>
        <w:tc>
          <w:tcPr>
            <w:tcW w:w="480" w:type="dxa"/>
            <w:vAlign w:val="bottom"/>
          </w:tcPr>
          <w:p>
            <w:pPr>
              <w:spacing w:after="0"/>
              <w:rPr>
                <w:sz w:val="17"/>
                <w:szCs w:val="17"/>
                <w:color w:val="auto"/>
              </w:rPr>
            </w:pP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66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05"/>
        </w:trPr>
        <w:tc>
          <w:tcPr>
            <w:tcW w:w="3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Held-to-maturity securities:</w:t>
            </w:r>
          </w:p>
        </w:tc>
        <w:tc>
          <w:tcPr>
            <w:tcW w:w="6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50"/>
        </w:trPr>
        <w:tc>
          <w:tcPr>
            <w:tcW w:w="3820" w:type="dxa"/>
            <w:vAlign w:val="bottom"/>
          </w:tcPr>
          <w:p>
            <w:pPr>
              <w:ind w:left="340"/>
              <w:spacing w:after="0"/>
              <w:rPr>
                <w:sz w:val="20"/>
                <w:szCs w:val="20"/>
                <w:color w:val="auto"/>
              </w:rPr>
            </w:pPr>
            <w:r>
              <w:rPr>
                <w:rFonts w:ascii="Arial" w:cs="Arial" w:eastAsia="Arial" w:hAnsi="Arial"/>
                <w:sz w:val="16"/>
                <w:szCs w:val="16"/>
                <w:color w:val="auto"/>
              </w:rPr>
              <w:t>Taxable investment securities</w:t>
            </w:r>
          </w:p>
        </w:tc>
        <w:tc>
          <w:tcPr>
            <w:tcW w:w="660" w:type="dxa"/>
            <w:vAlign w:val="bottom"/>
          </w:tcPr>
          <w:p>
            <w:pPr>
              <w:spacing w:after="0"/>
              <w:rPr>
                <w:sz w:val="21"/>
                <w:szCs w:val="21"/>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347</w:t>
            </w:r>
          </w:p>
        </w:tc>
        <w:tc>
          <w:tcPr>
            <w:tcW w:w="480" w:type="dxa"/>
            <w:vAlign w:val="bottom"/>
          </w:tcPr>
          <w:p>
            <w:pPr>
              <w:spacing w:after="0"/>
              <w:rPr>
                <w:sz w:val="21"/>
                <w:szCs w:val="21"/>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931</w:t>
            </w:r>
          </w:p>
        </w:tc>
        <w:tc>
          <w:tcPr>
            <w:tcW w:w="340" w:type="dxa"/>
            <w:vAlign w:val="bottom"/>
          </w:tcPr>
          <w:p>
            <w:pPr>
              <w:spacing w:after="0"/>
              <w:rPr>
                <w:sz w:val="21"/>
                <w:szCs w:val="21"/>
                <w:color w:val="auto"/>
              </w:rPr>
            </w:pPr>
          </w:p>
        </w:tc>
        <w:tc>
          <w:tcPr>
            <w:tcW w:w="1660" w:type="dxa"/>
            <w:vAlign w:val="bottom"/>
          </w:tcPr>
          <w:p>
            <w:pPr>
              <w:jc w:val="right"/>
              <w:ind w:right="482"/>
              <w:spacing w:after="0"/>
              <w:rPr>
                <w:sz w:val="20"/>
                <w:szCs w:val="20"/>
                <w:color w:val="auto"/>
              </w:rPr>
            </w:pPr>
            <w:r>
              <w:rPr>
                <w:rFonts w:ascii="Arial" w:cs="Arial" w:eastAsia="Arial" w:hAnsi="Arial"/>
                <w:sz w:val="16"/>
                <w:szCs w:val="16"/>
                <w:color w:val="auto"/>
              </w:rPr>
              <w:t>37</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1,315</w:t>
            </w:r>
          </w:p>
        </w:tc>
      </w:tr>
      <w:tr>
        <w:trPr>
          <w:trHeight w:val="50"/>
        </w:trPr>
        <w:tc>
          <w:tcPr>
            <w:tcW w:w="3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04"/>
        </w:trPr>
        <w:tc>
          <w:tcPr>
            <w:tcW w:w="3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Tax-advantaged investment securities</w:t>
            </w:r>
          </w:p>
        </w:tc>
        <w:tc>
          <w:tcPr>
            <w:tcW w:w="6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569</w:t>
            </w: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106</w:t>
            </w:r>
          </w:p>
        </w:tc>
        <w:tc>
          <w:tcPr>
            <w:tcW w:w="3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482"/>
              <w:spacing w:after="0"/>
              <w:rPr>
                <w:sz w:val="20"/>
                <w:szCs w:val="20"/>
                <w:color w:val="auto"/>
              </w:rPr>
            </w:pPr>
            <w:r>
              <w:rPr>
                <w:rFonts w:ascii="Arial" w:cs="Arial" w:eastAsia="Arial" w:hAnsi="Arial"/>
                <w:sz w:val="16"/>
                <w:szCs w:val="16"/>
                <w:color w:val="auto"/>
              </w:rPr>
              <w:t>36</w:t>
            </w: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711</w:t>
            </w:r>
          </w:p>
        </w:tc>
      </w:tr>
      <w:tr>
        <w:trPr>
          <w:trHeight w:val="203"/>
        </w:trPr>
        <w:tc>
          <w:tcPr>
            <w:tcW w:w="3820" w:type="dxa"/>
            <w:vAlign w:val="bottom"/>
          </w:tcPr>
          <w:p>
            <w:pPr>
              <w:ind w:left="180"/>
              <w:spacing w:after="0"/>
              <w:rPr>
                <w:sz w:val="20"/>
                <w:szCs w:val="20"/>
                <w:color w:val="auto"/>
              </w:rPr>
            </w:pPr>
            <w:r>
              <w:rPr>
                <w:rFonts w:ascii="Arial" w:cs="Arial" w:eastAsia="Arial" w:hAnsi="Arial"/>
                <w:sz w:val="16"/>
                <w:szCs w:val="16"/>
                <w:color w:val="auto"/>
              </w:rPr>
              <w:t>Investment in FHLB stock</w:t>
            </w:r>
          </w:p>
        </w:tc>
        <w:tc>
          <w:tcPr>
            <w:tcW w:w="6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212</w:t>
            </w:r>
          </w:p>
        </w:tc>
        <w:tc>
          <w:tcPr>
            <w:tcW w:w="48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(1 )</w:t>
            </w:r>
          </w:p>
        </w:tc>
        <w:tc>
          <w:tcPr>
            <w:tcW w:w="340" w:type="dxa"/>
            <w:vAlign w:val="bottom"/>
          </w:tcPr>
          <w:p>
            <w:pPr>
              <w:spacing w:after="0"/>
              <w:rPr>
                <w:sz w:val="17"/>
                <w:szCs w:val="17"/>
                <w:color w:val="auto"/>
              </w:rPr>
            </w:pPr>
          </w:p>
        </w:tc>
        <w:tc>
          <w:tcPr>
            <w:tcW w:w="1660" w:type="dxa"/>
            <w:vAlign w:val="bottom"/>
          </w:tcPr>
          <w:p>
            <w:pPr>
              <w:jc w:val="right"/>
              <w:ind w:right="402"/>
              <w:spacing w:after="0"/>
              <w:rPr>
                <w:sz w:val="20"/>
                <w:szCs w:val="20"/>
                <w:color w:val="auto"/>
              </w:rPr>
            </w:pPr>
            <w:r>
              <w:rPr>
                <w:rFonts w:ascii="Arial" w:cs="Arial" w:eastAsia="Arial" w:hAnsi="Arial"/>
                <w:sz w:val="16"/>
                <w:szCs w:val="16"/>
                <w:color w:val="auto"/>
              </w:rPr>
              <w:t>(1 )</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210</w:t>
            </w:r>
          </w:p>
        </w:tc>
      </w:tr>
      <w:tr>
        <w:trPr>
          <w:trHeight w:val="205"/>
        </w:trPr>
        <w:tc>
          <w:tcPr>
            <w:tcW w:w="3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deposits with other institutions</w:t>
            </w:r>
          </w:p>
        </w:tc>
        <w:tc>
          <w:tcPr>
            <w:tcW w:w="6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(820 )</w:t>
            </w: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9,157</w:t>
            </w:r>
          </w:p>
        </w:tc>
        <w:tc>
          <w:tcPr>
            <w:tcW w:w="3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rPr>
              <w:t>(5,130 )</w:t>
            </w: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3,207</w:t>
            </w:r>
          </w:p>
        </w:tc>
      </w:tr>
      <w:tr>
        <w:trPr>
          <w:trHeight w:val="203"/>
        </w:trPr>
        <w:tc>
          <w:tcPr>
            <w:tcW w:w="3820" w:type="dxa"/>
            <w:vAlign w:val="bottom"/>
          </w:tcPr>
          <w:p>
            <w:pPr>
              <w:ind w:left="180"/>
              <w:spacing w:after="0"/>
              <w:rPr>
                <w:sz w:val="20"/>
                <w:szCs w:val="20"/>
                <w:color w:val="auto"/>
              </w:rPr>
            </w:pPr>
            <w:r>
              <w:rPr>
                <w:rFonts w:ascii="Arial" w:cs="Arial" w:eastAsia="Arial" w:hAnsi="Arial"/>
                <w:sz w:val="16"/>
                <w:szCs w:val="16"/>
                <w:color w:val="auto"/>
              </w:rPr>
              <w:t>Loans</w:t>
            </w:r>
          </w:p>
        </w:tc>
        <w:tc>
          <w:tcPr>
            <w:tcW w:w="6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2,770</w:t>
            </w:r>
          </w:p>
        </w:tc>
        <w:tc>
          <w:tcPr>
            <w:tcW w:w="480" w:type="dxa"/>
            <w:vAlign w:val="bottom"/>
          </w:tcPr>
          <w:p>
            <w:pPr>
              <w:spacing w:after="0"/>
              <w:rPr>
                <w:sz w:val="17"/>
                <w:szCs w:val="17"/>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15,002</w:t>
            </w:r>
          </w:p>
        </w:tc>
        <w:tc>
          <w:tcPr>
            <w:tcW w:w="340" w:type="dxa"/>
            <w:vAlign w:val="bottom"/>
          </w:tcPr>
          <w:p>
            <w:pPr>
              <w:spacing w:after="0"/>
              <w:rPr>
                <w:sz w:val="17"/>
                <w:szCs w:val="17"/>
                <w:color w:val="auto"/>
              </w:rPr>
            </w:pPr>
          </w:p>
        </w:tc>
        <w:tc>
          <w:tcPr>
            <w:tcW w:w="1660" w:type="dxa"/>
            <w:vAlign w:val="bottom"/>
          </w:tcPr>
          <w:p>
            <w:pPr>
              <w:jc w:val="right"/>
              <w:ind w:right="482"/>
              <w:spacing w:after="0"/>
              <w:rPr>
                <w:sz w:val="20"/>
                <w:szCs w:val="20"/>
                <w:color w:val="auto"/>
              </w:rPr>
            </w:pPr>
            <w:r>
              <w:rPr>
                <w:rFonts w:ascii="Arial" w:cs="Arial" w:eastAsia="Arial" w:hAnsi="Arial"/>
                <w:sz w:val="16"/>
                <w:szCs w:val="16"/>
                <w:color w:val="auto"/>
              </w:rPr>
              <w:t>448</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18,220</w:t>
            </w:r>
          </w:p>
        </w:tc>
      </w:tr>
      <w:tr>
        <w:trPr>
          <w:trHeight w:val="205"/>
        </w:trPr>
        <w:tc>
          <w:tcPr>
            <w:tcW w:w="3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interest income</w:t>
            </w:r>
          </w:p>
        </w:tc>
        <w:tc>
          <w:tcPr>
            <w:tcW w:w="6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705</w:t>
            </w: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30,643</w:t>
            </w:r>
          </w:p>
        </w:tc>
        <w:tc>
          <w:tcPr>
            <w:tcW w:w="3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rPr>
              <w:t>(5,371 )</w:t>
            </w: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25,977</w:t>
            </w:r>
          </w:p>
        </w:tc>
      </w:tr>
    </w:tbl>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w:t>
      </w:r>
    </w:p>
    <w:p>
      <w:pPr>
        <w:sectPr>
          <w:pgSz w:w="11900" w:h="16840" w:orient="portrait"/>
          <w:cols w:equalWidth="0" w:num="1">
            <w:col w:w="10560"/>
          </w:cols>
          <w:pgMar w:left="660" w:top="790" w:right="680" w:bottom="1440" w:gutter="0" w:footer="0" w:header="0"/>
        </w:sectPr>
      </w:pP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Savings deposits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Time deposits</w:t>
      </w:r>
    </w:p>
    <w:p>
      <w:pPr>
        <w:spacing w:after="0" w:line="20" w:lineRule="exact"/>
        <w:rPr>
          <w:sz w:val="20"/>
          <w:szCs w:val="20"/>
          <w:color w:val="auto"/>
        </w:rPr>
      </w:pPr>
    </w:p>
    <w:p>
      <w:pPr>
        <w:ind w:left="300" w:right="1680" w:hanging="129"/>
        <w:spacing w:after="0" w:line="286" w:lineRule="auto"/>
        <w:rPr>
          <w:sz w:val="20"/>
          <w:szCs w:val="20"/>
          <w:color w:val="auto"/>
        </w:rPr>
      </w:pPr>
      <w:r>
        <w:rPr>
          <w:rFonts w:ascii="Arial" w:cs="Arial" w:eastAsia="Arial" w:hAnsi="Arial"/>
          <w:sz w:val="14"/>
          <w:szCs w:val="14"/>
          <w:color w:val="auto"/>
        </w:rPr>
        <w:t>FHLB advances, other borrowings, and customer repurchase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920" w:type="dxa"/>
            <w:vAlign w:val="bottom"/>
          </w:tcPr>
          <w:p>
            <w:pPr>
              <w:jc w:val="right"/>
              <w:ind w:right="462"/>
              <w:spacing w:after="0"/>
              <w:rPr>
                <w:sz w:val="20"/>
                <w:szCs w:val="20"/>
                <w:color w:val="auto"/>
              </w:rPr>
            </w:pPr>
            <w:r>
              <w:rPr>
                <w:rFonts w:ascii="Arial" w:cs="Arial" w:eastAsia="Arial" w:hAnsi="Arial"/>
                <w:sz w:val="16"/>
                <w:szCs w:val="16"/>
                <w:color w:val="auto"/>
                <w:w w:val="86"/>
              </w:rPr>
              <w:t>(163 )</w:t>
            </w:r>
          </w:p>
        </w:tc>
        <w:tc>
          <w:tcPr>
            <w:tcW w:w="1620" w:type="dxa"/>
            <w:vAlign w:val="bottom"/>
          </w:tcPr>
          <w:p>
            <w:pPr>
              <w:jc w:val="right"/>
              <w:ind w:right="522"/>
              <w:spacing w:after="0"/>
              <w:rPr>
                <w:sz w:val="20"/>
                <w:szCs w:val="20"/>
                <w:color w:val="auto"/>
              </w:rPr>
            </w:pPr>
            <w:r>
              <w:rPr>
                <w:rFonts w:ascii="Arial" w:cs="Arial" w:eastAsia="Arial" w:hAnsi="Arial"/>
                <w:sz w:val="16"/>
                <w:szCs w:val="16"/>
                <w:color w:val="auto"/>
              </w:rPr>
              <w:t>10,949</w:t>
            </w:r>
          </w:p>
        </w:tc>
        <w:tc>
          <w:tcPr>
            <w:tcW w:w="1640" w:type="dxa"/>
            <w:vAlign w:val="bottom"/>
          </w:tcPr>
          <w:p>
            <w:pPr>
              <w:jc w:val="right"/>
              <w:ind w:right="442"/>
              <w:spacing w:after="0"/>
              <w:rPr>
                <w:sz w:val="20"/>
                <w:szCs w:val="20"/>
                <w:color w:val="auto"/>
              </w:rPr>
            </w:pPr>
            <w:r>
              <w:rPr>
                <w:rFonts w:ascii="Arial" w:cs="Arial" w:eastAsia="Arial" w:hAnsi="Arial"/>
                <w:sz w:val="16"/>
                <w:szCs w:val="16"/>
                <w:color w:val="auto"/>
              </w:rPr>
              <w:t>(1,571 )</w:t>
            </w:r>
          </w:p>
        </w:tc>
        <w:tc>
          <w:tcPr>
            <w:tcW w:w="1000" w:type="dxa"/>
            <w:vAlign w:val="bottom"/>
          </w:tcPr>
          <w:p>
            <w:pPr>
              <w:jc w:val="right"/>
              <w:spacing w:after="0"/>
              <w:rPr>
                <w:sz w:val="20"/>
                <w:szCs w:val="20"/>
                <w:color w:val="auto"/>
              </w:rPr>
            </w:pPr>
            <w:r>
              <w:rPr>
                <w:rFonts w:ascii="Arial" w:cs="Arial" w:eastAsia="Arial" w:hAnsi="Arial"/>
                <w:sz w:val="16"/>
                <w:szCs w:val="16"/>
                <w:color w:val="auto"/>
              </w:rPr>
              <w:t>9,215</w:t>
            </w:r>
          </w:p>
        </w:tc>
      </w:tr>
      <w:tr>
        <w:trPr>
          <w:trHeight w:val="204"/>
        </w:trPr>
        <w:tc>
          <w:tcPr>
            <w:tcW w:w="920" w:type="dxa"/>
            <w:vAlign w:val="bottom"/>
          </w:tcPr>
          <w:p>
            <w:pPr>
              <w:jc w:val="right"/>
              <w:ind w:right="462"/>
              <w:spacing w:after="0"/>
              <w:rPr>
                <w:sz w:val="20"/>
                <w:szCs w:val="20"/>
                <w:color w:val="auto"/>
              </w:rPr>
            </w:pPr>
            <w:r>
              <w:rPr>
                <w:rFonts w:ascii="Arial" w:cs="Arial" w:eastAsia="Arial" w:hAnsi="Arial"/>
                <w:sz w:val="16"/>
                <w:szCs w:val="16"/>
                <w:color w:val="auto"/>
              </w:rPr>
              <w:t>(12 )</w:t>
            </w:r>
          </w:p>
        </w:tc>
        <w:tc>
          <w:tcPr>
            <w:tcW w:w="1620" w:type="dxa"/>
            <w:vAlign w:val="bottom"/>
          </w:tcPr>
          <w:p>
            <w:pPr>
              <w:jc w:val="right"/>
              <w:ind w:right="522"/>
              <w:spacing w:after="0"/>
              <w:rPr>
                <w:sz w:val="20"/>
                <w:szCs w:val="20"/>
                <w:color w:val="auto"/>
              </w:rPr>
            </w:pPr>
            <w:r>
              <w:rPr>
                <w:rFonts w:ascii="Arial" w:cs="Arial" w:eastAsia="Arial" w:hAnsi="Arial"/>
                <w:sz w:val="16"/>
                <w:szCs w:val="16"/>
                <w:color w:val="auto"/>
              </w:rPr>
              <w:t>442</w:t>
            </w:r>
          </w:p>
        </w:tc>
        <w:tc>
          <w:tcPr>
            <w:tcW w:w="1640" w:type="dxa"/>
            <w:vAlign w:val="bottom"/>
          </w:tcPr>
          <w:p>
            <w:pPr>
              <w:jc w:val="right"/>
              <w:ind w:right="442"/>
              <w:spacing w:after="0"/>
              <w:rPr>
                <w:sz w:val="20"/>
                <w:szCs w:val="20"/>
                <w:color w:val="auto"/>
              </w:rPr>
            </w:pPr>
            <w:r>
              <w:rPr>
                <w:rFonts w:ascii="Arial" w:cs="Arial" w:eastAsia="Arial" w:hAnsi="Arial"/>
                <w:sz w:val="16"/>
                <w:szCs w:val="16"/>
                <w:color w:val="auto"/>
              </w:rPr>
              <w:t>(81 )</w:t>
            </w:r>
          </w:p>
        </w:tc>
        <w:tc>
          <w:tcPr>
            <w:tcW w:w="100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88"/>
        </w:trPr>
        <w:tc>
          <w:tcPr>
            <w:tcW w:w="920" w:type="dxa"/>
            <w:vAlign w:val="bottom"/>
          </w:tcPr>
          <w:p>
            <w:pPr>
              <w:jc w:val="right"/>
              <w:ind w:right="542"/>
              <w:spacing w:after="0"/>
              <w:rPr>
                <w:sz w:val="20"/>
                <w:szCs w:val="20"/>
                <w:color w:val="auto"/>
              </w:rPr>
            </w:pPr>
            <w:r>
              <w:rPr>
                <w:rFonts w:ascii="Arial" w:cs="Arial" w:eastAsia="Arial" w:hAnsi="Arial"/>
                <w:sz w:val="16"/>
                <w:szCs w:val="16"/>
                <w:color w:val="auto"/>
              </w:rPr>
              <w:t>300</w:t>
            </w:r>
          </w:p>
        </w:tc>
        <w:tc>
          <w:tcPr>
            <w:tcW w:w="1620" w:type="dxa"/>
            <w:vAlign w:val="bottom"/>
          </w:tcPr>
          <w:p>
            <w:pPr>
              <w:jc w:val="right"/>
              <w:ind w:right="502"/>
              <w:spacing w:after="0"/>
              <w:rPr>
                <w:sz w:val="20"/>
                <w:szCs w:val="20"/>
                <w:color w:val="auto"/>
              </w:rPr>
            </w:pPr>
            <w:r>
              <w:rPr>
                <w:rFonts w:ascii="Arial" w:cs="Arial" w:eastAsia="Arial" w:hAnsi="Arial"/>
                <w:sz w:val="16"/>
                <w:szCs w:val="16"/>
                <w:color w:val="auto"/>
              </w:rPr>
              <w:t>5,326</w:t>
            </w:r>
          </w:p>
        </w:tc>
        <w:tc>
          <w:tcPr>
            <w:tcW w:w="1640" w:type="dxa"/>
            <w:vAlign w:val="bottom"/>
          </w:tcPr>
          <w:p>
            <w:pPr>
              <w:jc w:val="right"/>
              <w:ind w:right="522"/>
              <w:spacing w:after="0"/>
              <w:rPr>
                <w:sz w:val="20"/>
                <w:szCs w:val="20"/>
                <w:color w:val="auto"/>
              </w:rPr>
            </w:pPr>
            <w:r>
              <w:rPr>
                <w:rFonts w:ascii="Arial" w:cs="Arial" w:eastAsia="Arial" w:hAnsi="Arial"/>
                <w:sz w:val="16"/>
                <w:szCs w:val="16"/>
                <w:color w:val="auto"/>
              </w:rPr>
              <w:t>13,192</w:t>
            </w:r>
          </w:p>
        </w:tc>
        <w:tc>
          <w:tcPr>
            <w:tcW w:w="1000" w:type="dxa"/>
            <w:vAlign w:val="bottom"/>
          </w:tcPr>
          <w:p>
            <w:pPr>
              <w:jc w:val="right"/>
              <w:spacing w:after="0"/>
              <w:rPr>
                <w:sz w:val="20"/>
                <w:szCs w:val="20"/>
                <w:color w:val="auto"/>
              </w:rPr>
            </w:pPr>
            <w:r>
              <w:rPr>
                <w:rFonts w:ascii="Arial" w:cs="Arial" w:eastAsia="Arial" w:hAnsi="Arial"/>
                <w:sz w:val="16"/>
                <w:szCs w:val="16"/>
                <w:color w:val="auto"/>
              </w:rPr>
              <w:t>18,818</w:t>
            </w:r>
          </w:p>
        </w:tc>
      </w:tr>
    </w:tbl>
    <w:p>
      <w:pPr>
        <w:spacing w:after="0" w:line="103" w:lineRule="exact"/>
        <w:rPr>
          <w:sz w:val="20"/>
          <w:szCs w:val="20"/>
          <w:color w:val="auto"/>
        </w:rPr>
      </w:pPr>
    </w:p>
    <w:p>
      <w:pPr>
        <w:sectPr>
          <w:pgSz w:w="11900" w:h="16840" w:orient="portrait"/>
          <w:cols w:equalWidth="0" w:num="2">
            <w:col w:w="4560" w:space="720"/>
            <w:col w:w="5280"/>
          </w:cols>
          <w:pgMar w:left="660" w:top="790" w:right="680"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4240" w:type="dxa"/>
            <w:vAlign w:val="bottom"/>
          </w:tcPr>
          <w:p>
            <w:pPr>
              <w:ind w:left="340"/>
              <w:spacing w:after="0"/>
              <w:rPr>
                <w:sz w:val="20"/>
                <w:szCs w:val="20"/>
                <w:color w:val="auto"/>
              </w:rPr>
            </w:pPr>
            <w:r>
              <w:rPr>
                <w:rFonts w:ascii="Arial" w:cs="Arial" w:eastAsia="Arial" w:hAnsi="Arial"/>
                <w:sz w:val="16"/>
                <w:szCs w:val="16"/>
                <w:color w:val="auto"/>
              </w:rPr>
              <w:t>Total interest expense</w:t>
            </w: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16,717</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28,382</w:t>
            </w:r>
          </w:p>
        </w:tc>
        <w:tc>
          <w:tcPr>
            <w:tcW w:w="80" w:type="dxa"/>
            <w:vAlign w:val="bottom"/>
          </w:tcPr>
          <w:p>
            <w:pPr>
              <w:spacing w:after="0"/>
              <w:rPr>
                <w:sz w:val="17"/>
                <w:szCs w:val="17"/>
                <w:color w:val="auto"/>
              </w:rPr>
            </w:pPr>
          </w:p>
        </w:tc>
      </w:tr>
      <w:tr>
        <w:trPr>
          <w:trHeight w:val="245"/>
        </w:trPr>
        <w:tc>
          <w:tcPr>
            <w:tcW w:w="4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interest income</w:t>
            </w: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w:t>
            </w:r>
          </w:p>
        </w:tc>
        <w:tc>
          <w:tcPr>
            <w:tcW w:w="7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13,926</w:t>
            </w:r>
          </w:p>
        </w:tc>
        <w:tc>
          <w:tcPr>
            <w:tcW w:w="7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(16,911 )</w:t>
            </w:r>
          </w:p>
        </w:tc>
        <w:tc>
          <w:tcPr>
            <w:tcW w:w="62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(2,405 )</w:t>
            </w:r>
          </w:p>
        </w:tc>
      </w:tr>
      <w:tr>
        <w:trPr>
          <w:trHeight w:val="346"/>
        </w:trPr>
        <w:tc>
          <w:tcPr>
            <w:tcW w:w="424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rPr>
              <w:t>48</w:t>
            </w:r>
          </w:p>
        </w:tc>
        <w:tc>
          <w:tcPr>
            <w:tcW w:w="28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278"/>
        </w:trPr>
        <w:tc>
          <w:tcPr>
            <w:tcW w:w="42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ectPr>
          <w:pgSz w:w="11900" w:h="16840" w:orient="portrait"/>
          <w:cols w:equalWidth="0" w:num="1">
            <w:col w:w="10560"/>
          </w:cols>
          <w:pgMar w:left="660" w:top="790" w:right="680" w:bottom="1440" w:gutter="0" w:footer="0" w:header="0"/>
          <w:type w:val="continuous"/>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3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700" w:type="dxa"/>
            <w:vAlign w:val="bottom"/>
            <w:gridSpan w:val="4"/>
          </w:tcPr>
          <w:p>
            <w:pPr>
              <w:jc w:val="center"/>
              <w:ind w:right="342"/>
              <w:spacing w:after="0"/>
              <w:rPr>
                <w:sz w:val="20"/>
                <w:szCs w:val="20"/>
                <w:color w:val="auto"/>
              </w:rPr>
            </w:pPr>
            <w:r>
              <w:rPr>
                <w:rFonts w:ascii="Arial" w:cs="Arial" w:eastAsia="Arial" w:hAnsi="Arial"/>
                <w:sz w:val="16"/>
                <w:szCs w:val="16"/>
                <w:b w:val="1"/>
                <w:bCs w:val="1"/>
                <w:color w:val="auto"/>
                <w:w w:val="97"/>
              </w:rPr>
              <w:t>Comparison of Six Months Ended June 30,</w:t>
            </w:r>
          </w:p>
        </w:tc>
        <w:tc>
          <w:tcPr>
            <w:tcW w:w="1140" w:type="dxa"/>
            <w:vAlign w:val="bottom"/>
          </w:tcPr>
          <w:p>
            <w:pPr>
              <w:spacing w:after="0"/>
              <w:rPr>
                <w:sz w:val="17"/>
                <w:szCs w:val="17"/>
                <w:color w:val="auto"/>
              </w:rPr>
            </w:pPr>
          </w:p>
        </w:tc>
      </w:tr>
      <w:tr>
        <w:trPr>
          <w:trHeight w:val="204"/>
        </w:trPr>
        <w:tc>
          <w:tcPr>
            <w:tcW w:w="3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60" w:type="dxa"/>
            <w:vAlign w:val="bottom"/>
            <w:gridSpan w:val="3"/>
          </w:tcPr>
          <w:p>
            <w:pPr>
              <w:jc w:val="center"/>
              <w:ind w:right="802"/>
              <w:spacing w:after="0"/>
              <w:rPr>
                <w:sz w:val="20"/>
                <w:szCs w:val="20"/>
                <w:color w:val="auto"/>
              </w:rPr>
            </w:pPr>
            <w:r>
              <w:rPr>
                <w:rFonts w:ascii="Arial" w:cs="Arial" w:eastAsia="Arial" w:hAnsi="Arial"/>
                <w:sz w:val="16"/>
                <w:szCs w:val="16"/>
                <w:b w:val="1"/>
                <w:bCs w:val="1"/>
                <w:color w:val="auto"/>
                <w:w w:val="97"/>
              </w:rPr>
              <w:t>2023 Compared to 2022</w:t>
            </w:r>
          </w:p>
        </w:tc>
        <w:tc>
          <w:tcPr>
            <w:tcW w:w="1140" w:type="dxa"/>
            <w:vAlign w:val="bottom"/>
          </w:tcPr>
          <w:p>
            <w:pPr>
              <w:spacing w:after="0"/>
              <w:rPr>
                <w:sz w:val="17"/>
                <w:szCs w:val="17"/>
                <w:color w:val="auto"/>
              </w:rPr>
            </w:pPr>
          </w:p>
        </w:tc>
      </w:tr>
      <w:tr>
        <w:trPr>
          <w:trHeight w:val="204"/>
        </w:trPr>
        <w:tc>
          <w:tcPr>
            <w:tcW w:w="3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60" w:type="dxa"/>
            <w:vAlign w:val="bottom"/>
            <w:gridSpan w:val="3"/>
          </w:tcPr>
          <w:p>
            <w:pPr>
              <w:jc w:val="center"/>
              <w:ind w:right="802"/>
              <w:spacing w:after="0"/>
              <w:rPr>
                <w:sz w:val="20"/>
                <w:szCs w:val="20"/>
                <w:color w:val="auto"/>
              </w:rPr>
            </w:pPr>
            <w:r>
              <w:rPr>
                <w:rFonts w:ascii="Arial" w:cs="Arial" w:eastAsia="Arial" w:hAnsi="Arial"/>
                <w:sz w:val="16"/>
                <w:szCs w:val="16"/>
                <w:b w:val="1"/>
                <w:bCs w:val="1"/>
                <w:color w:val="auto"/>
                <w:w w:val="98"/>
              </w:rPr>
              <w:t>Increase (Decrease) Due to</w:t>
            </w:r>
          </w:p>
        </w:tc>
        <w:tc>
          <w:tcPr>
            <w:tcW w:w="1140" w:type="dxa"/>
            <w:vAlign w:val="bottom"/>
          </w:tcPr>
          <w:p>
            <w:pPr>
              <w:spacing w:after="0"/>
              <w:rPr>
                <w:sz w:val="17"/>
                <w:szCs w:val="17"/>
                <w:color w:val="auto"/>
              </w:rPr>
            </w:pPr>
          </w:p>
        </w:tc>
      </w:tr>
      <w:tr>
        <w:trPr>
          <w:trHeight w:val="204"/>
        </w:trPr>
        <w:tc>
          <w:tcPr>
            <w:tcW w:w="3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jc w:val="right"/>
              <w:ind w:right="962"/>
              <w:spacing w:after="0"/>
              <w:rPr>
                <w:sz w:val="20"/>
                <w:szCs w:val="20"/>
                <w:color w:val="auto"/>
              </w:rPr>
            </w:pPr>
            <w:r>
              <w:rPr>
                <w:rFonts w:ascii="Arial" w:cs="Arial" w:eastAsia="Arial" w:hAnsi="Arial"/>
                <w:sz w:val="16"/>
                <w:szCs w:val="16"/>
                <w:b w:val="1"/>
                <w:bCs w:val="1"/>
                <w:color w:val="auto"/>
              </w:rPr>
              <w:t>Rate/</w:t>
            </w:r>
          </w:p>
        </w:tc>
        <w:tc>
          <w:tcPr>
            <w:tcW w:w="1140" w:type="dxa"/>
            <w:vAlign w:val="bottom"/>
          </w:tcPr>
          <w:p>
            <w:pPr>
              <w:spacing w:after="0"/>
              <w:rPr>
                <w:sz w:val="17"/>
                <w:szCs w:val="17"/>
                <w:color w:val="auto"/>
              </w:rPr>
            </w:pPr>
          </w:p>
        </w:tc>
      </w:tr>
      <w:tr>
        <w:trPr>
          <w:trHeight w:val="207"/>
        </w:trPr>
        <w:tc>
          <w:tcPr>
            <w:tcW w:w="3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right"/>
              <w:ind w:right="442"/>
              <w:spacing w:after="0"/>
              <w:rPr>
                <w:sz w:val="20"/>
                <w:szCs w:val="20"/>
                <w:color w:val="auto"/>
              </w:rPr>
            </w:pPr>
            <w:r>
              <w:rPr>
                <w:rFonts w:ascii="Arial" w:cs="Arial" w:eastAsia="Arial" w:hAnsi="Arial"/>
                <w:sz w:val="16"/>
                <w:szCs w:val="16"/>
                <w:b w:val="1"/>
                <w:bCs w:val="1"/>
                <w:color w:val="auto"/>
              </w:rPr>
              <w:t>Volume</w:t>
            </w:r>
          </w:p>
        </w:tc>
        <w:tc>
          <w:tcPr>
            <w:tcW w:w="440" w:type="dxa"/>
            <w:vAlign w:val="bottom"/>
          </w:tcPr>
          <w:p>
            <w:pPr>
              <w:spacing w:after="0"/>
              <w:rPr>
                <w:sz w:val="17"/>
                <w:szCs w:val="17"/>
                <w:color w:val="auto"/>
              </w:rPr>
            </w:pPr>
          </w:p>
        </w:tc>
        <w:tc>
          <w:tcPr>
            <w:tcW w:w="1260" w:type="dxa"/>
            <w:vAlign w:val="bottom"/>
          </w:tcPr>
          <w:p>
            <w:pPr>
              <w:jc w:val="right"/>
              <w:ind w:right="622"/>
              <w:spacing w:after="0"/>
              <w:rPr>
                <w:sz w:val="20"/>
                <w:szCs w:val="20"/>
                <w:color w:val="auto"/>
              </w:rPr>
            </w:pPr>
            <w:r>
              <w:rPr>
                <w:rFonts w:ascii="Arial" w:cs="Arial" w:eastAsia="Arial" w:hAnsi="Arial"/>
                <w:sz w:val="16"/>
                <w:szCs w:val="16"/>
                <w:b w:val="1"/>
                <w:bCs w:val="1"/>
                <w:color w:val="auto"/>
              </w:rPr>
              <w:t>Rate</w:t>
            </w:r>
          </w:p>
        </w:tc>
        <w:tc>
          <w:tcPr>
            <w:tcW w:w="340" w:type="dxa"/>
            <w:vAlign w:val="bottom"/>
          </w:tcPr>
          <w:p>
            <w:pPr>
              <w:spacing w:after="0"/>
              <w:rPr>
                <w:sz w:val="17"/>
                <w:szCs w:val="17"/>
                <w:color w:val="auto"/>
              </w:rPr>
            </w:pPr>
          </w:p>
        </w:tc>
        <w:tc>
          <w:tcPr>
            <w:tcW w:w="1660" w:type="dxa"/>
            <w:vAlign w:val="bottom"/>
          </w:tcPr>
          <w:p>
            <w:pPr>
              <w:jc w:val="right"/>
              <w:ind w:right="862"/>
              <w:spacing w:after="0"/>
              <w:rPr>
                <w:sz w:val="20"/>
                <w:szCs w:val="20"/>
                <w:color w:val="auto"/>
              </w:rPr>
            </w:pPr>
            <w:r>
              <w:rPr>
                <w:rFonts w:ascii="Arial" w:cs="Arial" w:eastAsia="Arial" w:hAnsi="Arial"/>
                <w:sz w:val="16"/>
                <w:szCs w:val="16"/>
                <w:b w:val="1"/>
                <w:bCs w:val="1"/>
                <w:color w:val="auto"/>
              </w:rPr>
              <w:t>Volume</w:t>
            </w: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Total</w:t>
            </w:r>
          </w:p>
        </w:tc>
      </w:tr>
      <w:tr>
        <w:trPr>
          <w:trHeight w:val="195"/>
        </w:trPr>
        <w:tc>
          <w:tcPr>
            <w:tcW w:w="3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60" w:type="dxa"/>
            <w:vAlign w:val="bottom"/>
            <w:gridSpan w:val="3"/>
          </w:tcPr>
          <w:p>
            <w:pPr>
              <w:jc w:val="center"/>
              <w:ind w:right="822"/>
              <w:spacing w:after="0"/>
              <w:rPr>
                <w:sz w:val="20"/>
                <w:szCs w:val="20"/>
                <w:color w:val="auto"/>
              </w:rPr>
            </w:pPr>
            <w:r>
              <w:rPr>
                <w:rFonts w:ascii="Arial" w:cs="Arial" w:eastAsia="Arial" w:hAnsi="Arial"/>
                <w:sz w:val="14"/>
                <w:szCs w:val="14"/>
                <w:i w:val="1"/>
                <w:iCs w:val="1"/>
                <w:color w:val="auto"/>
              </w:rPr>
              <w:t>(Dollars in thousands)</w:t>
            </w:r>
          </w:p>
        </w:tc>
        <w:tc>
          <w:tcPr>
            <w:tcW w:w="1140" w:type="dxa"/>
            <w:vAlign w:val="bottom"/>
          </w:tcPr>
          <w:p>
            <w:pPr>
              <w:spacing w:after="0"/>
              <w:rPr>
                <w:sz w:val="16"/>
                <w:szCs w:val="16"/>
                <w:color w:val="auto"/>
              </w:rPr>
            </w:pPr>
          </w:p>
        </w:tc>
      </w:tr>
      <w:tr>
        <w:trPr>
          <w:trHeight w:val="21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6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03"/>
        </w:trPr>
        <w:tc>
          <w:tcPr>
            <w:tcW w:w="3820" w:type="dxa"/>
            <w:vAlign w:val="bottom"/>
          </w:tcPr>
          <w:p>
            <w:pPr>
              <w:ind w:left="180"/>
              <w:spacing w:after="0"/>
              <w:rPr>
                <w:sz w:val="20"/>
                <w:szCs w:val="20"/>
                <w:color w:val="auto"/>
              </w:rPr>
            </w:pPr>
            <w:r>
              <w:rPr>
                <w:rFonts w:ascii="Arial" w:cs="Arial" w:eastAsia="Arial" w:hAnsi="Arial"/>
                <w:sz w:val="16"/>
                <w:szCs w:val="16"/>
                <w:color w:val="auto"/>
              </w:rPr>
              <w:t>Available-for-sale securities:</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Taxable investment securities</w:t>
            </w:r>
          </w:p>
        </w:tc>
        <w:tc>
          <w:tcPr>
            <w:tcW w:w="6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(5,865 )</w:t>
            </w:r>
          </w:p>
        </w:tc>
        <w:tc>
          <w:tcPr>
            <w:tcW w:w="4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26,735</w:t>
            </w:r>
          </w:p>
        </w:tc>
        <w:tc>
          <w:tcPr>
            <w:tcW w:w="3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(11,767 )   $</w:t>
            </w: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9,103</w:t>
            </w:r>
          </w:p>
        </w:tc>
      </w:tr>
      <w:tr>
        <w:trPr>
          <w:trHeight w:val="203"/>
        </w:trPr>
        <w:tc>
          <w:tcPr>
            <w:tcW w:w="3820" w:type="dxa"/>
            <w:vAlign w:val="bottom"/>
          </w:tcPr>
          <w:p>
            <w:pPr>
              <w:ind w:left="340"/>
              <w:spacing w:after="0"/>
              <w:rPr>
                <w:sz w:val="20"/>
                <w:szCs w:val="20"/>
                <w:color w:val="auto"/>
              </w:rPr>
            </w:pPr>
            <w:r>
              <w:rPr>
                <w:rFonts w:ascii="Arial" w:cs="Arial" w:eastAsia="Arial" w:hAnsi="Arial"/>
                <w:sz w:val="16"/>
                <w:szCs w:val="16"/>
                <w:color w:val="auto"/>
              </w:rPr>
              <w:t>Tax-advantaged investment securities</w:t>
            </w: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(75 )</w:t>
            </w:r>
          </w:p>
        </w:tc>
        <w:tc>
          <w:tcPr>
            <w:tcW w:w="440" w:type="dxa"/>
            <w:vAlign w:val="bottom"/>
          </w:tcPr>
          <w:p>
            <w:pPr>
              <w:spacing w:after="0"/>
              <w:rPr>
                <w:sz w:val="17"/>
                <w:szCs w:val="17"/>
                <w:color w:val="auto"/>
              </w:rPr>
            </w:pP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17"/>
                <w:szCs w:val="17"/>
                <w:color w:val="auto"/>
              </w:rPr>
            </w:pPr>
          </w:p>
        </w:tc>
        <w:tc>
          <w:tcPr>
            <w:tcW w:w="1660" w:type="dxa"/>
            <w:vAlign w:val="bottom"/>
          </w:tcPr>
          <w:p>
            <w:pPr>
              <w:jc w:val="right"/>
              <w:ind w:right="482"/>
              <w:spacing w:after="0"/>
              <w:rPr>
                <w:sz w:val="20"/>
                <w:szCs w:val="20"/>
                <w:color w:val="auto"/>
              </w:rPr>
            </w:pPr>
            <w:r>
              <w:rPr>
                <w:rFonts w:ascii="Arial" w:cs="Arial" w:eastAsia="Arial" w:hAnsi="Arial"/>
                <w:sz w:val="16"/>
                <w:szCs w:val="16"/>
                <w:color w:val="auto"/>
              </w:rPr>
              <w:t>22</w:t>
            </w:r>
          </w:p>
        </w:tc>
        <w:tc>
          <w:tcPr>
            <w:tcW w:w="114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05"/>
        </w:trPr>
        <w:tc>
          <w:tcPr>
            <w:tcW w:w="3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Held-to-maturity securities:</w:t>
            </w:r>
          </w:p>
        </w:tc>
        <w:tc>
          <w:tcPr>
            <w:tcW w:w="6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3820" w:type="dxa"/>
            <w:vAlign w:val="bottom"/>
          </w:tcPr>
          <w:p>
            <w:pPr>
              <w:ind w:left="340"/>
              <w:spacing w:after="0"/>
              <w:rPr>
                <w:sz w:val="20"/>
                <w:szCs w:val="20"/>
                <w:color w:val="auto"/>
              </w:rPr>
            </w:pPr>
            <w:r>
              <w:rPr>
                <w:rFonts w:ascii="Arial" w:cs="Arial" w:eastAsia="Arial" w:hAnsi="Arial"/>
                <w:sz w:val="16"/>
                <w:szCs w:val="16"/>
                <w:color w:val="auto"/>
              </w:rPr>
              <w:t>Taxable investment securities</w:t>
            </w:r>
          </w:p>
        </w:tc>
        <w:tc>
          <w:tcPr>
            <w:tcW w:w="660" w:type="dxa"/>
            <w:vAlign w:val="bottom"/>
          </w:tcPr>
          <w:p>
            <w:pPr>
              <w:spacing w:after="0"/>
              <w:rPr>
                <w:sz w:val="17"/>
                <w:szCs w:val="17"/>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2,790</w:t>
            </w:r>
          </w:p>
        </w:tc>
        <w:tc>
          <w:tcPr>
            <w:tcW w:w="440" w:type="dxa"/>
            <w:vAlign w:val="bottom"/>
          </w:tcPr>
          <w:p>
            <w:pPr>
              <w:spacing w:after="0"/>
              <w:rPr>
                <w:sz w:val="17"/>
                <w:szCs w:val="17"/>
                <w:color w:val="auto"/>
              </w:rPr>
            </w:pP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4,331</w:t>
            </w:r>
          </w:p>
        </w:tc>
        <w:tc>
          <w:tcPr>
            <w:tcW w:w="340" w:type="dxa"/>
            <w:vAlign w:val="bottom"/>
          </w:tcPr>
          <w:p>
            <w:pPr>
              <w:spacing w:after="0"/>
              <w:rPr>
                <w:sz w:val="17"/>
                <w:szCs w:val="17"/>
                <w:color w:val="auto"/>
              </w:rPr>
            </w:pPr>
          </w:p>
        </w:tc>
        <w:tc>
          <w:tcPr>
            <w:tcW w:w="1660" w:type="dxa"/>
            <w:vAlign w:val="bottom"/>
          </w:tcPr>
          <w:p>
            <w:pPr>
              <w:jc w:val="right"/>
              <w:ind w:right="402"/>
              <w:spacing w:after="0"/>
              <w:rPr>
                <w:sz w:val="20"/>
                <w:szCs w:val="20"/>
                <w:color w:val="auto"/>
              </w:rPr>
            </w:pPr>
            <w:r>
              <w:rPr>
                <w:rFonts w:ascii="Arial" w:cs="Arial" w:eastAsia="Arial" w:hAnsi="Arial"/>
                <w:sz w:val="16"/>
                <w:szCs w:val="16"/>
                <w:color w:val="auto"/>
              </w:rPr>
              <w:t>(3,403 )</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3,718</w:t>
            </w:r>
          </w:p>
        </w:tc>
      </w:tr>
      <w:tr>
        <w:trPr>
          <w:trHeight w:val="205"/>
        </w:trPr>
        <w:tc>
          <w:tcPr>
            <w:tcW w:w="3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Tax-advantaged investment securities</w:t>
            </w:r>
          </w:p>
        </w:tc>
        <w:tc>
          <w:tcPr>
            <w:tcW w:w="6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2,528</w:t>
            </w:r>
          </w:p>
        </w:tc>
        <w:tc>
          <w:tcPr>
            <w:tcW w:w="4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487</w:t>
            </w:r>
          </w:p>
        </w:tc>
        <w:tc>
          <w:tcPr>
            <w:tcW w:w="3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rPr>
              <w:t>(1,414 )</w:t>
            </w: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1,601</w:t>
            </w:r>
          </w:p>
        </w:tc>
      </w:tr>
      <w:tr>
        <w:trPr>
          <w:trHeight w:val="203"/>
        </w:trPr>
        <w:tc>
          <w:tcPr>
            <w:tcW w:w="3820" w:type="dxa"/>
            <w:vAlign w:val="bottom"/>
          </w:tcPr>
          <w:p>
            <w:pPr>
              <w:ind w:left="180"/>
              <w:spacing w:after="0"/>
              <w:rPr>
                <w:sz w:val="20"/>
                <w:szCs w:val="20"/>
                <w:color w:val="auto"/>
              </w:rPr>
            </w:pPr>
            <w:r>
              <w:rPr>
                <w:rFonts w:ascii="Arial" w:cs="Arial" w:eastAsia="Arial" w:hAnsi="Arial"/>
                <w:sz w:val="16"/>
                <w:szCs w:val="16"/>
                <w:color w:val="auto"/>
              </w:rPr>
              <w:t>Investment in FHLB stock</w:t>
            </w:r>
          </w:p>
        </w:tc>
        <w:tc>
          <w:tcPr>
            <w:tcW w:w="660" w:type="dxa"/>
            <w:vAlign w:val="bottom"/>
          </w:tcPr>
          <w:p>
            <w:pPr>
              <w:spacing w:after="0"/>
              <w:rPr>
                <w:sz w:val="17"/>
                <w:szCs w:val="17"/>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843</w:t>
            </w:r>
          </w:p>
        </w:tc>
        <w:tc>
          <w:tcPr>
            <w:tcW w:w="44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(281 )</w:t>
            </w:r>
          </w:p>
        </w:tc>
        <w:tc>
          <w:tcPr>
            <w:tcW w:w="340" w:type="dxa"/>
            <w:vAlign w:val="bottom"/>
          </w:tcPr>
          <w:p>
            <w:pPr>
              <w:spacing w:after="0"/>
              <w:rPr>
                <w:sz w:val="17"/>
                <w:szCs w:val="17"/>
                <w:color w:val="auto"/>
              </w:rPr>
            </w:pPr>
          </w:p>
        </w:tc>
        <w:tc>
          <w:tcPr>
            <w:tcW w:w="1660" w:type="dxa"/>
            <w:vAlign w:val="bottom"/>
          </w:tcPr>
          <w:p>
            <w:pPr>
              <w:jc w:val="right"/>
              <w:ind w:right="402"/>
              <w:spacing w:after="0"/>
              <w:rPr>
                <w:sz w:val="20"/>
                <w:szCs w:val="20"/>
                <w:color w:val="auto"/>
              </w:rPr>
            </w:pPr>
            <w:r>
              <w:rPr>
                <w:rFonts w:ascii="Arial" w:cs="Arial" w:eastAsia="Arial" w:hAnsi="Arial"/>
                <w:sz w:val="16"/>
                <w:szCs w:val="16"/>
                <w:color w:val="auto"/>
              </w:rPr>
              <w:t>(374 )</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188</w:t>
            </w:r>
          </w:p>
        </w:tc>
      </w:tr>
      <w:tr>
        <w:trPr>
          <w:trHeight w:val="205"/>
        </w:trPr>
        <w:tc>
          <w:tcPr>
            <w:tcW w:w="3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deposits with other institutions</w:t>
            </w:r>
          </w:p>
        </w:tc>
        <w:tc>
          <w:tcPr>
            <w:tcW w:w="6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(3,772 )</w:t>
            </w:r>
          </w:p>
        </w:tc>
        <w:tc>
          <w:tcPr>
            <w:tcW w:w="4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59,135</w:t>
            </w:r>
          </w:p>
        </w:tc>
        <w:tc>
          <w:tcPr>
            <w:tcW w:w="3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rPr>
              <w:t>(52,438 )</w:t>
            </w: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2,925</w:t>
            </w:r>
          </w:p>
        </w:tc>
      </w:tr>
      <w:tr>
        <w:trPr>
          <w:trHeight w:val="203"/>
        </w:trPr>
        <w:tc>
          <w:tcPr>
            <w:tcW w:w="3820" w:type="dxa"/>
            <w:vAlign w:val="bottom"/>
          </w:tcPr>
          <w:p>
            <w:pPr>
              <w:ind w:left="180"/>
              <w:spacing w:after="0"/>
              <w:rPr>
                <w:sz w:val="20"/>
                <w:szCs w:val="20"/>
                <w:color w:val="auto"/>
              </w:rPr>
            </w:pPr>
            <w:r>
              <w:rPr>
                <w:rFonts w:ascii="Arial" w:cs="Arial" w:eastAsia="Arial" w:hAnsi="Arial"/>
                <w:sz w:val="16"/>
                <w:szCs w:val="16"/>
                <w:color w:val="auto"/>
              </w:rPr>
              <w:t>Loans</w:t>
            </w:r>
          </w:p>
        </w:tc>
        <w:tc>
          <w:tcPr>
            <w:tcW w:w="660" w:type="dxa"/>
            <w:vAlign w:val="bottom"/>
          </w:tcPr>
          <w:p>
            <w:pPr>
              <w:spacing w:after="0"/>
              <w:rPr>
                <w:sz w:val="17"/>
                <w:szCs w:val="17"/>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15,429</w:t>
            </w:r>
          </w:p>
        </w:tc>
        <w:tc>
          <w:tcPr>
            <w:tcW w:w="440" w:type="dxa"/>
            <w:vAlign w:val="bottom"/>
          </w:tcPr>
          <w:p>
            <w:pPr>
              <w:spacing w:after="0"/>
              <w:rPr>
                <w:sz w:val="17"/>
                <w:szCs w:val="17"/>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57,090</w:t>
            </w:r>
          </w:p>
        </w:tc>
        <w:tc>
          <w:tcPr>
            <w:tcW w:w="340" w:type="dxa"/>
            <w:vAlign w:val="bottom"/>
          </w:tcPr>
          <w:p>
            <w:pPr>
              <w:spacing w:after="0"/>
              <w:rPr>
                <w:sz w:val="17"/>
                <w:szCs w:val="17"/>
                <w:color w:val="auto"/>
              </w:rPr>
            </w:pPr>
          </w:p>
        </w:tc>
        <w:tc>
          <w:tcPr>
            <w:tcW w:w="1660" w:type="dxa"/>
            <w:vAlign w:val="bottom"/>
          </w:tcPr>
          <w:p>
            <w:pPr>
              <w:jc w:val="right"/>
              <w:ind w:right="402"/>
              <w:spacing w:after="0"/>
              <w:rPr>
                <w:sz w:val="20"/>
                <w:szCs w:val="20"/>
                <w:color w:val="auto"/>
              </w:rPr>
            </w:pPr>
            <w:r>
              <w:rPr>
                <w:rFonts w:ascii="Arial" w:cs="Arial" w:eastAsia="Arial" w:hAnsi="Arial"/>
                <w:sz w:val="16"/>
                <w:szCs w:val="16"/>
                <w:color w:val="auto"/>
              </w:rPr>
              <w:t>(35,366 )</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37,153</w:t>
            </w:r>
          </w:p>
        </w:tc>
      </w:tr>
      <w:tr>
        <w:trPr>
          <w:trHeight w:val="205"/>
        </w:trPr>
        <w:tc>
          <w:tcPr>
            <w:tcW w:w="3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interest income</w:t>
            </w:r>
          </w:p>
        </w:tc>
        <w:tc>
          <w:tcPr>
            <w:tcW w:w="6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11,878</w:t>
            </w:r>
          </w:p>
        </w:tc>
        <w:tc>
          <w:tcPr>
            <w:tcW w:w="4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147,525</w:t>
            </w:r>
          </w:p>
        </w:tc>
        <w:tc>
          <w:tcPr>
            <w:tcW w:w="3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rPr>
              <w:t>(104,740 )</w:t>
            </w: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54,663</w:t>
            </w:r>
          </w:p>
        </w:tc>
      </w:tr>
    </w:tbl>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w:t>
      </w:r>
    </w:p>
    <w:p>
      <w:pPr>
        <w:sectPr>
          <w:pgSz w:w="11900" w:h="16840" w:orient="portrait"/>
          <w:cols w:equalWidth="0" w:num="1">
            <w:col w:w="10560"/>
          </w:cols>
          <w:pgMar w:left="660" w:top="818" w:right="680" w:bottom="1440" w:gutter="0" w:footer="0" w:header="0"/>
        </w:sectPr>
      </w:pP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Savings deposits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Time deposits</w:t>
      </w:r>
    </w:p>
    <w:p>
      <w:pPr>
        <w:spacing w:after="0" w:line="20" w:lineRule="exact"/>
        <w:rPr>
          <w:sz w:val="20"/>
          <w:szCs w:val="20"/>
          <w:color w:val="auto"/>
        </w:rPr>
      </w:pPr>
    </w:p>
    <w:p>
      <w:pPr>
        <w:ind w:left="300" w:right="1680" w:hanging="129"/>
        <w:spacing w:after="0" w:line="286" w:lineRule="auto"/>
        <w:rPr>
          <w:sz w:val="20"/>
          <w:szCs w:val="20"/>
          <w:color w:val="auto"/>
        </w:rPr>
      </w:pPr>
      <w:r>
        <w:rPr>
          <w:rFonts w:ascii="Arial" w:cs="Arial" w:eastAsia="Arial" w:hAnsi="Arial"/>
          <w:sz w:val="14"/>
          <w:szCs w:val="14"/>
          <w:color w:val="auto"/>
        </w:rPr>
        <w:t>FHLB advances, other borrowings, and customer repurchase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920" w:type="dxa"/>
            <w:vAlign w:val="bottom"/>
          </w:tcPr>
          <w:p>
            <w:pPr>
              <w:jc w:val="right"/>
              <w:ind w:right="462"/>
              <w:spacing w:after="0"/>
              <w:rPr>
                <w:sz w:val="20"/>
                <w:szCs w:val="20"/>
                <w:color w:val="auto"/>
              </w:rPr>
            </w:pPr>
            <w:r>
              <w:rPr>
                <w:rFonts w:ascii="Arial" w:cs="Arial" w:eastAsia="Arial" w:hAnsi="Arial"/>
                <w:sz w:val="16"/>
                <w:szCs w:val="16"/>
                <w:color w:val="auto"/>
                <w:w w:val="86"/>
              </w:rPr>
              <w:t>(641 )</w:t>
            </w:r>
          </w:p>
        </w:tc>
        <w:tc>
          <w:tcPr>
            <w:tcW w:w="1580" w:type="dxa"/>
            <w:vAlign w:val="bottom"/>
          </w:tcPr>
          <w:p>
            <w:pPr>
              <w:jc w:val="right"/>
              <w:ind w:right="482"/>
              <w:spacing w:after="0"/>
              <w:rPr>
                <w:sz w:val="20"/>
                <w:szCs w:val="20"/>
                <w:color w:val="auto"/>
              </w:rPr>
            </w:pPr>
            <w:r>
              <w:rPr>
                <w:rFonts w:ascii="Arial" w:cs="Arial" w:eastAsia="Arial" w:hAnsi="Arial"/>
                <w:sz w:val="16"/>
                <w:szCs w:val="16"/>
                <w:color w:val="auto"/>
              </w:rPr>
              <w:t>32,384</w:t>
            </w:r>
          </w:p>
        </w:tc>
        <w:tc>
          <w:tcPr>
            <w:tcW w:w="1680" w:type="dxa"/>
            <w:vAlign w:val="bottom"/>
          </w:tcPr>
          <w:p>
            <w:pPr>
              <w:jc w:val="right"/>
              <w:ind w:right="442"/>
              <w:spacing w:after="0"/>
              <w:rPr>
                <w:sz w:val="20"/>
                <w:szCs w:val="20"/>
                <w:color w:val="auto"/>
              </w:rPr>
            </w:pPr>
            <w:r>
              <w:rPr>
                <w:rFonts w:ascii="Arial" w:cs="Arial" w:eastAsia="Arial" w:hAnsi="Arial"/>
                <w:sz w:val="16"/>
                <w:szCs w:val="16"/>
                <w:color w:val="auto"/>
              </w:rPr>
              <w:t>(18,334 )</w:t>
            </w:r>
          </w:p>
        </w:tc>
        <w:tc>
          <w:tcPr>
            <w:tcW w:w="1000" w:type="dxa"/>
            <w:vAlign w:val="bottom"/>
          </w:tcPr>
          <w:p>
            <w:pPr>
              <w:jc w:val="right"/>
              <w:spacing w:after="0"/>
              <w:rPr>
                <w:sz w:val="20"/>
                <w:szCs w:val="20"/>
                <w:color w:val="auto"/>
              </w:rPr>
            </w:pPr>
            <w:r>
              <w:rPr>
                <w:rFonts w:ascii="Arial" w:cs="Arial" w:eastAsia="Arial" w:hAnsi="Arial"/>
                <w:sz w:val="16"/>
                <w:szCs w:val="16"/>
                <w:color w:val="auto"/>
              </w:rPr>
              <w:t>13,409</w:t>
            </w:r>
          </w:p>
        </w:tc>
      </w:tr>
      <w:tr>
        <w:trPr>
          <w:trHeight w:val="204"/>
        </w:trPr>
        <w:tc>
          <w:tcPr>
            <w:tcW w:w="920" w:type="dxa"/>
            <w:vAlign w:val="bottom"/>
          </w:tcPr>
          <w:p>
            <w:pPr>
              <w:jc w:val="right"/>
              <w:ind w:right="462"/>
              <w:spacing w:after="0"/>
              <w:rPr>
                <w:sz w:val="20"/>
                <w:szCs w:val="20"/>
                <w:color w:val="auto"/>
              </w:rPr>
            </w:pPr>
            <w:r>
              <w:rPr>
                <w:rFonts w:ascii="Arial" w:cs="Arial" w:eastAsia="Arial" w:hAnsi="Arial"/>
                <w:sz w:val="16"/>
                <w:szCs w:val="16"/>
                <w:color w:val="auto"/>
              </w:rPr>
              <w:t>(61 )</w:t>
            </w:r>
          </w:p>
        </w:tc>
        <w:tc>
          <w:tcPr>
            <w:tcW w:w="1580" w:type="dxa"/>
            <w:vAlign w:val="bottom"/>
          </w:tcPr>
          <w:p>
            <w:pPr>
              <w:jc w:val="right"/>
              <w:ind w:right="462"/>
              <w:spacing w:after="0"/>
              <w:rPr>
                <w:sz w:val="20"/>
                <w:szCs w:val="20"/>
                <w:color w:val="auto"/>
              </w:rPr>
            </w:pPr>
            <w:r>
              <w:rPr>
                <w:rFonts w:ascii="Arial" w:cs="Arial" w:eastAsia="Arial" w:hAnsi="Arial"/>
                <w:sz w:val="16"/>
                <w:szCs w:val="16"/>
                <w:color w:val="auto"/>
              </w:rPr>
              <w:t>1,093</w:t>
            </w:r>
          </w:p>
        </w:tc>
        <w:tc>
          <w:tcPr>
            <w:tcW w:w="1680" w:type="dxa"/>
            <w:vAlign w:val="bottom"/>
          </w:tcPr>
          <w:p>
            <w:pPr>
              <w:jc w:val="right"/>
              <w:ind w:right="442"/>
              <w:spacing w:after="0"/>
              <w:rPr>
                <w:sz w:val="20"/>
                <w:szCs w:val="20"/>
                <w:color w:val="auto"/>
              </w:rPr>
            </w:pPr>
            <w:r>
              <w:rPr>
                <w:rFonts w:ascii="Arial" w:cs="Arial" w:eastAsia="Arial" w:hAnsi="Arial"/>
                <w:sz w:val="16"/>
                <w:szCs w:val="16"/>
                <w:color w:val="auto"/>
              </w:rPr>
              <w:t>(639 )</w:t>
            </w:r>
          </w:p>
        </w:tc>
        <w:tc>
          <w:tcPr>
            <w:tcW w:w="100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88"/>
        </w:trPr>
        <w:tc>
          <w:tcPr>
            <w:tcW w:w="920" w:type="dxa"/>
            <w:vAlign w:val="bottom"/>
          </w:tcPr>
          <w:p>
            <w:pPr>
              <w:jc w:val="right"/>
              <w:ind w:right="542"/>
              <w:spacing w:after="0"/>
              <w:rPr>
                <w:sz w:val="20"/>
                <w:szCs w:val="20"/>
                <w:color w:val="auto"/>
              </w:rPr>
            </w:pPr>
            <w:r>
              <w:rPr>
                <w:rFonts w:ascii="Arial" w:cs="Arial" w:eastAsia="Arial" w:hAnsi="Arial"/>
                <w:sz w:val="16"/>
                <w:szCs w:val="16"/>
                <w:color w:val="auto"/>
              </w:rPr>
              <w:t>929</w:t>
            </w:r>
          </w:p>
        </w:tc>
        <w:tc>
          <w:tcPr>
            <w:tcW w:w="1580" w:type="dxa"/>
            <w:vAlign w:val="bottom"/>
          </w:tcPr>
          <w:p>
            <w:pPr>
              <w:jc w:val="right"/>
              <w:ind w:right="482"/>
              <w:spacing w:after="0"/>
              <w:rPr>
                <w:sz w:val="20"/>
                <w:szCs w:val="20"/>
                <w:color w:val="auto"/>
              </w:rPr>
            </w:pPr>
            <w:r>
              <w:rPr>
                <w:rFonts w:ascii="Arial" w:cs="Arial" w:eastAsia="Arial" w:hAnsi="Arial"/>
                <w:sz w:val="16"/>
                <w:szCs w:val="16"/>
                <w:color w:val="auto"/>
              </w:rPr>
              <w:t>21,447</w:t>
            </w:r>
          </w:p>
        </w:tc>
        <w:tc>
          <w:tcPr>
            <w:tcW w:w="1680" w:type="dxa"/>
            <w:vAlign w:val="bottom"/>
          </w:tcPr>
          <w:p>
            <w:pPr>
              <w:jc w:val="right"/>
              <w:ind w:right="522"/>
              <w:spacing w:after="0"/>
              <w:rPr>
                <w:sz w:val="20"/>
                <w:szCs w:val="20"/>
                <w:color w:val="auto"/>
              </w:rPr>
            </w:pPr>
            <w:r>
              <w:rPr>
                <w:rFonts w:ascii="Arial" w:cs="Arial" w:eastAsia="Arial" w:hAnsi="Arial"/>
                <w:sz w:val="16"/>
                <w:szCs w:val="16"/>
                <w:color w:val="auto"/>
              </w:rPr>
              <w:t>8,002</w:t>
            </w:r>
          </w:p>
        </w:tc>
        <w:tc>
          <w:tcPr>
            <w:tcW w:w="1000" w:type="dxa"/>
            <w:vAlign w:val="bottom"/>
          </w:tcPr>
          <w:p>
            <w:pPr>
              <w:jc w:val="right"/>
              <w:spacing w:after="0"/>
              <w:rPr>
                <w:sz w:val="20"/>
                <w:szCs w:val="20"/>
                <w:color w:val="auto"/>
              </w:rPr>
            </w:pPr>
            <w:r>
              <w:rPr>
                <w:rFonts w:ascii="Arial" w:cs="Arial" w:eastAsia="Arial" w:hAnsi="Arial"/>
                <w:sz w:val="16"/>
                <w:szCs w:val="16"/>
                <w:color w:val="auto"/>
              </w:rPr>
              <w:t>30,378</w:t>
            </w:r>
          </w:p>
        </w:tc>
      </w:tr>
    </w:tbl>
    <w:p>
      <w:pPr>
        <w:spacing w:after="0" w:line="103" w:lineRule="exact"/>
        <w:rPr>
          <w:sz w:val="20"/>
          <w:szCs w:val="20"/>
          <w:color w:val="auto"/>
        </w:rPr>
      </w:pPr>
    </w:p>
    <w:p>
      <w:pPr>
        <w:sectPr>
          <w:pgSz w:w="11900" w:h="16840" w:orient="portrait"/>
          <w:cols w:equalWidth="0" w:num="2">
            <w:col w:w="4560" w:space="720"/>
            <w:col w:w="5280"/>
          </w:cols>
          <w:pgMar w:left="660" w:top="818" w:right="680"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4240" w:type="dxa"/>
            <w:vAlign w:val="bottom"/>
          </w:tcPr>
          <w:p>
            <w:pPr>
              <w:ind w:left="340"/>
              <w:spacing w:after="0"/>
              <w:rPr>
                <w:sz w:val="20"/>
                <w:szCs w:val="20"/>
                <w:color w:val="auto"/>
              </w:rPr>
            </w:pPr>
            <w:r>
              <w:rPr>
                <w:rFonts w:ascii="Arial" w:cs="Arial" w:eastAsia="Arial" w:hAnsi="Arial"/>
                <w:sz w:val="16"/>
                <w:szCs w:val="16"/>
                <w:color w:val="auto"/>
              </w:rPr>
              <w:t>Total interest expense</w:t>
            </w: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54,924</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(10,971 )</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44,180</w:t>
            </w:r>
          </w:p>
        </w:tc>
        <w:tc>
          <w:tcPr>
            <w:tcW w:w="80" w:type="dxa"/>
            <w:vAlign w:val="bottom"/>
          </w:tcPr>
          <w:p>
            <w:pPr>
              <w:spacing w:after="0"/>
              <w:rPr>
                <w:sz w:val="17"/>
                <w:szCs w:val="17"/>
                <w:color w:val="auto"/>
              </w:rPr>
            </w:pPr>
          </w:p>
        </w:tc>
      </w:tr>
      <w:tr>
        <w:trPr>
          <w:trHeight w:val="225"/>
        </w:trPr>
        <w:tc>
          <w:tcPr>
            <w:tcW w:w="4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interest income</w:t>
            </w:r>
          </w:p>
        </w:tc>
        <w:tc>
          <w:tcPr>
            <w:tcW w:w="48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11,651</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92,601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82"/>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(93,769 )</w:t>
            </w:r>
          </w:p>
        </w:tc>
        <w:tc>
          <w:tcPr>
            <w:tcW w:w="62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10,483</w:t>
            </w:r>
          </w:p>
        </w:tc>
        <w:tc>
          <w:tcPr>
            <w:tcW w:w="80" w:type="dxa"/>
            <w:vAlign w:val="bottom"/>
            <w:shd w:val="clear" w:color="auto" w:fill="CFF0FC"/>
          </w:tcPr>
          <w:p>
            <w:pPr>
              <w:spacing w:after="0"/>
              <w:rPr>
                <w:sz w:val="19"/>
                <w:szCs w:val="19"/>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Second Quarter of 2023 Compared to the Second Quarter of 2022</w:t>
      </w:r>
    </w:p>
    <w:p>
      <w:pPr>
        <w:spacing w:after="0" w:line="158" w:lineRule="exact"/>
        <w:rPr>
          <w:sz w:val="20"/>
          <w:szCs w:val="20"/>
          <w:color w:val="auto"/>
        </w:rPr>
      </w:pPr>
    </w:p>
    <w:p>
      <w:pPr>
        <w:ind w:right="40" w:firstLine="432"/>
        <w:spacing w:after="0" w:line="243" w:lineRule="auto"/>
        <w:rPr>
          <w:sz w:val="20"/>
          <w:szCs w:val="20"/>
          <w:color w:val="auto"/>
        </w:rPr>
      </w:pPr>
      <w:r>
        <w:rPr>
          <w:rFonts w:ascii="Arial" w:cs="Arial" w:eastAsia="Arial" w:hAnsi="Arial"/>
          <w:sz w:val="16"/>
          <w:szCs w:val="16"/>
          <w:color w:val="auto"/>
        </w:rPr>
        <w:t>Net interest income, before provision for credit losses, of $119.5 million for the second quarter of 2023 decreased by $ 2.4 million, or 1.97%, from the second quarter of 2022. The decline in net interest income compared to the second quarter of 2022 was primarily due to a $593.1 million decrease in average earning assets, that was partially offset by a six basis point increase in the net interest margin.</w:t>
      </w:r>
    </w:p>
    <w:p>
      <w:pPr>
        <w:spacing w:after="0" w:line="161" w:lineRule="exact"/>
        <w:rPr>
          <w:sz w:val="20"/>
          <w:szCs w:val="20"/>
          <w:color w:val="auto"/>
        </w:rPr>
      </w:pPr>
    </w:p>
    <w:p>
      <w:pPr>
        <w:ind w:firstLine="432"/>
        <w:spacing w:after="0" w:line="238" w:lineRule="auto"/>
        <w:rPr>
          <w:sz w:val="20"/>
          <w:szCs w:val="20"/>
          <w:color w:val="auto"/>
        </w:rPr>
      </w:pPr>
      <w:r>
        <w:rPr>
          <w:rFonts w:ascii="Arial" w:cs="Arial" w:eastAsia="Arial" w:hAnsi="Arial"/>
          <w:sz w:val="16"/>
          <w:szCs w:val="16"/>
          <w:color w:val="auto"/>
        </w:rPr>
        <w:t>Total interest income was $149.2 million for the second quarter of 2023, which was $26.0 million, or 21.07%, higher than the same period of 2022. This increase was primarily due to an 81 basis point expansion of the yield on earning assets, which offset a $ 593.1 million decline in average interest-earning assets. Total interest income and fees on loans for the second quarter of 2023 was $111.0 million, an increase of $18.2 million, or 19.64%, from the second quarter of 2022. Loan yields grew from 4.31% for the second quarter of 2022 to 5.01% for the second quarter of 2023, while average loans also grew by $257.8 million. Interest income from investment securities was $33.1 million, an increase of $4.3 million, or 15.09%, from the second quarter of 2022. The increase was a result of a 44 basis point increase in security yields, offset by investment securities declining on average by $414.4 million. Average funds on deposit at the Federal Reserve also declined by $450.1 million.</w:t>
      </w:r>
    </w:p>
    <w:p>
      <w:pPr>
        <w:spacing w:after="0" w:line="163" w:lineRule="exact"/>
        <w:rPr>
          <w:sz w:val="20"/>
          <w:szCs w:val="20"/>
          <w:color w:val="auto"/>
        </w:rPr>
      </w:pPr>
    </w:p>
    <w:p>
      <w:pPr>
        <w:ind w:right="20" w:firstLine="432"/>
        <w:spacing w:after="0"/>
        <w:rPr>
          <w:sz w:val="20"/>
          <w:szCs w:val="20"/>
          <w:color w:val="auto"/>
        </w:rPr>
      </w:pPr>
      <w:r>
        <w:rPr>
          <w:rFonts w:ascii="Arial" w:cs="Arial" w:eastAsia="Arial" w:hAnsi="Arial"/>
          <w:sz w:val="16"/>
          <w:szCs w:val="16"/>
          <w:color w:val="auto"/>
        </w:rPr>
        <w:t xml:space="preserve">In June 2023, fair value hedging transactions were executed in which $1.0 billion notional pay -fixed interest rate swaps were consummated with maturities ranging from four to five years in which the Company pays a weighted average fixed rate of approximately 3.8% and receives daily SOFR. The second quarter of 2023 included approximately $450,000 of interest income associated with these interest rate swaps. Refer to Note 10 –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of the notes to the unaudited condensed consolidated financial statements of this report for additional information.</w:t>
      </w:r>
    </w:p>
    <w:p>
      <w:pPr>
        <w:spacing w:after="0" w:line="164" w:lineRule="exact"/>
        <w:rPr>
          <w:sz w:val="20"/>
          <w:szCs w:val="20"/>
          <w:color w:val="auto"/>
        </w:rPr>
      </w:pPr>
    </w:p>
    <w:p>
      <w:pPr>
        <w:ind w:right="20" w:firstLine="432"/>
        <w:spacing w:after="0" w:line="239" w:lineRule="auto"/>
        <w:rPr>
          <w:sz w:val="20"/>
          <w:szCs w:val="20"/>
          <w:color w:val="auto"/>
        </w:rPr>
      </w:pPr>
      <w:r>
        <w:rPr>
          <w:rFonts w:ascii="Arial" w:cs="Arial" w:eastAsia="Arial" w:hAnsi="Arial"/>
          <w:sz w:val="16"/>
          <w:szCs w:val="16"/>
          <w:color w:val="auto"/>
        </w:rPr>
        <w:t>Interest expense of $29.7 million for the second quarter of 2023 increased $28.4 million, compared to the second quarter of 2022. Total cost of funds of 0.83% for the second quarter of 2023 increased from 0.04% for the year ago quarter. This 79 basis point increase in cost of funds was the result of an 87 basis point increase in the cost of interest-bearing deposits and an average cost of 4.90% on $1.53 billion of short -term borrowings for the second quarter of 2023. On average, noninterest-bearing deposits were 63.58% of total deposits for the second quarter of 2023, compared to 62.96% for the second quarter of 2022.</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40" w:orient="portrait"/>
          <w:cols w:equalWidth="0" w:num="1">
            <w:col w:w="10560"/>
          </w:cols>
          <w:pgMar w:left="660" w:top="818" w:right="680" w:bottom="1440" w:gutter="0" w:footer="0" w:header="0"/>
          <w:type w:val="continuous"/>
        </w:sectPr>
      </w:pPr>
    </w:p>
    <w:bookmarkStart w:id="49" w:name="page50"/>
    <w:bookmarkEnd w:id="49"/>
    <w:p>
      <w:pPr>
        <w:ind w:left="440"/>
        <w:spacing w:after="0"/>
        <w:rPr>
          <w:sz w:val="20"/>
          <w:szCs w:val="20"/>
          <w:color w:val="auto"/>
        </w:rPr>
      </w:pPr>
      <w:r>
        <w:rPr>
          <w:rFonts w:ascii="Arial" w:cs="Arial" w:eastAsia="Arial" w:hAnsi="Arial"/>
          <w:sz w:val="16"/>
          <w:szCs w:val="16"/>
          <w:i w:val="1"/>
          <w:iCs w:val="1"/>
          <w:color w:val="auto"/>
        </w:rPr>
        <w:t>Six Months of 2023 Compared to Six Months of 2022</w:t>
      </w:r>
    </w:p>
    <w:p>
      <w:pPr>
        <w:spacing w:after="0" w:line="182" w:lineRule="exact"/>
        <w:rPr>
          <w:sz w:val="20"/>
          <w:szCs w:val="20"/>
          <w:color w:val="auto"/>
        </w:rPr>
      </w:pPr>
    </w:p>
    <w:p>
      <w:pPr>
        <w:ind w:right="140" w:firstLine="432"/>
        <w:spacing w:after="0"/>
        <w:rPr>
          <w:sz w:val="20"/>
          <w:szCs w:val="20"/>
          <w:color w:val="auto"/>
        </w:rPr>
      </w:pPr>
      <w:r>
        <w:rPr>
          <w:rFonts w:ascii="Arial" w:cs="Arial" w:eastAsia="Arial" w:hAnsi="Arial"/>
          <w:sz w:val="16"/>
          <w:szCs w:val="16"/>
          <w:color w:val="auto"/>
        </w:rPr>
        <w:t>Net interest income, before provision for credit losses, was $245.3 million for the six months ended June 30, 2023, an increase of $10.5 million, or 4.47%, compared to $234.8 million for the same period of 2022. Interest-earning assets decreased on average by $874.7 million, or 5.55%, from $ 15.76 billion for the six months ended June 30, 2022 to $14.89 billion for the same period in the current year. Our net interest margin (TE) was 3.33% for the first six months of 2023, compared to 3.03% for the same period of 2022.</w:t>
      </w:r>
    </w:p>
    <w:p>
      <w:pPr>
        <w:spacing w:after="0" w:line="16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4"/>
          <w:szCs w:val="14"/>
          <w:color w:val="auto"/>
        </w:rPr>
        <w:t>Interest income for the six months ended June 30, 2023, was $292.0 million, which was $54.7 million, or 23.03%, higher than the same period of 2022. Compared to the first six months of 2022, average interest-earning assets decreased by $874.7 million, while the yield on interest-earning assets increased by 90 basis points. The $874.7 million year- over-year decrease in earning assets resulted from a $1.0 billion decrease in average earning balances due from the Federal Reserve and a decline of $215.2 million in average investment securities, offset by $359.8 million of growth in average loans. The 90 basis point increase in the earning asset yield over the first six months of 2022 resulted from a 66 basis point increase in loan yields, from 4.29% for the first six months of 2022 to 4.95% for the same period of 2023, as well as a change in the mix of earning assets. Average loans as a percentage of earning assets grew from 54.36% for the first six months of 2022 to 59.97% for the first six months of 2023. The non tax-equivalent yield on investment securities was 2.33% for the six months ended June 30, 2023, compared to 1.79% for the same period of 2022.</w:t>
      </w:r>
    </w:p>
    <w:p>
      <w:pPr>
        <w:spacing w:after="0" w:line="139" w:lineRule="exact"/>
        <w:rPr>
          <w:sz w:val="20"/>
          <w:szCs w:val="20"/>
          <w:color w:val="auto"/>
        </w:rPr>
      </w:pPr>
    </w:p>
    <w:p>
      <w:pPr>
        <w:ind w:right="100" w:firstLine="432"/>
        <w:spacing w:after="0" w:line="238" w:lineRule="auto"/>
        <w:rPr>
          <w:sz w:val="20"/>
          <w:szCs w:val="20"/>
          <w:color w:val="auto"/>
        </w:rPr>
      </w:pPr>
      <w:r>
        <w:rPr>
          <w:rFonts w:ascii="Arial" w:cs="Arial" w:eastAsia="Arial" w:hAnsi="Arial"/>
          <w:sz w:val="16"/>
          <w:szCs w:val="16"/>
          <w:color w:val="auto"/>
        </w:rPr>
        <w:t>Total interest income and fees on loans for the six months ended June 30, 2023 was $219.4 million, an increase of $37.2 million, or 20.39%, when compared to the same period of 2022. This increase in income was partly due to growth in average loans of $359.8 million. Discount accretion on acquired loans decreased by $1.7 million and interest and fee income from PPP loans declined by $4.1 million compared to the same period of 2022. After excluding discount accretion and the impact from PPP loans, our core loan yields grew by 75 basis points compared to the first six months of 2022. Core loan yields grew year-over-year, as rising interest rates contributed to an increase in yields from 4.29% for the first six months of 2022 to 4.95% for the same period of 2023.</w:t>
      </w:r>
    </w:p>
    <w:p>
      <w:pPr>
        <w:spacing w:after="0" w:line="166" w:lineRule="exact"/>
        <w:rPr>
          <w:sz w:val="20"/>
          <w:szCs w:val="20"/>
          <w:color w:val="auto"/>
        </w:rPr>
      </w:pPr>
    </w:p>
    <w:p>
      <w:pPr>
        <w:ind w:right="200" w:firstLine="432"/>
        <w:spacing w:after="0" w:line="243" w:lineRule="auto"/>
        <w:rPr>
          <w:sz w:val="20"/>
          <w:szCs w:val="20"/>
          <w:color w:val="auto"/>
        </w:rPr>
      </w:pPr>
      <w:r>
        <w:rPr>
          <w:rFonts w:ascii="Arial" w:cs="Arial" w:eastAsia="Arial" w:hAnsi="Arial"/>
          <w:sz w:val="16"/>
          <w:szCs w:val="16"/>
          <w:color w:val="auto"/>
        </w:rPr>
        <w:t>Interest income from investment securities of $66.6 million for the six months ended June 30, 2023, increased $14.4 million from $52.3 million for the first six months of 2022. This increase was driven by a 55 basis point increase in the yield on securities, compared to the first six months of 2022. Average investment securities declined modestly from the first six months of 2022 by $215.2 million.</w:t>
      </w:r>
    </w:p>
    <w:p>
      <w:pPr>
        <w:spacing w:after="0" w:line="161"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Interest expense of $46.8 million for the six months ended June 30, 2023, increased by $44.2 million from the same period of 2022. The average rate paid on interest-bearing liabilities increased by 140 basis points, to 1.49% for the first six months of 2023, from 0.09% for the same period of 2022. Likewise, the rate on interest-bearing deposits for the first six months of 2023 increased by 62 basis points from the same period in 2022. Average interest -bearing deposits declined by $805.2 million when compared to the first six months of 2022. Total cost of funds for the first six months of 2023 was 0.66%, compared with 0.04% for the same period of 2022. This 62 basis point increase in cost of funds was the result of the increase in the cost of interest-bearing deposits and the addition of $1.25 billion of short- term borrowings, on average, for the six months ended June 30, 2023, at an average cost of 4.87%. Average noninterest-bearing deposits represented 63.62% of our total deposits for the six months ended June 30, 2023, compared to 62.22% for the same period of 2022.</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4" w:right="640"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Provision for (Recapture of) Credit Losses</w:t>
      </w:r>
    </w:p>
    <w:p>
      <w:pPr>
        <w:spacing w:after="0" w:line="184" w:lineRule="exact"/>
        <w:rPr>
          <w:sz w:val="20"/>
          <w:szCs w:val="20"/>
          <w:color w:val="auto"/>
        </w:rPr>
      </w:pPr>
    </w:p>
    <w:p>
      <w:pPr>
        <w:ind w:right="820" w:firstLine="432"/>
        <w:spacing w:after="0" w:line="252" w:lineRule="auto"/>
        <w:rPr>
          <w:sz w:val="20"/>
          <w:szCs w:val="20"/>
          <w:color w:val="auto"/>
        </w:rPr>
      </w:pPr>
      <w:r>
        <w:rPr>
          <w:rFonts w:ascii="Arial" w:cs="Arial" w:eastAsia="Arial" w:hAnsi="Arial"/>
          <w:sz w:val="16"/>
          <w:szCs w:val="16"/>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54" w:lineRule="exact"/>
        <w:rPr>
          <w:sz w:val="20"/>
          <w:szCs w:val="20"/>
          <w:color w:val="auto"/>
        </w:rPr>
      </w:pPr>
    </w:p>
    <w:p>
      <w:pPr>
        <w:ind w:right="160" w:firstLine="432"/>
        <w:spacing w:after="0" w:line="238" w:lineRule="auto"/>
        <w:rPr>
          <w:sz w:val="20"/>
          <w:szCs w:val="20"/>
          <w:color w:val="auto"/>
        </w:rPr>
      </w:pPr>
      <w:r>
        <w:rPr>
          <w:rFonts w:ascii="Arial" w:cs="Arial" w:eastAsia="Arial" w:hAnsi="Arial"/>
          <w:sz w:val="16"/>
          <w:szCs w:val="16"/>
          <w:color w:val="auto"/>
        </w:rPr>
        <w:t>The second quarter of 2023 included $500,000 in provision for credit losses, compared to $1.5 million in provision for credit losses in the first quarter of 2023 and $3.6 million in the second quarter of 2022. The year -to -date provision for credit losses of $2.0 million was the result of an overall increase in projected loss rates from 0.94% at the end of 2022 to 0.98% at June 30, 2023. The increase in projected loss rates continues to be driven primarily by a deteriorating economic forecast that assumes modest GDP growth through 2024, as well as lower commercial real estate values and an increase in the rate of unemployment. Refer to the discussion of “Allowance for Credit Losses” in Item 2 – Management’s Discussion and Analysis of Financial Condition and Results of Operations contained herein for discussion concerning observed changes in the credit quality of various components of our loan portfolio as well as changes and refinements to our methodology.</w:t>
      </w:r>
    </w:p>
    <w:p>
      <w:pPr>
        <w:spacing w:after="0" w:line="163" w:lineRule="exact"/>
        <w:rPr>
          <w:sz w:val="20"/>
          <w:szCs w:val="20"/>
          <w:color w:val="auto"/>
        </w:rPr>
      </w:pPr>
    </w:p>
    <w:p>
      <w:pPr>
        <w:ind w:right="180" w:firstLine="432"/>
        <w:spacing w:after="0" w:line="238" w:lineRule="auto"/>
        <w:rPr>
          <w:sz w:val="20"/>
          <w:szCs w:val="20"/>
          <w:color w:val="auto"/>
        </w:rPr>
      </w:pPr>
      <w:r>
        <w:rPr>
          <w:rFonts w:ascii="Arial" w:cs="Arial" w:eastAsia="Arial" w:hAnsi="Arial"/>
          <w:sz w:val="16"/>
          <w:szCs w:val="16"/>
          <w:color w:val="auto"/>
        </w:rPr>
        <w:t xml:space="preserve">For the six months ended June 30, 2023, we recorded $2.0 million in provision for credit losses, and experienced credit charge-offs of $ 198,000 and total recoveries of $48,000, resulting in net charge -offs of $ 150,000. For the six months ended June 30, 2022, we recorded $6.1 million in provision for credit losses, and experienced credit charge-offs of $24,000 and total recoveries of $522,000, resulting in net recoveries of $498,000. Refer to the discussion of “Allowance for Credit Losses” in Item 2 –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contained herein for discussion concerning observed changes in the credit quality of various components of our loan portfolio as well as changes and refinements to our methodology.</w:t>
      </w:r>
    </w:p>
    <w:p>
      <w:pPr>
        <w:spacing w:after="0" w:line="166" w:lineRule="exact"/>
        <w:rPr>
          <w:sz w:val="20"/>
          <w:szCs w:val="20"/>
          <w:color w:val="auto"/>
        </w:rPr>
      </w:pPr>
    </w:p>
    <w:p>
      <w:pPr>
        <w:ind w:right="160" w:firstLine="432"/>
        <w:spacing w:after="0" w:line="239" w:lineRule="auto"/>
        <w:rPr>
          <w:sz w:val="20"/>
          <w:szCs w:val="20"/>
          <w:color w:val="auto"/>
        </w:rPr>
      </w:pPr>
      <w:r>
        <w:rPr>
          <w:rFonts w:ascii="Arial" w:cs="Arial" w:eastAsia="Arial" w:hAnsi="Arial"/>
          <w:sz w:val="16"/>
          <w:szCs w:val="16"/>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that the pandemic, geopolitical events in Europe, and overall supply chain issues may have on our business and customers. See “Allowance for Credit Losses” under </w:t>
      </w:r>
      <w:r>
        <w:rPr>
          <w:rFonts w:ascii="Arial" w:cs="Arial" w:eastAsia="Arial" w:hAnsi="Arial"/>
          <w:sz w:val="16"/>
          <w:szCs w:val="16"/>
          <w:i w:val="1"/>
          <w:iCs w:val="1"/>
          <w:color w:val="auto"/>
        </w:rPr>
        <w:t>Analysis of Financial Condition</w:t>
      </w:r>
      <w:r>
        <w:rPr>
          <w:rFonts w:ascii="Arial" w:cs="Arial" w:eastAsia="Arial" w:hAnsi="Arial"/>
          <w:sz w:val="16"/>
          <w:szCs w:val="16"/>
          <w:color w:val="auto"/>
        </w:rPr>
        <w:t xml:space="preserve"> herein.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Noninterest Income</w:t>
      </w:r>
    </w:p>
    <w:p>
      <w:pPr>
        <w:spacing w:after="0" w:line="184" w:lineRule="exact"/>
        <w:rPr>
          <w:sz w:val="20"/>
          <w:szCs w:val="20"/>
          <w:color w:val="auto"/>
        </w:rPr>
      </w:pPr>
    </w:p>
    <w:p>
      <w:pPr>
        <w:ind w:right="220" w:firstLine="432"/>
        <w:spacing w:after="0"/>
        <w:rPr>
          <w:sz w:val="20"/>
          <w:szCs w:val="20"/>
          <w:color w:val="auto"/>
        </w:rPr>
      </w:pPr>
      <w:r>
        <w:rPr>
          <w:rFonts w:ascii="Arial" w:cs="Arial" w:eastAsia="Arial" w:hAnsi="Arial"/>
          <w:sz w:val="16"/>
          <w:szCs w:val="16"/>
          <w:color w:val="auto"/>
        </w:rPr>
        <w:t>Noninterest income includes income derived from financial services offered to our customers, such as CitizensTrust, BankCard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various components of noninterest income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6"/>
          </w:tcPr>
          <w:p>
            <w:pPr>
              <w:ind w:left="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6"/>
          </w:tcPr>
          <w:p>
            <w:pPr>
              <w:ind w:left="80"/>
              <w:spacing w:after="0"/>
              <w:rPr>
                <w:sz w:val="20"/>
                <w:szCs w:val="20"/>
                <w:color w:val="auto"/>
              </w:rPr>
            </w:pPr>
            <w:r>
              <w:rPr>
                <w:rFonts w:ascii="Arial" w:cs="Arial" w:eastAsia="Arial" w:hAnsi="Arial"/>
                <w:sz w:val="13"/>
                <w:szCs w:val="13"/>
                <w:b w:val="1"/>
                <w:bCs w:val="1"/>
                <w:color w:val="auto"/>
              </w:rPr>
              <w:t>Six Months Ended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June 30,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ind w:left="360"/>
              <w:spacing w:after="0"/>
              <w:rPr>
                <w:sz w:val="20"/>
                <w:szCs w:val="20"/>
                <w:color w:val="auto"/>
              </w:rPr>
            </w:pPr>
            <w:r>
              <w:rPr>
                <w:rFonts w:ascii="Arial" w:cs="Arial" w:eastAsia="Arial" w:hAnsi="Arial"/>
                <w:sz w:val="13"/>
                <w:szCs w:val="13"/>
                <w:b w:val="1"/>
                <w:bCs w:val="1"/>
                <w:color w:val="auto"/>
              </w:rPr>
              <w:t>Variance</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June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4"/>
          </w:tcPr>
          <w:p>
            <w:pPr>
              <w:ind w:left="420"/>
              <w:spacing w:after="0"/>
              <w:rPr>
                <w:sz w:val="20"/>
                <w:szCs w:val="20"/>
                <w:color w:val="auto"/>
              </w:rPr>
            </w:pPr>
            <w:r>
              <w:rPr>
                <w:rFonts w:ascii="Arial" w:cs="Arial" w:eastAsia="Arial" w:hAnsi="Arial"/>
                <w:sz w:val="13"/>
                <w:szCs w:val="13"/>
                <w:b w:val="1"/>
                <w:bCs w:val="1"/>
                <w:color w:val="auto"/>
              </w:rPr>
              <w:t>Variance</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134"/>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254"/>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234"/>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13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31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5"/>
          </w:tcPr>
          <w:p>
            <w:pPr>
              <w:ind w:left="40"/>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30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Noninterest income:</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3020" w:type="dxa"/>
            <w:vAlign w:val="bottom"/>
          </w:tcPr>
          <w:p>
            <w:pPr>
              <w:ind w:left="180"/>
              <w:spacing w:after="0"/>
              <w:rPr>
                <w:sz w:val="20"/>
                <w:szCs w:val="20"/>
                <w:color w:val="auto"/>
              </w:rPr>
            </w:pPr>
            <w:r>
              <w:rPr>
                <w:rFonts w:ascii="Arial" w:cs="Arial" w:eastAsia="Arial" w:hAnsi="Arial"/>
                <w:sz w:val="13"/>
                <w:szCs w:val="13"/>
                <w:color w:val="auto"/>
              </w:rPr>
              <w:t>Service charges on deposit accounts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4,838</w:t>
            </w:r>
          </w:p>
        </w:tc>
        <w:tc>
          <w:tcPr>
            <w:tcW w:w="4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5,333</w:t>
            </w:r>
          </w:p>
        </w:tc>
        <w:tc>
          <w:tcPr>
            <w:tcW w:w="1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(495 )</w:t>
            </w:r>
          </w:p>
        </w:tc>
        <w:tc>
          <w:tcPr>
            <w:tcW w:w="2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-9.28 %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10,182</w:t>
            </w:r>
          </w:p>
        </w:tc>
        <w:tc>
          <w:tcPr>
            <w:tcW w:w="8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10,392</w:t>
            </w:r>
          </w:p>
        </w:tc>
        <w:tc>
          <w:tcPr>
            <w:tcW w:w="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(210 )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-2.02 %</w:t>
            </w:r>
          </w:p>
        </w:tc>
      </w:tr>
      <w:tr>
        <w:trPr>
          <w:trHeight w:val="180"/>
        </w:trPr>
        <w:tc>
          <w:tcPr>
            <w:tcW w:w="3020" w:type="dxa"/>
            <w:vAlign w:val="bottom"/>
          </w:tcPr>
          <w:p>
            <w:pPr>
              <w:ind w:left="180"/>
              <w:spacing w:after="0"/>
              <w:rPr>
                <w:sz w:val="20"/>
                <w:szCs w:val="20"/>
                <w:color w:val="auto"/>
              </w:rPr>
            </w:pPr>
            <w:r>
              <w:rPr>
                <w:rFonts w:ascii="Arial" w:cs="Arial" w:eastAsia="Arial" w:hAnsi="Arial"/>
                <w:sz w:val="13"/>
                <w:szCs w:val="13"/>
                <w:color w:val="auto"/>
              </w:rPr>
              <w:t>Trust and investment services</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11.92 %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7.69 %</w:t>
            </w:r>
          </w:p>
        </w:tc>
      </w:tr>
      <w:tr>
        <w:trPr>
          <w:trHeight w:val="180"/>
        </w:trPr>
        <w:tc>
          <w:tcPr>
            <w:tcW w:w="3020" w:type="dxa"/>
            <w:vAlign w:val="bottom"/>
          </w:tcPr>
          <w:p>
            <w:pPr>
              <w:ind w:left="180"/>
              <w:spacing w:after="0"/>
              <w:rPr>
                <w:sz w:val="20"/>
                <w:szCs w:val="20"/>
                <w:color w:val="auto"/>
              </w:rPr>
            </w:pPr>
            <w:r>
              <w:rPr>
                <w:rFonts w:ascii="Arial" w:cs="Arial" w:eastAsia="Arial" w:hAnsi="Arial"/>
                <w:sz w:val="13"/>
                <w:szCs w:val="13"/>
                <w:color w:val="auto"/>
              </w:rPr>
              <w:t>Bankcard services</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58.06 %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19.42 %</w:t>
            </w:r>
          </w:p>
        </w:tc>
      </w:tr>
      <w:tr>
        <w:trPr>
          <w:trHeight w:val="180"/>
        </w:trPr>
        <w:tc>
          <w:tcPr>
            <w:tcW w:w="3020" w:type="dxa"/>
            <w:vAlign w:val="bottom"/>
          </w:tcPr>
          <w:p>
            <w:pPr>
              <w:ind w:left="180"/>
              <w:spacing w:after="0"/>
              <w:rPr>
                <w:sz w:val="20"/>
                <w:szCs w:val="20"/>
                <w:color w:val="auto"/>
              </w:rPr>
            </w:pPr>
            <w:r>
              <w:rPr>
                <w:rFonts w:ascii="Arial" w:cs="Arial" w:eastAsia="Arial" w:hAnsi="Arial"/>
                <w:sz w:val="13"/>
                <w:szCs w:val="13"/>
                <w:color w:val="auto"/>
              </w:rPr>
              <w:t>BOLI income</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1,494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247.76 %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3,286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1,952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68.34 %</w:t>
            </w:r>
          </w:p>
        </w:tc>
      </w:tr>
      <w:tr>
        <w:trPr>
          <w:trHeight w:val="180"/>
        </w:trPr>
        <w:tc>
          <w:tcPr>
            <w:tcW w:w="3020" w:type="dxa"/>
            <w:vAlign w:val="bottom"/>
          </w:tcPr>
          <w:p>
            <w:pPr>
              <w:ind w:left="180"/>
              <w:spacing w:after="0"/>
              <w:rPr>
                <w:sz w:val="20"/>
                <w:szCs w:val="20"/>
                <w:color w:val="auto"/>
              </w:rPr>
            </w:pPr>
            <w:r>
              <w:rPr>
                <w:rFonts w:ascii="Arial" w:cs="Arial" w:eastAsia="Arial" w:hAnsi="Arial"/>
                <w:sz w:val="13"/>
                <w:szCs w:val="13"/>
                <w:color w:val="auto"/>
              </w:rPr>
              <w:t>Swap fee income</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r>
      <w:tr>
        <w:trPr>
          <w:trHeight w:val="185"/>
        </w:trPr>
        <w:tc>
          <w:tcPr>
            <w:tcW w:w="3020" w:type="dxa"/>
            <w:vAlign w:val="bottom"/>
          </w:tcPr>
          <w:p>
            <w:pPr>
              <w:ind w:left="18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(3,628 )</w:t>
            </w:r>
          </w:p>
        </w:tc>
        <w:tc>
          <w:tcPr>
            <w:tcW w:w="2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-66.42 %</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7,080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(2,418 )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-34.15 %</w:t>
            </w:r>
          </w:p>
        </w:tc>
      </w:tr>
      <w:tr>
        <w:trPr>
          <w:trHeight w:val="185"/>
        </w:trPr>
        <w:tc>
          <w:tcPr>
            <w:tcW w:w="3020" w:type="dxa"/>
            <w:vAlign w:val="bottom"/>
          </w:tcPr>
          <w:p>
            <w:pPr>
              <w:ind w:left="340"/>
              <w:spacing w:after="0"/>
              <w:rPr>
                <w:sz w:val="20"/>
                <w:szCs w:val="20"/>
                <w:color w:val="auto"/>
              </w:rPr>
            </w:pPr>
            <w:r>
              <w:rPr>
                <w:rFonts w:ascii="Arial" w:cs="Arial" w:eastAsia="Arial" w:hAnsi="Arial"/>
                <w:sz w:val="13"/>
                <w:szCs w:val="13"/>
                <w:color w:val="auto"/>
              </w:rPr>
              <w:t>Total noninterest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12,656</w:t>
            </w:r>
          </w:p>
        </w:tc>
        <w:tc>
          <w:tcPr>
            <w:tcW w:w="100" w:type="dxa"/>
            <w:vAlign w:val="bottom"/>
          </w:tcPr>
          <w:p>
            <w:pPr>
              <w:spacing w:after="0"/>
              <w:rPr>
                <w:sz w:val="16"/>
                <w:szCs w:val="16"/>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14,670</w:t>
            </w:r>
          </w:p>
        </w:tc>
        <w:tc>
          <w:tcPr>
            <w:tcW w:w="12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(2,014 )</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-13.73 %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25,858</w:t>
            </w:r>
          </w:p>
        </w:tc>
        <w:tc>
          <w:tcPr>
            <w:tcW w:w="8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25,934</w:t>
            </w:r>
          </w:p>
        </w:tc>
        <w:tc>
          <w:tcPr>
            <w:tcW w:w="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(76 )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-0.29 %</w:t>
            </w:r>
          </w:p>
        </w:tc>
      </w:tr>
      <w:tr>
        <w:trPr>
          <w:trHeight w:val="20"/>
        </w:trPr>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Second Quarter of 2023 Compared to the Second Quarter of 2022</w:t>
      </w:r>
    </w:p>
    <w:p>
      <w:pPr>
        <w:spacing w:after="0" w:line="182" w:lineRule="exact"/>
        <w:rPr>
          <w:sz w:val="20"/>
          <w:szCs w:val="20"/>
          <w:color w:val="auto"/>
        </w:rPr>
      </w:pPr>
    </w:p>
    <w:p>
      <w:pPr>
        <w:ind w:right="40" w:firstLine="432"/>
        <w:spacing w:after="0" w:line="237" w:lineRule="auto"/>
        <w:rPr>
          <w:sz w:val="20"/>
          <w:szCs w:val="20"/>
          <w:color w:val="auto"/>
        </w:rPr>
      </w:pPr>
      <w:r>
        <w:rPr>
          <w:rFonts w:ascii="Arial" w:cs="Arial" w:eastAsia="Arial" w:hAnsi="Arial"/>
          <w:sz w:val="16"/>
          <w:szCs w:val="16"/>
          <w:color w:val="auto"/>
        </w:rPr>
        <w:t>Noninterest income was $12.7 million for the second quarter of 2023, compared with $ 14.7 million for the second quarter of 2022.The second quarter of 2023 included $806,000 in death benefits that exceeded the asset value of certain BOLI policies, partially offset by a $716,000 decline in CRA investment income. The second quarter of 2022 included a $1.3 million gain from an equity fund distribution related to a CRA investment, as well as $2.7 million in net gains on the sale of properties associated with banking centers, including $2.4 million from the sale of one property. Swap fees for transitioning our back-to-back swaps out of LIBOR to term SOFR were approximately $100,000 in the second quarter of 2023. Service charges on deposit accounts declined by $495,000, or 9.28% from the prior year quarter, while bankcard fees grew by $180,000.</w:t>
      </w:r>
    </w:p>
    <w:p>
      <w:pPr>
        <w:jc w:val="center"/>
        <w:ind w:right="20"/>
        <w:spacing w:after="0"/>
        <w:rPr>
          <w:sz w:val="20"/>
          <w:szCs w:val="20"/>
          <w:color w:val="auto"/>
        </w:rPr>
      </w:pPr>
      <w:r>
        <w:rPr>
          <w:rFonts w:ascii="Arial" w:cs="Arial" w:eastAsia="Arial" w:hAnsi="Arial"/>
          <w:sz w:val="16"/>
          <w:szCs w:val="16"/>
          <w:color w:val="auto"/>
        </w:rPr>
        <w:t>51</w:t>
      </w:r>
    </w:p>
    <w:p>
      <w:pPr>
        <w:sectPr>
          <w:pgSz w:w="11900" w:h="16840" w:orient="portrait"/>
          <w:cols w:equalWidth="0" w:num="1">
            <w:col w:w="10600"/>
          </w:cols>
          <w:pgMar w:left="660" w:top="782" w:right="640" w:bottom="1440" w:gutter="0" w:footer="0" w:header="0"/>
        </w:sectPr>
      </w:pPr>
    </w:p>
    <w:bookmarkStart w:id="51" w:name="page52"/>
    <w:bookmarkEnd w:id="51"/>
    <w:p>
      <w:pPr>
        <w:ind w:right="20" w:firstLine="432"/>
        <w:spacing w:after="0" w:line="238" w:lineRule="auto"/>
        <w:rPr>
          <w:sz w:val="20"/>
          <w:szCs w:val="20"/>
          <w:color w:val="auto"/>
        </w:rPr>
      </w:pPr>
      <w:r>
        <w:rPr>
          <w:rFonts w:ascii="Arial" w:cs="Arial" w:eastAsia="Arial" w:hAnsi="Arial"/>
          <w:sz w:val="16"/>
          <w:szCs w:val="16"/>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June 30, 2023, CitizensTrust had approximately $3.61 billion in assets under management and administration, including $2.41 billion in assets under management. CitizensTrust generated fees of $3.3 million for the second quarter of 2023, compared to $3.0 million for the same period of 2022.</w:t>
      </w:r>
    </w:p>
    <w:p>
      <w:pPr>
        <w:spacing w:after="0" w:line="166" w:lineRule="exact"/>
        <w:rPr>
          <w:sz w:val="20"/>
          <w:szCs w:val="20"/>
          <w:color w:val="auto"/>
        </w:rPr>
      </w:pPr>
    </w:p>
    <w:p>
      <w:pPr>
        <w:ind w:firstLine="432"/>
        <w:spacing w:after="0" w:line="277" w:lineRule="auto"/>
        <w:rPr>
          <w:sz w:val="20"/>
          <w:szCs w:val="20"/>
          <w:color w:val="auto"/>
        </w:rPr>
      </w:pPr>
      <w:r>
        <w:rPr>
          <w:rFonts w:ascii="Arial" w:cs="Arial" w:eastAsia="Arial" w:hAnsi="Arial"/>
          <w:sz w:val="14"/>
          <w:szCs w:val="14"/>
          <w:color w:val="auto"/>
        </w:rPr>
        <w:t>The Bank’s investment in BOLI includes life insurance policies acquired through acquisitions and the purchase of life insurance by the Bank on a select group of employees to fund deferred compensation plans.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BOLI income increased by $1.5 million compared to the second quarter of 2022 due to both the death benefits received in the second quarter of 2023 and higher returns for the underlying investments in separate fund life insurance policies used to fund deferred compensation plans. The second quarter of 2023 included $806,000 in death benefits that exceeded the asset value of certain BOLI policies, compared to no death benefits from BOLI policies in the second quarter of 2022.</w:t>
      </w:r>
    </w:p>
    <w:p>
      <w:pPr>
        <w:spacing w:after="0" w:line="140" w:lineRule="exact"/>
        <w:rPr>
          <w:sz w:val="20"/>
          <w:szCs w:val="20"/>
          <w:color w:val="auto"/>
        </w:rPr>
      </w:pPr>
    </w:p>
    <w:p>
      <w:pPr>
        <w:ind w:right="60" w:firstLine="432"/>
        <w:spacing w:after="0" w:line="238" w:lineRule="auto"/>
        <w:rPr>
          <w:sz w:val="20"/>
          <w:szCs w:val="20"/>
          <w:color w:val="auto"/>
        </w:rPr>
      </w:pPr>
      <w:r>
        <w:rPr>
          <w:rFonts w:ascii="Arial" w:cs="Arial" w:eastAsia="Arial" w:hAnsi="Arial"/>
          <w:sz w:val="16"/>
          <w:szCs w:val="16"/>
          <w:color w:val="auto"/>
        </w:rPr>
        <w:t xml:space="preserve">The Bank also enters into interest rate swap agreements with our customers to manage our interest rate risk and enters into identical offsetting swaps with a counterparty. The changes in the fair value of these non -hedged swaps primarily offset each other resulting in swap fee income. Generally speaking, our volume of back-to-back interest rate swaps is impacted by the level and shape of the yield curve and the Bank's management of interest rate risk. There was one executed swap agreement related to new loan originations for the second quarter of 2023, compared to no executed swap agreements in the second quarter of 2022. The remaining LIBOR indexed swaps that were not converted to term SOFR in the first quarter of 2023 were converted during the second quarter, generating fee income of approximately $100,000. Refer to Note 10 –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of the notes to the unaudited condensed consolidated financial statements of this report for additional information.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Six Months of 2023 Compared to Six Months of 2022</w:t>
      </w:r>
    </w:p>
    <w:p>
      <w:pPr>
        <w:spacing w:after="0" w:line="182" w:lineRule="exact"/>
        <w:rPr>
          <w:sz w:val="20"/>
          <w:szCs w:val="20"/>
          <w:color w:val="auto"/>
        </w:rPr>
      </w:pPr>
    </w:p>
    <w:p>
      <w:pPr>
        <w:ind w:right="60" w:firstLine="432"/>
        <w:spacing w:after="0"/>
        <w:rPr>
          <w:sz w:val="20"/>
          <w:szCs w:val="20"/>
          <w:color w:val="auto"/>
        </w:rPr>
      </w:pPr>
      <w:r>
        <w:rPr>
          <w:rFonts w:ascii="Arial" w:cs="Arial" w:eastAsia="Arial" w:hAnsi="Arial"/>
          <w:sz w:val="16"/>
          <w:szCs w:val="16"/>
          <w:color w:val="auto"/>
        </w:rPr>
        <w:t>The $1.3 million year-over-year increase in BOLI income was primarily due to higher returns for the underlying investments in separate fund life insurance policies used to fund deferred compensation plans and the $806,000 in death benefits received in 2023. The six months ended June 30, 2022 included $2.7 million in net gains from the sale of properties associated with banking centers. Trust and investment fees grew by $445,000 or 7.69% due to increased assets under management.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70" w:right="680"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Noninterest Expense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various components of noninterest expense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Six Months Ended</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ind w:left="420"/>
              <w:spacing w:after="0"/>
              <w:rPr>
                <w:sz w:val="20"/>
                <w:szCs w:val="20"/>
                <w:color w:val="auto"/>
              </w:rPr>
            </w:pPr>
            <w:r>
              <w:rPr>
                <w:rFonts w:ascii="Arial" w:cs="Arial" w:eastAsia="Arial" w:hAnsi="Arial"/>
                <w:sz w:val="13"/>
                <w:szCs w:val="13"/>
                <w:b w:val="1"/>
                <w:bCs w:val="1"/>
                <w:color w:val="auto"/>
              </w:rPr>
              <w:t>Variance</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3"/>
                <w:szCs w:val="13"/>
                <w:b w:val="1"/>
                <w:bCs w:val="1"/>
                <w:color w:val="auto"/>
              </w:rPr>
              <w:t>Variance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9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314"/>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174"/>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25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ind w:right="31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Noninterest expense:</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288"/>
        </w:trPr>
        <w:tc>
          <w:tcPr>
            <w:tcW w:w="2680" w:type="dxa"/>
            <w:vAlign w:val="bottom"/>
          </w:tcPr>
          <w:p>
            <w:pPr>
              <w:ind w:left="180"/>
              <w:spacing w:after="0"/>
              <w:rPr>
                <w:sz w:val="20"/>
                <w:szCs w:val="20"/>
                <w:color w:val="auto"/>
              </w:rPr>
            </w:pPr>
            <w:r>
              <w:rPr>
                <w:rFonts w:ascii="Arial" w:cs="Arial" w:eastAsia="Arial" w:hAnsi="Arial"/>
                <w:sz w:val="13"/>
                <w:szCs w:val="13"/>
                <w:color w:val="auto"/>
              </w:rPr>
              <w:t>Salaries and employee benefits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33,548</w:t>
            </w:r>
          </w:p>
        </w:tc>
        <w:tc>
          <w:tcPr>
            <w:tcW w:w="240" w:type="dxa"/>
            <w:vAlign w:val="bottom"/>
          </w:tcPr>
          <w:p>
            <w:pPr>
              <w:spacing w:after="0"/>
              <w:rPr>
                <w:sz w:val="24"/>
                <w:szCs w:val="2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31,553</w:t>
            </w:r>
          </w:p>
        </w:tc>
        <w:tc>
          <w:tcPr>
            <w:tcW w:w="240" w:type="dxa"/>
            <w:vAlign w:val="bottom"/>
          </w:tcPr>
          <w:p>
            <w:pPr>
              <w:spacing w:after="0"/>
              <w:rPr>
                <w:sz w:val="24"/>
                <w:szCs w:val="24"/>
                <w:color w:val="auto"/>
              </w:rPr>
            </w:pP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1,995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120"/>
              <w:spacing w:after="0" w:line="288" w:lineRule="exact"/>
              <w:rPr>
                <w:sz w:val="20"/>
                <w:szCs w:val="20"/>
                <w:color w:val="auto"/>
              </w:rPr>
            </w:pPr>
            <w:r>
              <w:rPr>
                <w:rFonts w:ascii="Arial" w:cs="Arial" w:eastAsia="Arial" w:hAnsi="Arial"/>
                <w:sz w:val="13"/>
                <w:szCs w:val="13"/>
                <w:color w:val="auto"/>
              </w:rPr>
              <w:t xml:space="preserve">6.32 </w:t>
            </w:r>
            <w:r>
              <w:rPr>
                <w:rFonts w:ascii="Arial" w:cs="Arial" w:eastAsia="Arial" w:hAnsi="Arial"/>
                <w:sz w:val="26"/>
                <w:szCs w:val="26"/>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68,795</w:t>
            </w:r>
          </w:p>
        </w:tc>
        <w:tc>
          <w:tcPr>
            <w:tcW w:w="240" w:type="dxa"/>
            <w:vAlign w:val="bottom"/>
          </w:tcPr>
          <w:p>
            <w:pPr>
              <w:spacing w:after="0"/>
              <w:rPr>
                <w:sz w:val="24"/>
                <w:szCs w:val="2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64,209</w:t>
            </w:r>
          </w:p>
        </w:tc>
        <w:tc>
          <w:tcPr>
            <w:tcW w:w="220" w:type="dxa"/>
            <w:vAlign w:val="bottom"/>
          </w:tcPr>
          <w:p>
            <w:pPr>
              <w:spacing w:after="0"/>
              <w:rPr>
                <w:sz w:val="24"/>
                <w:szCs w:val="24"/>
                <w:color w:val="auto"/>
              </w:rPr>
            </w:pP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4,586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3"/>
          </w:tcPr>
          <w:p>
            <w:pPr>
              <w:jc w:val="right"/>
              <w:spacing w:after="0" w:line="288" w:lineRule="exact"/>
              <w:rPr>
                <w:sz w:val="20"/>
                <w:szCs w:val="20"/>
                <w:color w:val="auto"/>
              </w:rPr>
            </w:pPr>
            <w:r>
              <w:rPr>
                <w:rFonts w:ascii="Arial" w:cs="Arial" w:eastAsia="Arial" w:hAnsi="Arial"/>
                <w:sz w:val="13"/>
                <w:szCs w:val="13"/>
                <w:color w:val="auto"/>
              </w:rPr>
              <w:t xml:space="preserve">7.14 </w:t>
            </w:r>
            <w:r>
              <w:rPr>
                <w:rFonts w:ascii="Arial" w:cs="Arial" w:eastAsia="Arial" w:hAnsi="Arial"/>
                <w:sz w:val="26"/>
                <w:szCs w:val="26"/>
                <w:color w:val="auto"/>
                <w:vertAlign w:val="superscript"/>
              </w:rPr>
              <w:t>%</w:t>
            </w:r>
          </w:p>
        </w:tc>
      </w:tr>
      <w:tr>
        <w:trPr>
          <w:trHeight w:val="170"/>
        </w:trPr>
        <w:tc>
          <w:tcPr>
            <w:tcW w:w="2680" w:type="dxa"/>
            <w:vAlign w:val="bottom"/>
          </w:tcPr>
          <w:p>
            <w:pPr>
              <w:ind w:left="180"/>
              <w:spacing w:after="0"/>
              <w:rPr>
                <w:sz w:val="20"/>
                <w:szCs w:val="20"/>
                <w:color w:val="auto"/>
              </w:rPr>
            </w:pPr>
            <w:r>
              <w:rPr>
                <w:rFonts w:ascii="Arial" w:cs="Arial" w:eastAsia="Arial" w:hAnsi="Arial"/>
                <w:sz w:val="13"/>
                <w:szCs w:val="13"/>
                <w:color w:val="auto"/>
              </w:rPr>
              <w:t>Occupancy</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4,591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4,483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2.41 %</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9,185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9,031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1.71 %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Equipment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1,084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(158 )</w:t>
            </w: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-14.58 %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1,782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2,107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(325 )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-15.42 %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Professional services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2,562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2,305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11.15 %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4,258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4,350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(92 )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-2.11 %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Computer software expense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3,316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3,103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6.86 %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6,724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6,898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(174 )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-2.52 %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Marketing and promotion</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1,321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1,638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(317 )</w:t>
            </w: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-19.35 %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3,096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(60 )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-1.94 %</w:t>
            </w:r>
          </w:p>
        </w:tc>
      </w:tr>
      <w:tr>
        <w:trPr>
          <w:trHeight w:val="171"/>
        </w:trPr>
        <w:tc>
          <w:tcPr>
            <w:tcW w:w="2680" w:type="dxa"/>
            <w:vAlign w:val="bottom"/>
          </w:tcPr>
          <w:p>
            <w:pPr>
              <w:ind w:left="180"/>
              <w:spacing w:after="0"/>
              <w:rPr>
                <w:sz w:val="20"/>
                <w:szCs w:val="20"/>
                <w:color w:val="auto"/>
              </w:rPr>
            </w:pPr>
            <w:r>
              <w:rPr>
                <w:rFonts w:ascii="Arial" w:cs="Arial" w:eastAsia="Arial" w:hAnsi="Arial"/>
                <w:sz w:val="13"/>
                <w:szCs w:val="13"/>
                <w:color w:val="auto"/>
              </w:rPr>
              <w:t>Amortization of intangible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680" w:type="dxa"/>
            <w:vAlign w:val="bottom"/>
          </w:tcPr>
          <w:p>
            <w:pPr>
              <w:ind w:left="280"/>
              <w:spacing w:after="0"/>
              <w:rPr>
                <w:sz w:val="20"/>
                <w:szCs w:val="20"/>
                <w:color w:val="auto"/>
              </w:rPr>
            </w:pPr>
            <w:r>
              <w:rPr>
                <w:rFonts w:ascii="Arial" w:cs="Arial" w:eastAsia="Arial" w:hAnsi="Arial"/>
                <w:sz w:val="13"/>
                <w:szCs w:val="13"/>
                <w:color w:val="auto"/>
              </w:rPr>
              <w:t>assets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1,719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1,998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(279 )</w:t>
            </w:r>
          </w:p>
        </w:tc>
        <w:tc>
          <w:tcPr>
            <w:tcW w:w="2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-13.96 %</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3,439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3,996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(557 )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-13.94 %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Telecommunications expense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0.58 %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1,070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(48 )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-4.49 %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Regulatory assessments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2,164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56.93 %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2,768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53.03 %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Insurance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2.43 %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1,011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2.95 %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Loan expense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6.43 %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(58 )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-10.76 %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OREO expense</w:t>
            </w: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(3 )</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100.00 %</w:t>
            </w:r>
          </w:p>
        </w:tc>
      </w:tr>
      <w:tr>
        <w:trPr>
          <w:trHeight w:val="171"/>
        </w:trPr>
        <w:tc>
          <w:tcPr>
            <w:tcW w:w="2680" w:type="dxa"/>
            <w:vAlign w:val="bottom"/>
          </w:tcPr>
          <w:p>
            <w:pPr>
              <w:ind w:left="180"/>
              <w:spacing w:after="0"/>
              <w:rPr>
                <w:sz w:val="20"/>
                <w:szCs w:val="20"/>
                <w:color w:val="auto"/>
              </w:rPr>
            </w:pPr>
            <w:r>
              <w:rPr>
                <w:rFonts w:ascii="Arial" w:cs="Arial" w:eastAsia="Arial" w:hAnsi="Arial"/>
                <w:sz w:val="13"/>
                <w:szCs w:val="13"/>
                <w:color w:val="auto"/>
              </w:rPr>
              <w:t>Provision for unfunded loan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680" w:type="dxa"/>
            <w:vAlign w:val="bottom"/>
          </w:tcPr>
          <w:p>
            <w:pPr>
              <w:ind w:left="280"/>
              <w:spacing w:after="0"/>
              <w:rPr>
                <w:sz w:val="20"/>
                <w:szCs w:val="20"/>
                <w:color w:val="auto"/>
              </w:rPr>
            </w:pPr>
            <w:r>
              <w:rPr>
                <w:rFonts w:ascii="Arial" w:cs="Arial" w:eastAsia="Arial" w:hAnsi="Arial"/>
                <w:sz w:val="13"/>
                <w:szCs w:val="13"/>
                <w:color w:val="auto"/>
              </w:rPr>
              <w:t>commitments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Directors' expenses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(145 )</w:t>
            </w: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-39.73 %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729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(220 )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-30.18 %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Stationery and supplies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(25 )</w:t>
            </w: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-10.78 %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5.79 %</w:t>
            </w: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Acquisition related expenses</w:t>
            </w: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(375 )</w:t>
            </w: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-100.00 %</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6,013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(6,013 )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-100.00 %</w:t>
            </w:r>
          </w:p>
        </w:tc>
      </w:tr>
      <w:tr>
        <w:trPr>
          <w:trHeight w:val="197"/>
        </w:trPr>
        <w:tc>
          <w:tcPr>
            <w:tcW w:w="2680" w:type="dxa"/>
            <w:vAlign w:val="bottom"/>
          </w:tcPr>
          <w:p>
            <w:pPr>
              <w:ind w:left="18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1,836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1,175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661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56.26 %</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3,027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2,858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5.91 %</w:t>
            </w:r>
          </w:p>
        </w:tc>
      </w:tr>
      <w:tr>
        <w:trPr>
          <w:trHeight w:val="225"/>
        </w:trPr>
        <w:tc>
          <w:tcPr>
            <w:tcW w:w="26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 noninterest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54,017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50,871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6.18 %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109,109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-0.19 %</w:t>
            </w:r>
          </w:p>
        </w:tc>
      </w:tr>
      <w:tr>
        <w:trPr>
          <w:trHeight w:val="317"/>
        </w:trPr>
        <w:tc>
          <w:tcPr>
            <w:tcW w:w="2680" w:type="dxa"/>
            <w:vAlign w:val="bottom"/>
            <w:tcBorders>
              <w:top w:val="single" w:sz="8" w:color="CFF0FC"/>
            </w:tcBorders>
          </w:tcPr>
          <w:p>
            <w:pPr>
              <w:ind w:left="180"/>
              <w:spacing w:after="0"/>
              <w:rPr>
                <w:sz w:val="20"/>
                <w:szCs w:val="20"/>
                <w:color w:val="auto"/>
              </w:rPr>
            </w:pPr>
            <w:r>
              <w:rPr>
                <w:rFonts w:ascii="Arial" w:cs="Arial" w:eastAsia="Arial" w:hAnsi="Arial"/>
                <w:sz w:val="13"/>
                <w:szCs w:val="13"/>
                <w:color w:val="auto"/>
              </w:rPr>
              <w:t>Noninterest expense to average</w:t>
            </w: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2680" w:type="dxa"/>
            <w:vAlign w:val="bottom"/>
          </w:tcPr>
          <w:p>
            <w:pPr>
              <w:ind w:left="280"/>
              <w:spacing w:after="0"/>
              <w:rPr>
                <w:sz w:val="20"/>
                <w:szCs w:val="20"/>
                <w:color w:val="auto"/>
              </w:rPr>
            </w:pPr>
            <w:r>
              <w:rPr>
                <w:rFonts w:ascii="Arial" w:cs="Arial" w:eastAsia="Arial" w:hAnsi="Arial"/>
                <w:sz w:val="13"/>
                <w:szCs w:val="13"/>
                <w:color w:val="auto"/>
              </w:rPr>
              <w:t>assets</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1.32 %</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1.20 %</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1.34 %</w:t>
            </w: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1.28 %</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2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Efficiency ratio (1)</w:t>
            </w: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40.86 %</w:t>
            </w: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37.24 %</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40.17 %</w:t>
            </w: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41.85 %</w:t>
            </w: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bl>
    <w:p>
      <w:pPr>
        <w:spacing w:after="0" w:line="173"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(1)Noninterest expense divided by net interest income before provision for credit losses plus noninterest income.</w:t>
      </w:r>
    </w:p>
    <w:p>
      <w:pPr>
        <w:spacing w:after="0" w:line="175" w:lineRule="exact"/>
        <w:rPr>
          <w:sz w:val="20"/>
          <w:szCs w:val="20"/>
          <w:color w:val="auto"/>
        </w:rPr>
      </w:pPr>
    </w:p>
    <w:p>
      <w:pPr>
        <w:jc w:val="both"/>
        <w:ind w:right="180" w:firstLine="432"/>
        <w:spacing w:after="0" w:line="243" w:lineRule="auto"/>
        <w:rPr>
          <w:sz w:val="20"/>
          <w:szCs w:val="20"/>
          <w:color w:val="auto"/>
        </w:rPr>
      </w:pPr>
      <w:r>
        <w:rPr>
          <w:rFonts w:ascii="Arial" w:cs="Arial" w:eastAsia="Arial" w:hAnsi="Arial"/>
          <w:sz w:val="16"/>
          <w:szCs w:val="16"/>
          <w:color w:val="auto"/>
        </w:rPr>
        <w:t>Our ability to control noninterest expenses in relation to asset growth can be measured in terms of total noninterest expenses as a percentage of average assets. Noninterest expense as a percentage of average assets was 1.32% for the second quarter of 2023, compared to 1.20% for the second quarter of 2022.</w:t>
      </w:r>
    </w:p>
    <w:p>
      <w:pPr>
        <w:spacing w:after="0" w:line="161" w:lineRule="exact"/>
        <w:rPr>
          <w:sz w:val="20"/>
          <w:szCs w:val="20"/>
          <w:color w:val="auto"/>
        </w:rPr>
      </w:pPr>
    </w:p>
    <w:p>
      <w:pPr>
        <w:ind w:right="180" w:firstLine="432"/>
        <w:spacing w:after="0" w:line="243" w:lineRule="auto"/>
        <w:rPr>
          <w:sz w:val="20"/>
          <w:szCs w:val="20"/>
          <w:color w:val="auto"/>
        </w:rPr>
      </w:pPr>
      <w:r>
        <w:rPr>
          <w:rFonts w:ascii="Arial" w:cs="Arial" w:eastAsia="Arial" w:hAnsi="Arial"/>
          <w:sz w:val="16"/>
          <w:szCs w:val="16"/>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40.86% for the second quarter of 2023, compared to 37.24% for the second quarter of 2022.</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Second Quarter of 2023 Compared to the Second Quarter of 2022</w:t>
      </w:r>
    </w:p>
    <w:p>
      <w:pPr>
        <w:spacing w:after="0" w:line="182" w:lineRule="exact"/>
        <w:rPr>
          <w:sz w:val="20"/>
          <w:szCs w:val="20"/>
          <w:color w:val="auto"/>
        </w:rPr>
      </w:pPr>
    </w:p>
    <w:p>
      <w:pPr>
        <w:ind w:right="140" w:firstLine="432"/>
        <w:spacing w:after="0" w:line="239" w:lineRule="auto"/>
        <w:rPr>
          <w:sz w:val="20"/>
          <w:szCs w:val="20"/>
          <w:color w:val="auto"/>
        </w:rPr>
      </w:pPr>
      <w:r>
        <w:rPr>
          <w:rFonts w:ascii="Arial" w:cs="Arial" w:eastAsia="Arial" w:hAnsi="Arial"/>
          <w:sz w:val="16"/>
          <w:szCs w:val="16"/>
          <w:color w:val="auto"/>
        </w:rPr>
        <w:t>Noninterest expense for the second quarter of 2023 was $54.0 million, compared to $50.9 million for the second quarter of 2022. The $3.1 million increase in noninterest expense year-over-year included an increase of $2.0 million, or 6.32%, in salaries and employee benefits due to inflationary pressures primarily experienced in the second half of 2022 and a $785,000 increase in FDIC assessments as higher assessment rates were effective at the beginning of 2023. The second quarter of 2023 included $400,000 in provision for unfunded loan commitments, compared to no provision for the second quarter of 2022.</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Six Months of 2023 Compared to Six Months of 2022</w:t>
      </w:r>
    </w:p>
    <w:p>
      <w:pPr>
        <w:spacing w:after="0" w:line="182"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Noninterest expense of $108.9 million for the first six months of 2023 was $211,000 lower than the prior year period. Year- over-year increases included a $4.6 million in salaries and employee benefits primarily due to inflationary pressures on salary and benefits, $900,000 in provision for unfunded commitments, and a $1.5 million increase in FDIC assessments, offset by a $6.0 million decrease in acquisition expense. As a percentage of average assets, noninterest expense was 1.34% for the six months ended June 30, 2023, compared to 1.28% for the same period of 2022. If acquisition expense is excluded, noninterest expense as a percentage of average assets was 1.21% for the first six months of 2022. For the six months ended June 30, 2023, the efficiency ratio was 40.17%, compared to 41.85% for the same period of 2022. Excluding acquisition expense, the efficiency ratio was 39.54% for the six months ended June 30, 2022.</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ectPr>
          <w:pgSz w:w="11900" w:h="16840" w:orient="portrait"/>
          <w:cols w:equalWidth="0" w:num="1">
            <w:col w:w="10600"/>
          </w:cols>
          <w:pgMar w:left="660" w:top="782" w:right="640"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60" w:lineRule="exact"/>
        <w:rPr>
          <w:sz w:val="20"/>
          <w:szCs w:val="20"/>
          <w:color w:val="auto"/>
        </w:rPr>
      </w:pPr>
    </w:p>
    <w:p>
      <w:pPr>
        <w:ind w:firstLine="432"/>
        <w:spacing w:after="0" w:line="243" w:lineRule="auto"/>
        <w:rPr>
          <w:sz w:val="20"/>
          <w:szCs w:val="20"/>
          <w:color w:val="auto"/>
        </w:rPr>
      </w:pPr>
      <w:r>
        <w:rPr>
          <w:rFonts w:ascii="Arial" w:cs="Arial" w:eastAsia="Arial" w:hAnsi="Arial"/>
          <w:sz w:val="16"/>
          <w:szCs w:val="16"/>
          <w:color w:val="auto"/>
        </w:rPr>
        <w:t>The Company’s effective tax rate for the three and six months ended June 30, 2023 was 28.20%, compared to 28.10% for the three and six months ended June 30, 2022, respectively. Our estimated annual effective tax rate varies depending upon the level of tax-advantaged income as well as available tax credits.</w:t>
      </w:r>
    </w:p>
    <w:p>
      <w:pPr>
        <w:spacing w:after="0" w:line="161"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54" w:name="page55"/>
    <w:bookmarkEnd w:id="54"/>
    <w:p>
      <w:pPr>
        <w:jc w:val="center"/>
        <w:ind w:right="100"/>
        <w:spacing w:after="0"/>
        <w:rPr>
          <w:sz w:val="20"/>
          <w:szCs w:val="20"/>
          <w:color w:val="auto"/>
        </w:rPr>
      </w:pPr>
      <w:r>
        <w:rPr>
          <w:rFonts w:ascii="Arial" w:cs="Arial" w:eastAsia="Arial" w:hAnsi="Arial"/>
          <w:sz w:val="16"/>
          <w:szCs w:val="16"/>
          <w:b w:val="1"/>
          <w:bCs w:val="1"/>
          <w:color w:val="auto"/>
        </w:rPr>
        <w:t>ANALYSIS OF FINANCIAL CONDITION</w:t>
      </w:r>
    </w:p>
    <w:p>
      <w:pPr>
        <w:spacing w:after="0" w:line="184" w:lineRule="exact"/>
        <w:rPr>
          <w:sz w:val="20"/>
          <w:szCs w:val="20"/>
          <w:color w:val="auto"/>
        </w:rPr>
      </w:pPr>
    </w:p>
    <w:p>
      <w:pPr>
        <w:ind w:right="160" w:firstLine="432"/>
        <w:spacing w:after="0"/>
        <w:rPr>
          <w:sz w:val="20"/>
          <w:szCs w:val="20"/>
          <w:color w:val="auto"/>
        </w:rPr>
      </w:pPr>
      <w:r>
        <w:rPr>
          <w:rFonts w:ascii="Arial" w:cs="Arial" w:eastAsia="Arial" w:hAnsi="Arial"/>
          <w:sz w:val="16"/>
          <w:szCs w:val="16"/>
          <w:color w:val="auto"/>
        </w:rPr>
        <w:t>Total assets of $16.48 billion at June 30, 2023 increased by $8.0 million, or 0.05%, from total assets of $16.48 billion at December 31, 2022. Interest-earning assets of $14.94 billion at June 30, 2023 decreased by $36.1 million, or 0.24%, when compared with $14.97 billion at December 31, 2022. The decrease in interest-earning assets was primarily due to a $228.7 million decrease in investment securities and a $172.0 million decrease in total loans, partially offset by a $341.8 million increase in interest-earning balances due from the Federal Reserve.</w:t>
      </w:r>
    </w:p>
    <w:p>
      <w:pPr>
        <w:spacing w:after="0" w:line="164" w:lineRule="exact"/>
        <w:rPr>
          <w:sz w:val="20"/>
          <w:szCs w:val="20"/>
          <w:color w:val="auto"/>
        </w:rPr>
      </w:pPr>
    </w:p>
    <w:p>
      <w:pPr>
        <w:ind w:right="20" w:firstLine="432"/>
        <w:spacing w:after="0" w:line="236" w:lineRule="auto"/>
        <w:rPr>
          <w:sz w:val="20"/>
          <w:szCs w:val="20"/>
          <w:color w:val="auto"/>
        </w:rPr>
      </w:pPr>
      <w:r>
        <w:rPr>
          <w:rFonts w:ascii="Arial" w:cs="Arial" w:eastAsia="Arial" w:hAnsi="Arial"/>
          <w:sz w:val="16"/>
          <w:szCs w:val="16"/>
          <w:color w:val="auto"/>
        </w:rPr>
        <w:t>Total liabilities were $14.48 billion at June 30, 2023, a decrease of $44.8 million, or 0.31%, from total liabilities of $14.53 billion at December 31, 2022. Total deposits declined by $438.7 million, or 3.42%. Higher interest rates that have resulted from the Federal Reserve’s significant increase in the federal funds rate over the last year have continued to impact deposit levels, including $550 million of funds on deposit at the end of 2022 that transferred from the Bank's balance sheet to CitizensTrust for investment in higher yielding securities such as treasury notes, including $180 million that were transferred in the current quarter. Short -term borrowings increased by $500.0 million from December 31, 2022. As of June 30, 2023, total short-term borrowings, consisted of $695 million of one- year advances from the Federal Reserve’s Bank Term Funding Program, at a cost of 4.7% and $800 million of short-term FHLB advances, at an average cost of approximately 5%. Total equity increased $52.9 million, or 2.71%, to $2.0 billion at June 30, 2023, compared to total equity of $1.95 billion at December 31, 2022. At the end of the second quarter of 2023, we entered into pay- fixed rate swaps to mitigate the risks of rising interest rates. This resulted in a fair value remeasurement of this swap derivative at June 30, 2023, resulting in an after tax increase in other comprehensive income of $7.8 million. Decreases from December 31, 2022 included $55.8 million in cash dividends. We engaged in no stock repurchases during the second quarter of 2023, compared to the first quarter of 2023, when we repurchased, under our 10b5-1 stock repurchase plan, 791,800 shares of common stock, at an average repurchase price of $23.43, totaling $18.5 million. This 10b5-1 plan expired on March 2, 2023 and no new plan has been put in place since that time.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Securities</w:t>
      </w:r>
    </w:p>
    <w:p>
      <w:pPr>
        <w:spacing w:after="0" w:line="184"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The Company maintains a portfolio of investment securities to provide interest income and to serve as a source of liquidity for its ongoing operations. At June 30, 2023, total investment securities were $5.58 billion. This represented a decrease of $228.7 million, or 3.94%, from $5.81 billion at December 31, 2022. The decrease in investment securities was primarily due to cash outflow from the portfolio in the first half of 2023. At June 30, 2023, investment securities HTM totaled $2.51 billion. At June 30, 2023, our AFS investment securities totaled $3.07 billion, inclusive of a pre -tax net unrealized loss of $497.7 million. The after-tax unrealized loss reported in AOCI on AFS investment securities was $350.5 million. The changes in the net unrealized holding loss resulted primarily from fluctuations in market interest rates. For the six months ended June 30, 2023 and 2022, repayments/maturities of investment securities totaled $231.9 million and $497.3 million, respectively. There were no investment securities sold during the second quarter of 2023 and 2022.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55" w:name="page56"/>
    <w:bookmarkEnd w:id="5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tables below set forth our investment securities AFS and HTM portfolio by type for the dates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7"/>
              </w:rPr>
              <w:t>June 30, 2023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60"/>
              <w:spacing w:after="0" w:line="180" w:lineRule="exact"/>
              <w:rPr>
                <w:sz w:val="20"/>
                <w:szCs w:val="20"/>
                <w:color w:val="auto"/>
              </w:rPr>
            </w:pPr>
            <w:r>
              <w:rPr>
                <w:rFonts w:ascii="Arial" w:cs="Arial" w:eastAsia="Arial" w:hAnsi="Arial"/>
                <w:sz w:val="16"/>
                <w:szCs w:val="16"/>
                <w:b w:val="1"/>
                <w:bCs w:val="1"/>
                <w:color w:val="auto"/>
                <w:w w:val="99"/>
              </w:rPr>
              <w:t>Gross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460"/>
              <w:spacing w:after="0" w:line="180" w:lineRule="exact"/>
              <w:rPr>
                <w:sz w:val="20"/>
                <w:szCs w:val="20"/>
                <w:color w:val="auto"/>
              </w:rPr>
            </w:pPr>
            <w:r>
              <w:rPr>
                <w:rFonts w:ascii="Arial" w:cs="Arial" w:eastAsia="Arial" w:hAnsi="Arial"/>
                <w:sz w:val="16"/>
                <w:szCs w:val="16"/>
                <w:b w:val="1"/>
                <w:bCs w:val="1"/>
                <w:color w:val="auto"/>
                <w:w w:val="95"/>
              </w:rPr>
              <w:t>Gross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7"/>
              </w:rPr>
              <w:t>Amortized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60"/>
              <w:spacing w:after="0" w:line="180" w:lineRule="exact"/>
              <w:rPr>
                <w:sz w:val="20"/>
                <w:szCs w:val="20"/>
                <w:color w:val="auto"/>
              </w:rPr>
            </w:pPr>
            <w:r>
              <w:rPr>
                <w:rFonts w:ascii="Arial" w:cs="Arial" w:eastAsia="Arial" w:hAnsi="Arial"/>
                <w:sz w:val="16"/>
                <w:szCs w:val="16"/>
                <w:b w:val="1"/>
                <w:bCs w:val="1"/>
                <w:color w:val="auto"/>
                <w:w w:val="96"/>
              </w:rPr>
              <w:t>Unrealized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440"/>
              <w:spacing w:after="0" w:line="180" w:lineRule="exact"/>
              <w:rPr>
                <w:sz w:val="20"/>
                <w:szCs w:val="20"/>
                <w:color w:val="auto"/>
              </w:rPr>
            </w:pPr>
            <w:r>
              <w:rPr>
                <w:rFonts w:ascii="Arial" w:cs="Arial" w:eastAsia="Arial" w:hAnsi="Arial"/>
                <w:sz w:val="16"/>
                <w:szCs w:val="16"/>
                <w:b w:val="1"/>
                <w:bCs w:val="1"/>
                <w:color w:val="auto"/>
                <w:w w:val="96"/>
              </w:rPr>
              <w:t>Unrealized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8"/>
              </w:rPr>
              <w:t>Holding Gain</w:t>
            </w:r>
          </w:p>
        </w:tc>
        <w:tc>
          <w:tcPr>
            <w:tcW w:w="300" w:type="dxa"/>
            <w:vAlign w:val="bottom"/>
          </w:tcPr>
          <w:p>
            <w:pPr>
              <w:spacing w:after="0"/>
              <w:rPr>
                <w:sz w:val="17"/>
                <w:szCs w:val="17"/>
                <w:color w:val="auto"/>
              </w:rPr>
            </w:pPr>
          </w:p>
        </w:tc>
        <w:tc>
          <w:tcPr>
            <w:tcW w:w="14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6"/>
              </w:rPr>
              <w:t>Holding 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Total Percent</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6"/>
                <w:szCs w:val="16"/>
                <w:i w:val="1"/>
                <w:iCs w:val="1"/>
                <w:color w:val="auto"/>
                <w:w w:val="97"/>
              </w:rPr>
              <w:t>(Dollars in thousands)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0" w:type="dxa"/>
            <w:vAlign w:val="bottom"/>
            <w:shd w:val="clear" w:color="auto" w:fill="CFF0FC"/>
          </w:tcPr>
          <w:p>
            <w:pPr>
              <w:spacing w:after="0"/>
              <w:rPr>
                <w:sz w:val="17"/>
                <w:szCs w:val="17"/>
                <w:color w:val="auto"/>
              </w:rPr>
            </w:pPr>
          </w:p>
        </w:tc>
        <w:tc>
          <w:tcPr>
            <w:tcW w:w="19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3,018,260</w:t>
            </w:r>
          </w:p>
        </w:tc>
        <w:tc>
          <w:tcPr>
            <w:tcW w:w="10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10" w:type="dxa"/>
            <w:vAlign w:val="bottom"/>
            <w:gridSpan w:val="2"/>
          </w:tcPr>
          <w:p>
            <w:pPr>
              <w:jc w:val="right"/>
              <w:ind w:right="50"/>
              <w:spacing w:after="0"/>
              <w:rPr>
                <w:sz w:val="20"/>
                <w:szCs w:val="20"/>
                <w:color w:val="auto"/>
              </w:rPr>
            </w:pPr>
            <w:r>
              <w:rPr>
                <w:rFonts w:ascii="Arial" w:cs="Arial" w:eastAsia="Arial" w:hAnsi="Arial"/>
                <w:sz w:val="16"/>
                <w:szCs w:val="16"/>
                <w:color w:val="auto"/>
              </w:rPr>
              <w:t>(385,263 )</w:t>
            </w:r>
          </w:p>
        </w:tc>
        <w:tc>
          <w:tcPr>
            <w:tcW w:w="19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2,633,021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6"/>
          </w:tcPr>
          <w:p>
            <w:pPr>
              <w:jc w:val="right"/>
              <w:spacing w:after="0"/>
              <w:rPr>
                <w:sz w:val="20"/>
                <w:szCs w:val="20"/>
                <w:color w:val="auto"/>
              </w:rPr>
            </w:pPr>
            <w:r>
              <w:rPr>
                <w:rFonts w:ascii="Arial" w:cs="Arial" w:eastAsia="Arial" w:hAnsi="Arial"/>
                <w:sz w:val="16"/>
                <w:szCs w:val="16"/>
                <w:color w:val="auto"/>
              </w:rPr>
              <w:t>85.82%</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519,646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10" w:type="dxa"/>
            <w:vAlign w:val="bottom"/>
            <w:gridSpan w:val="2"/>
            <w:shd w:val="clear" w:color="auto" w:fill="CFF0FC"/>
          </w:tcPr>
          <w:p>
            <w:pPr>
              <w:jc w:val="right"/>
              <w:ind w:right="50"/>
              <w:spacing w:after="0"/>
              <w:rPr>
                <w:sz w:val="20"/>
                <w:szCs w:val="20"/>
                <w:color w:val="auto"/>
              </w:rPr>
            </w:pPr>
            <w:r>
              <w:rPr>
                <w:rFonts w:ascii="Arial" w:cs="Arial" w:eastAsia="Arial" w:hAnsi="Arial"/>
                <w:sz w:val="16"/>
                <w:szCs w:val="16"/>
                <w:color w:val="auto"/>
              </w:rPr>
              <w:t>(111,187 )</w:t>
            </w:r>
          </w:p>
        </w:tc>
        <w:tc>
          <w:tcPr>
            <w:tcW w:w="19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408,459</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13.30%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10" w:type="dxa"/>
            <w:vAlign w:val="bottom"/>
            <w:gridSpan w:val="2"/>
          </w:tcPr>
          <w:p>
            <w:pPr>
              <w:jc w:val="right"/>
              <w:ind w:right="50"/>
              <w:spacing w:after="0"/>
              <w:rPr>
                <w:sz w:val="20"/>
                <w:szCs w:val="20"/>
                <w:color w:val="auto"/>
              </w:rPr>
            </w:pPr>
            <w:r>
              <w:rPr>
                <w:rFonts w:ascii="Arial" w:cs="Arial" w:eastAsia="Arial" w:hAnsi="Arial"/>
                <w:sz w:val="16"/>
                <w:szCs w:val="16"/>
                <w:color w:val="auto"/>
              </w:rPr>
              <w:t>(1,283 )</w:t>
            </w:r>
          </w:p>
        </w:tc>
        <w:tc>
          <w:tcPr>
            <w:tcW w:w="1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6"/>
          </w:tcPr>
          <w:p>
            <w:pPr>
              <w:jc w:val="right"/>
              <w:spacing w:after="0"/>
              <w:rPr>
                <w:sz w:val="20"/>
                <w:szCs w:val="20"/>
                <w:color w:val="auto"/>
              </w:rPr>
            </w:pPr>
            <w:r>
              <w:rPr>
                <w:rFonts w:ascii="Arial" w:cs="Arial" w:eastAsia="Arial" w:hAnsi="Arial"/>
                <w:sz w:val="16"/>
                <w:szCs w:val="16"/>
                <w:color w:val="auto"/>
              </w:rPr>
              <w:t>0.83 %</w:t>
            </w: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6"/>
          </w:tcPr>
          <w:p>
            <w:pPr>
              <w:jc w:val="right"/>
              <w:spacing w:after="0"/>
              <w:rPr>
                <w:sz w:val="20"/>
                <w:szCs w:val="20"/>
                <w:color w:val="auto"/>
              </w:rPr>
            </w:pPr>
            <w:r>
              <w:rPr>
                <w:rFonts w:ascii="Arial" w:cs="Arial" w:eastAsia="Arial" w:hAnsi="Arial"/>
                <w:sz w:val="16"/>
                <w:szCs w:val="16"/>
                <w:color w:val="auto"/>
              </w:rPr>
              <w:t>0.05 %</w:t>
            </w:r>
          </w:p>
        </w:tc>
        <w:tc>
          <w:tcPr>
            <w:tcW w:w="0" w:type="dxa"/>
            <w:vAlign w:val="bottom"/>
          </w:tcPr>
          <w:p>
            <w:pPr>
              <w:spacing w:after="0"/>
              <w:rPr>
                <w:sz w:val="1"/>
                <w:szCs w:val="1"/>
                <w:color w:val="auto"/>
              </w:rPr>
            </w:pPr>
          </w:p>
        </w:tc>
      </w:tr>
      <w:tr>
        <w:trPr>
          <w:trHeight w:val="187"/>
        </w:trPr>
        <w:tc>
          <w:tcPr>
            <w:tcW w:w="3700" w:type="dxa"/>
            <w:vAlign w:val="bottom"/>
          </w:tcPr>
          <w:p>
            <w:pPr>
              <w:ind w:left="20"/>
              <w:spacing w:after="0"/>
              <w:rPr>
                <w:sz w:val="20"/>
                <w:szCs w:val="20"/>
                <w:color w:val="auto"/>
              </w:rPr>
            </w:pPr>
            <w:r>
              <w:rPr>
                <w:rFonts w:ascii="Arial" w:cs="Arial" w:eastAsia="Arial" w:hAnsi="Arial"/>
                <w:sz w:val="16"/>
                <w:szCs w:val="16"/>
                <w:color w:val="auto"/>
              </w:rPr>
              <w:t>Unallocated portfolio layer fair value basis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00" w:type="dxa"/>
            <w:vAlign w:val="bottom"/>
          </w:tcPr>
          <w:p>
            <w:pPr>
              <w:ind w:left="20"/>
              <w:spacing w:after="0"/>
              <w:rPr>
                <w:sz w:val="20"/>
                <w:szCs w:val="20"/>
                <w:color w:val="auto"/>
              </w:rPr>
            </w:pPr>
            <w:r>
              <w:rPr>
                <w:rFonts w:ascii="Arial" w:cs="Arial" w:eastAsia="Arial" w:hAnsi="Arial"/>
                <w:sz w:val="16"/>
                <w:szCs w:val="16"/>
                <w:color w:val="auto"/>
              </w:rPr>
              <w:t>adjustments (1)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10" w:type="dxa"/>
            <w:vAlign w:val="bottom"/>
            <w:gridSpan w:val="2"/>
          </w:tcPr>
          <w:p>
            <w:pPr>
              <w:jc w:val="right"/>
              <w:ind w:right="50"/>
              <w:spacing w:after="0"/>
              <w:rPr>
                <w:sz w:val="20"/>
                <w:szCs w:val="20"/>
                <w:color w:val="auto"/>
              </w:rPr>
            </w:pPr>
            <w:r>
              <w:rPr>
                <w:rFonts w:ascii="Arial" w:cs="Arial" w:eastAsia="Arial" w:hAnsi="Arial"/>
                <w:sz w:val="16"/>
                <w:szCs w:val="16"/>
                <w:color w:val="auto"/>
              </w:rPr>
              <w:t>(11,129 )</w:t>
            </w:r>
          </w:p>
        </w:tc>
        <w:tc>
          <w:tcPr>
            <w:tcW w:w="1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5"/>
        </w:trPr>
        <w:tc>
          <w:tcPr>
            <w:tcW w:w="37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3,576,937</w:t>
            </w:r>
          </w:p>
        </w:tc>
        <w:tc>
          <w:tcPr>
            <w:tcW w:w="10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10" w:type="dxa"/>
            <w:vAlign w:val="bottom"/>
            <w:gridSpan w:val="2"/>
            <w:shd w:val="clear" w:color="auto" w:fill="CFF0FC"/>
          </w:tcPr>
          <w:p>
            <w:pPr>
              <w:jc w:val="right"/>
              <w:ind w:right="50"/>
              <w:spacing w:after="0"/>
              <w:rPr>
                <w:sz w:val="20"/>
                <w:szCs w:val="20"/>
                <w:color w:val="auto"/>
              </w:rPr>
            </w:pPr>
            <w:r>
              <w:rPr>
                <w:rFonts w:ascii="Arial" w:cs="Arial" w:eastAsia="Arial" w:hAnsi="Arial"/>
                <w:sz w:val="16"/>
                <w:szCs w:val="16"/>
                <w:color w:val="auto"/>
              </w:rPr>
              <w:t>(508,862 )</w:t>
            </w:r>
          </w:p>
        </w:tc>
        <w:tc>
          <w:tcPr>
            <w:tcW w:w="19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3,068,151</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60" w:type="dxa"/>
            <w:vAlign w:val="bottom"/>
            <w:gridSpan w:val="6"/>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79"/>
        </w:trPr>
        <w:tc>
          <w:tcPr>
            <w:tcW w:w="3700" w:type="dxa"/>
            <w:vAlign w:val="bottom"/>
            <w:tcBorders>
              <w:top w:val="single" w:sz="8" w:color="CFF0FC"/>
            </w:tcBorders>
          </w:tcPr>
          <w:p>
            <w:pPr>
              <w:ind w:left="20"/>
              <w:spacing w:after="0" w:line="179"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10" w:type="dxa"/>
            <w:vAlign w:val="bottom"/>
            <w:tcBorders>
              <w:top w:val="single" w:sz="8" w:color="CFF0FC"/>
            </w:tcBorders>
          </w:tcPr>
          <w:p>
            <w:pPr>
              <w:spacing w:after="0"/>
              <w:rPr>
                <w:sz w:val="15"/>
                <w:szCs w:val="15"/>
                <w:color w:val="auto"/>
              </w:rPr>
            </w:pPr>
          </w:p>
        </w:tc>
        <w:tc>
          <w:tcPr>
            <w:tcW w:w="190" w:type="dxa"/>
            <w:vAlign w:val="bottom"/>
            <w:tcBorders>
              <w:top w:val="single" w:sz="8" w:color="CFF0FC"/>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538,923</w:t>
            </w:r>
          </w:p>
        </w:tc>
        <w:tc>
          <w:tcPr>
            <w:tcW w:w="10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10" w:type="dxa"/>
            <w:vAlign w:val="bottom"/>
            <w:gridSpan w:val="2"/>
            <w:shd w:val="clear" w:color="auto" w:fill="CFF0FC"/>
          </w:tcPr>
          <w:p>
            <w:pPr>
              <w:jc w:val="right"/>
              <w:ind w:right="50"/>
              <w:spacing w:after="0"/>
              <w:rPr>
                <w:sz w:val="20"/>
                <w:szCs w:val="20"/>
                <w:color w:val="auto"/>
              </w:rPr>
            </w:pPr>
            <w:r>
              <w:rPr>
                <w:rFonts w:ascii="Arial" w:cs="Arial" w:eastAsia="Arial" w:hAnsi="Arial"/>
                <w:sz w:val="16"/>
                <w:szCs w:val="16"/>
                <w:color w:val="auto"/>
              </w:rPr>
              <w:t>(105,252 )</w:t>
            </w:r>
          </w:p>
        </w:tc>
        <w:tc>
          <w:tcPr>
            <w:tcW w:w="19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433,671</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21.45%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684,917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10" w:type="dxa"/>
            <w:vAlign w:val="bottom"/>
            <w:gridSpan w:val="2"/>
          </w:tcPr>
          <w:p>
            <w:pPr>
              <w:jc w:val="right"/>
              <w:ind w:right="50"/>
              <w:spacing w:after="0"/>
              <w:rPr>
                <w:sz w:val="20"/>
                <w:szCs w:val="20"/>
                <w:color w:val="auto"/>
              </w:rPr>
            </w:pPr>
            <w:r>
              <w:rPr>
                <w:rFonts w:ascii="Arial" w:cs="Arial" w:eastAsia="Arial" w:hAnsi="Arial"/>
                <w:sz w:val="16"/>
                <w:szCs w:val="16"/>
                <w:color w:val="auto"/>
              </w:rPr>
              <w:t>(103,649 )</w:t>
            </w:r>
          </w:p>
        </w:tc>
        <w:tc>
          <w:tcPr>
            <w:tcW w:w="1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581,268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5"/>
          </w:tcPr>
          <w:p>
            <w:pPr>
              <w:jc w:val="right"/>
              <w:spacing w:after="0"/>
              <w:rPr>
                <w:sz w:val="20"/>
                <w:szCs w:val="20"/>
                <w:color w:val="auto"/>
              </w:rPr>
            </w:pPr>
            <w:r>
              <w:rPr>
                <w:rFonts w:ascii="Arial" w:cs="Arial" w:eastAsia="Arial" w:hAnsi="Arial"/>
                <w:sz w:val="16"/>
                <w:szCs w:val="16"/>
                <w:color w:val="auto"/>
              </w:rPr>
              <w:t>27.26%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817,801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10" w:type="dxa"/>
            <w:vAlign w:val="bottom"/>
            <w:gridSpan w:val="2"/>
            <w:shd w:val="clear" w:color="auto" w:fill="CFF0FC"/>
          </w:tcPr>
          <w:p>
            <w:pPr>
              <w:jc w:val="right"/>
              <w:ind w:right="50"/>
              <w:spacing w:after="0"/>
              <w:rPr>
                <w:sz w:val="20"/>
                <w:szCs w:val="20"/>
                <w:color w:val="auto"/>
              </w:rPr>
            </w:pPr>
            <w:r>
              <w:rPr>
                <w:rFonts w:ascii="Arial" w:cs="Arial" w:eastAsia="Arial" w:hAnsi="Arial"/>
                <w:sz w:val="16"/>
                <w:szCs w:val="16"/>
                <w:color w:val="auto"/>
              </w:rPr>
              <w:t>(155,611 )</w:t>
            </w:r>
          </w:p>
        </w:tc>
        <w:tc>
          <w:tcPr>
            <w:tcW w:w="19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662,190</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32.55%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471,066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10" w:type="dxa"/>
            <w:vAlign w:val="bottom"/>
            <w:gridSpan w:val="2"/>
          </w:tcPr>
          <w:p>
            <w:pPr>
              <w:jc w:val="right"/>
              <w:ind w:right="50"/>
              <w:spacing w:after="0" w:line="287" w:lineRule="exact"/>
              <w:rPr>
                <w:sz w:val="20"/>
                <w:szCs w:val="20"/>
                <w:color w:val="auto"/>
              </w:rPr>
            </w:pPr>
            <w:r>
              <w:rPr>
                <w:rFonts w:ascii="Arial" w:cs="Arial" w:eastAsia="Arial" w:hAnsi="Arial"/>
                <w:sz w:val="16"/>
                <w:szCs w:val="16"/>
                <w:color w:val="auto"/>
              </w:rPr>
              <w:t xml:space="preserve">(41,196 </w:t>
            </w:r>
            <w:r>
              <w:rPr>
                <w:rFonts w:ascii="Arial" w:cs="Arial" w:eastAsia="Arial" w:hAnsi="Arial"/>
                <w:sz w:val="31"/>
                <w:szCs w:val="31"/>
                <w:color w:val="auto"/>
                <w:vertAlign w:val="subscript"/>
              </w:rPr>
              <w:t>)</w:t>
            </w: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431,524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5"/>
          </w:tcPr>
          <w:p>
            <w:pPr>
              <w:jc w:val="right"/>
              <w:spacing w:after="0"/>
              <w:rPr>
                <w:sz w:val="20"/>
                <w:szCs w:val="20"/>
                <w:color w:val="auto"/>
              </w:rPr>
            </w:pPr>
            <w:r>
              <w:rPr>
                <w:rFonts w:ascii="Arial" w:cs="Arial" w:eastAsia="Arial" w:hAnsi="Arial"/>
                <w:sz w:val="16"/>
                <w:szCs w:val="16"/>
                <w:color w:val="auto"/>
              </w:rPr>
              <w:t>18.74%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2,512,707</w:t>
            </w:r>
          </w:p>
        </w:tc>
        <w:tc>
          <w:tcPr>
            <w:tcW w:w="10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1,654</w:t>
            </w:r>
          </w:p>
        </w:tc>
        <w:tc>
          <w:tcPr>
            <w:tcW w:w="2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10" w:type="dxa"/>
            <w:vAlign w:val="bottom"/>
            <w:gridSpan w:val="2"/>
            <w:shd w:val="clear" w:color="auto" w:fill="CFF0FC"/>
          </w:tcPr>
          <w:p>
            <w:pPr>
              <w:jc w:val="right"/>
              <w:ind w:right="50"/>
              <w:spacing w:after="0"/>
              <w:rPr>
                <w:sz w:val="20"/>
                <w:szCs w:val="20"/>
                <w:color w:val="auto"/>
              </w:rPr>
            </w:pPr>
            <w:r>
              <w:rPr>
                <w:rFonts w:ascii="Arial" w:cs="Arial" w:eastAsia="Arial" w:hAnsi="Arial"/>
                <w:sz w:val="16"/>
                <w:szCs w:val="16"/>
                <w:color w:val="auto"/>
              </w:rPr>
              <w:t>(405,708 )</w:t>
            </w:r>
          </w:p>
        </w:tc>
        <w:tc>
          <w:tcPr>
            <w:tcW w:w="19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2,108,653</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60" w:type="dxa"/>
            <w:vAlign w:val="bottom"/>
            <w:gridSpan w:val="6"/>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80"/>
        </w:trPr>
        <w:tc>
          <w:tcPr>
            <w:tcW w:w="37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gridSpan w:val="2"/>
          </w:tcPr>
          <w:p>
            <w:pPr>
              <w:spacing w:after="0"/>
              <w:rPr>
                <w:sz w:val="15"/>
                <w:szCs w:val="15"/>
                <w:color w:val="auto"/>
              </w:rPr>
            </w:pPr>
          </w:p>
        </w:tc>
        <w:tc>
          <w:tcPr>
            <w:tcW w:w="110" w:type="dxa"/>
            <w:vAlign w:val="bottom"/>
            <w:tcBorders>
              <w:top w:val="single" w:sz="8" w:color="CFF0FC"/>
            </w:tcBorders>
          </w:tcPr>
          <w:p>
            <w:pPr>
              <w:spacing w:after="0"/>
              <w:rPr>
                <w:sz w:val="15"/>
                <w:szCs w:val="15"/>
                <w:color w:val="auto"/>
              </w:rPr>
            </w:pPr>
          </w:p>
        </w:tc>
        <w:tc>
          <w:tcPr>
            <w:tcW w:w="190" w:type="dxa"/>
            <w:vAlign w:val="bottom"/>
            <w:tcBorders>
              <w:top w:val="single" w:sz="8" w:color="CFF0FC"/>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7"/>
              </w:rPr>
              <w:t>December 31, 2022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40"/>
              <w:spacing w:after="0" w:line="177" w:lineRule="exact"/>
              <w:rPr>
                <w:sz w:val="20"/>
                <w:szCs w:val="20"/>
                <w:color w:val="auto"/>
              </w:rPr>
            </w:pPr>
            <w:r>
              <w:rPr>
                <w:rFonts w:ascii="Arial" w:cs="Arial" w:eastAsia="Arial" w:hAnsi="Arial"/>
                <w:sz w:val="16"/>
                <w:szCs w:val="16"/>
                <w:b w:val="1"/>
                <w:bCs w:val="1"/>
                <w:color w:val="auto"/>
                <w:w w:val="95"/>
              </w:rPr>
              <w:t>Gross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420"/>
              <w:spacing w:after="0" w:line="177" w:lineRule="exact"/>
              <w:rPr>
                <w:sz w:val="20"/>
                <w:szCs w:val="20"/>
                <w:color w:val="auto"/>
              </w:rPr>
            </w:pPr>
            <w:r>
              <w:rPr>
                <w:rFonts w:ascii="Arial" w:cs="Arial" w:eastAsia="Arial" w:hAnsi="Arial"/>
                <w:sz w:val="16"/>
                <w:szCs w:val="16"/>
                <w:b w:val="1"/>
                <w:bCs w:val="1"/>
                <w:color w:val="auto"/>
                <w:w w:val="95"/>
              </w:rPr>
              <w:t>Gross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line="180" w:lineRule="exact"/>
              <w:rPr>
                <w:sz w:val="20"/>
                <w:szCs w:val="20"/>
                <w:color w:val="auto"/>
              </w:rPr>
            </w:pPr>
            <w:r>
              <w:rPr>
                <w:rFonts w:ascii="Arial" w:cs="Arial" w:eastAsia="Arial" w:hAnsi="Arial"/>
                <w:sz w:val="16"/>
                <w:szCs w:val="16"/>
                <w:b w:val="1"/>
                <w:bCs w:val="1"/>
                <w:color w:val="auto"/>
                <w:w w:val="99"/>
              </w:rPr>
              <w:t>Amortized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40"/>
              <w:spacing w:after="0" w:line="180" w:lineRule="exact"/>
              <w:rPr>
                <w:sz w:val="20"/>
                <w:szCs w:val="20"/>
                <w:color w:val="auto"/>
              </w:rPr>
            </w:pPr>
            <w:r>
              <w:rPr>
                <w:rFonts w:ascii="Arial" w:cs="Arial" w:eastAsia="Arial" w:hAnsi="Arial"/>
                <w:sz w:val="16"/>
                <w:szCs w:val="16"/>
                <w:b w:val="1"/>
                <w:bCs w:val="1"/>
                <w:color w:val="auto"/>
                <w:w w:val="98"/>
              </w:rPr>
              <w:t>Unrealized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440"/>
              <w:spacing w:after="0" w:line="180" w:lineRule="exact"/>
              <w:rPr>
                <w:sz w:val="20"/>
                <w:szCs w:val="20"/>
                <w:color w:val="auto"/>
              </w:rPr>
            </w:pPr>
            <w:r>
              <w:rPr>
                <w:rFonts w:ascii="Arial" w:cs="Arial" w:eastAsia="Arial" w:hAnsi="Arial"/>
                <w:sz w:val="16"/>
                <w:szCs w:val="16"/>
                <w:b w:val="1"/>
                <w:bCs w:val="1"/>
                <w:color w:val="auto"/>
                <w:w w:val="96"/>
              </w:rPr>
              <w:t>Unrealized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242"/>
              <w:spacing w:after="0" w:line="180"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Cost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6"/>
              </w:rPr>
              <w:t>Holding Gain</w:t>
            </w:r>
          </w:p>
        </w:tc>
        <w:tc>
          <w:tcPr>
            <w:tcW w:w="300" w:type="dxa"/>
            <w:vAlign w:val="bottom"/>
          </w:tcPr>
          <w:p>
            <w:pPr>
              <w:spacing w:after="0"/>
              <w:rPr>
                <w:sz w:val="18"/>
                <w:szCs w:val="18"/>
                <w:color w:val="auto"/>
              </w:rPr>
            </w:pPr>
          </w:p>
        </w:tc>
        <w:tc>
          <w:tcPr>
            <w:tcW w:w="14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8"/>
              </w:rPr>
              <w:t>Holding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b w:val="1"/>
                <w:bCs w:val="1"/>
                <w:color w:val="auto"/>
              </w:rPr>
              <w:t>Percent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6"/>
                <w:szCs w:val="16"/>
                <w:i w:val="1"/>
                <w:iCs w:val="1"/>
                <w:color w:val="auto"/>
                <w:w w:val="96"/>
              </w:rPr>
              <w:t>(Dollars in thousands)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0" w:type="dxa"/>
            <w:vAlign w:val="bottom"/>
            <w:shd w:val="clear" w:color="auto" w:fill="CFF0FC"/>
          </w:tcPr>
          <w:p>
            <w:pPr>
              <w:spacing w:after="0"/>
              <w:rPr>
                <w:sz w:val="17"/>
                <w:szCs w:val="17"/>
                <w:color w:val="auto"/>
              </w:rPr>
            </w:pPr>
          </w:p>
        </w:tc>
        <w:tc>
          <w:tcPr>
            <w:tcW w:w="19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3,192,151</w:t>
            </w:r>
          </w:p>
        </w:tc>
        <w:tc>
          <w:tcPr>
            <w:tcW w:w="10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10" w:type="dxa"/>
            <w:vAlign w:val="bottom"/>
            <w:gridSpan w:val="2"/>
          </w:tcPr>
          <w:p>
            <w:pPr>
              <w:jc w:val="right"/>
              <w:ind w:right="30"/>
              <w:spacing w:after="0"/>
              <w:rPr>
                <w:sz w:val="20"/>
                <w:szCs w:val="20"/>
                <w:color w:val="auto"/>
              </w:rPr>
            </w:pPr>
            <w:r>
              <w:rPr>
                <w:rFonts w:ascii="Arial" w:cs="Arial" w:eastAsia="Arial" w:hAnsi="Arial"/>
                <w:sz w:val="16"/>
                <w:szCs w:val="16"/>
                <w:color w:val="auto"/>
              </w:rPr>
              <w:t>(403,049 )</w:t>
            </w:r>
          </w:p>
        </w:tc>
        <w:tc>
          <w:tcPr>
            <w:tcW w:w="19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2,789,141</w:t>
            </w:r>
          </w:p>
        </w:tc>
        <w:tc>
          <w:tcPr>
            <w:tcW w:w="80" w:type="dxa"/>
            <w:vAlign w:val="bottom"/>
          </w:tcPr>
          <w:p>
            <w:pPr>
              <w:spacing w:after="0"/>
              <w:rPr>
                <w:sz w:val="17"/>
                <w:szCs w:val="17"/>
                <w:color w:val="auto"/>
              </w:rPr>
            </w:pPr>
          </w:p>
        </w:tc>
        <w:tc>
          <w:tcPr>
            <w:tcW w:w="1300" w:type="dxa"/>
            <w:vAlign w:val="bottom"/>
            <w:gridSpan w:val="5"/>
          </w:tcPr>
          <w:p>
            <w:pPr>
              <w:jc w:val="right"/>
              <w:spacing w:after="0"/>
              <w:rPr>
                <w:sz w:val="20"/>
                <w:szCs w:val="20"/>
                <w:color w:val="auto"/>
              </w:rPr>
            </w:pPr>
            <w:r>
              <w:rPr>
                <w:rFonts w:ascii="Arial" w:cs="Arial" w:eastAsia="Arial" w:hAnsi="Arial"/>
                <w:sz w:val="16"/>
                <w:szCs w:val="16"/>
                <w:color w:val="auto"/>
              </w:rPr>
              <w:t>85.68%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535,269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10" w:type="dxa"/>
            <w:vAlign w:val="bottom"/>
            <w:gridSpan w:val="2"/>
            <w:shd w:val="clear" w:color="auto" w:fill="CFF0FC"/>
          </w:tcPr>
          <w:p>
            <w:pPr>
              <w:jc w:val="right"/>
              <w:ind w:right="30"/>
              <w:spacing w:after="0"/>
              <w:rPr>
                <w:sz w:val="20"/>
                <w:szCs w:val="20"/>
                <w:color w:val="auto"/>
              </w:rPr>
            </w:pPr>
            <w:r>
              <w:rPr>
                <w:rFonts w:ascii="Arial" w:cs="Arial" w:eastAsia="Arial" w:hAnsi="Arial"/>
                <w:sz w:val="16"/>
                <w:szCs w:val="16"/>
                <w:color w:val="auto"/>
              </w:rPr>
              <w:t>(95,966 )</w:t>
            </w:r>
          </w:p>
        </w:tc>
        <w:tc>
          <w:tcPr>
            <w:tcW w:w="19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439,303</w:t>
            </w:r>
          </w:p>
        </w:tc>
        <w:tc>
          <w:tcPr>
            <w:tcW w:w="80" w:type="dxa"/>
            <w:vAlign w:val="bottom"/>
            <w:shd w:val="clear" w:color="auto" w:fill="CFF0FC"/>
          </w:tcPr>
          <w:p>
            <w:pPr>
              <w:spacing w:after="0"/>
              <w:rPr>
                <w:sz w:val="17"/>
                <w:szCs w:val="17"/>
                <w:color w:val="auto"/>
              </w:rPr>
            </w:pPr>
          </w:p>
        </w:tc>
        <w:tc>
          <w:tcPr>
            <w:tcW w:w="130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10" w:type="dxa"/>
            <w:vAlign w:val="bottom"/>
            <w:gridSpan w:val="2"/>
          </w:tcPr>
          <w:p>
            <w:pPr>
              <w:jc w:val="right"/>
              <w:ind w:right="30"/>
              <w:spacing w:after="0"/>
              <w:rPr>
                <w:sz w:val="20"/>
                <w:szCs w:val="20"/>
                <w:color w:val="auto"/>
              </w:rPr>
            </w:pPr>
            <w:r>
              <w:rPr>
                <w:rFonts w:ascii="Arial" w:cs="Arial" w:eastAsia="Arial" w:hAnsi="Arial"/>
                <w:sz w:val="16"/>
                <w:szCs w:val="16"/>
                <w:color w:val="auto"/>
              </w:rPr>
              <w:t>(1,177 )</w:t>
            </w:r>
          </w:p>
        </w:tc>
        <w:tc>
          <w:tcPr>
            <w:tcW w:w="1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25,687</w:t>
            </w:r>
          </w:p>
        </w:tc>
        <w:tc>
          <w:tcPr>
            <w:tcW w:w="80" w:type="dxa"/>
            <w:vAlign w:val="bottom"/>
          </w:tcPr>
          <w:p>
            <w:pPr>
              <w:spacing w:after="0"/>
              <w:rPr>
                <w:sz w:val="17"/>
                <w:szCs w:val="17"/>
                <w:color w:val="auto"/>
              </w:rPr>
            </w:pPr>
          </w:p>
        </w:tc>
        <w:tc>
          <w:tcPr>
            <w:tcW w:w="1360" w:type="dxa"/>
            <w:vAlign w:val="bottom"/>
            <w:gridSpan w:val="6"/>
          </w:tcPr>
          <w:p>
            <w:pPr>
              <w:jc w:val="right"/>
              <w:spacing w:after="0"/>
              <w:rPr>
                <w:sz w:val="20"/>
                <w:szCs w:val="20"/>
                <w:color w:val="auto"/>
              </w:rPr>
            </w:pPr>
            <w:r>
              <w:rPr>
                <w:rFonts w:ascii="Arial" w:cs="Arial" w:eastAsia="Arial" w:hAnsi="Arial"/>
                <w:sz w:val="16"/>
                <w:szCs w:val="16"/>
                <w:color w:val="auto"/>
              </w:rPr>
              <w:t>0.79 %</w:t>
            </w:r>
          </w:p>
        </w:tc>
        <w:tc>
          <w:tcPr>
            <w:tcW w:w="0" w:type="dxa"/>
            <w:vAlign w:val="bottom"/>
          </w:tcPr>
          <w:p>
            <w:pPr>
              <w:spacing w:after="0"/>
              <w:rPr>
                <w:sz w:val="1"/>
                <w:szCs w:val="1"/>
                <w:color w:val="auto"/>
              </w:rPr>
            </w:pPr>
          </w:p>
        </w:tc>
      </w:tr>
      <w:tr>
        <w:trPr>
          <w:trHeight w:val="205"/>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1,080</w:t>
            </w:r>
          </w:p>
        </w:tc>
        <w:tc>
          <w:tcPr>
            <w:tcW w:w="80" w:type="dxa"/>
            <w:vAlign w:val="bottom"/>
          </w:tcPr>
          <w:p>
            <w:pPr>
              <w:spacing w:after="0"/>
              <w:rPr>
                <w:sz w:val="17"/>
                <w:szCs w:val="17"/>
                <w:color w:val="auto"/>
              </w:rPr>
            </w:pPr>
          </w:p>
        </w:tc>
        <w:tc>
          <w:tcPr>
            <w:tcW w:w="1360" w:type="dxa"/>
            <w:vAlign w:val="bottom"/>
            <w:gridSpan w:val="6"/>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05"/>
        </w:trPr>
        <w:tc>
          <w:tcPr>
            <w:tcW w:w="3700" w:type="dxa"/>
            <w:vAlign w:val="bottom"/>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3,755,297</w:t>
            </w:r>
          </w:p>
        </w:tc>
        <w:tc>
          <w:tcPr>
            <w:tcW w:w="10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10" w:type="dxa"/>
            <w:vAlign w:val="bottom"/>
            <w:gridSpan w:val="2"/>
          </w:tcPr>
          <w:p>
            <w:pPr>
              <w:jc w:val="right"/>
              <w:ind w:right="30"/>
              <w:spacing w:after="0"/>
              <w:rPr>
                <w:sz w:val="20"/>
                <w:szCs w:val="20"/>
                <w:color w:val="auto"/>
              </w:rPr>
            </w:pPr>
            <w:r>
              <w:rPr>
                <w:rFonts w:ascii="Arial" w:cs="Arial" w:eastAsia="Arial" w:hAnsi="Arial"/>
                <w:sz w:val="16"/>
                <w:szCs w:val="16"/>
                <w:color w:val="auto"/>
              </w:rPr>
              <w:t>(500,192 )</w:t>
            </w:r>
          </w:p>
        </w:tc>
        <w:tc>
          <w:tcPr>
            <w:tcW w:w="19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3,255,211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5"/>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10" w:type="dxa"/>
            <w:vAlign w:val="bottom"/>
            <w:shd w:val="clear" w:color="auto" w:fill="CFF0FC"/>
          </w:tcPr>
          <w:p>
            <w:pPr>
              <w:spacing w:after="0"/>
              <w:rPr>
                <w:sz w:val="15"/>
                <w:szCs w:val="15"/>
                <w:color w:val="auto"/>
              </w:rPr>
            </w:pPr>
          </w:p>
        </w:tc>
        <w:tc>
          <w:tcPr>
            <w:tcW w:w="19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548,771</w:t>
            </w:r>
          </w:p>
        </w:tc>
        <w:tc>
          <w:tcPr>
            <w:tcW w:w="100" w:type="dxa"/>
            <w:vAlign w:val="bottom"/>
          </w:tcPr>
          <w:p>
            <w:pPr>
              <w:spacing w:after="0"/>
              <w:rPr>
                <w:sz w:val="17"/>
                <w:szCs w:val="17"/>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10" w:type="dxa"/>
            <w:vAlign w:val="bottom"/>
            <w:gridSpan w:val="2"/>
            <w:vMerge w:val="restart"/>
          </w:tcPr>
          <w:p>
            <w:pPr>
              <w:jc w:val="right"/>
              <w:ind w:right="30"/>
              <w:spacing w:after="0"/>
              <w:rPr>
                <w:sz w:val="20"/>
                <w:szCs w:val="20"/>
                <w:color w:val="auto"/>
              </w:rPr>
            </w:pPr>
            <w:r>
              <w:rPr>
                <w:rFonts w:ascii="Arial" w:cs="Arial" w:eastAsia="Arial" w:hAnsi="Arial"/>
                <w:sz w:val="16"/>
                <w:szCs w:val="16"/>
                <w:color w:val="auto"/>
              </w:rPr>
              <w:t>(114,343 )</w:t>
            </w:r>
          </w:p>
        </w:tc>
        <w:tc>
          <w:tcPr>
            <w:tcW w:w="190" w:type="dxa"/>
            <w:vAlign w:val="bottom"/>
          </w:tcPr>
          <w:p>
            <w:pPr>
              <w:spacing w:after="0"/>
              <w:rPr>
                <w:sz w:val="17"/>
                <w:szCs w:val="17"/>
                <w:color w:val="auto"/>
              </w:rPr>
            </w:pP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434,428</w:t>
            </w:r>
          </w:p>
        </w:tc>
        <w:tc>
          <w:tcPr>
            <w:tcW w:w="80" w:type="dxa"/>
            <w:vAlign w:val="bottom"/>
          </w:tcPr>
          <w:p>
            <w:pPr>
              <w:spacing w:after="0"/>
              <w:rPr>
                <w:sz w:val="17"/>
                <w:szCs w:val="17"/>
                <w:color w:val="auto"/>
              </w:rPr>
            </w:pPr>
          </w:p>
        </w:tc>
        <w:tc>
          <w:tcPr>
            <w:tcW w:w="1300" w:type="dxa"/>
            <w:vAlign w:val="bottom"/>
            <w:gridSpan w:val="5"/>
            <w:vMerge w:val="restart"/>
          </w:tcPr>
          <w:p>
            <w:pPr>
              <w:jc w:val="right"/>
              <w:spacing w:after="0"/>
              <w:rPr>
                <w:sz w:val="20"/>
                <w:szCs w:val="20"/>
                <w:color w:val="auto"/>
              </w:rPr>
            </w:pPr>
            <w:r>
              <w:rPr>
                <w:rFonts w:ascii="Arial" w:cs="Arial" w:eastAsia="Arial" w:hAnsi="Arial"/>
                <w:sz w:val="16"/>
                <w:szCs w:val="16"/>
                <w:color w:val="auto"/>
              </w:rPr>
              <w:t>21.48%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7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110" w:type="dxa"/>
            <w:vAlign w:val="bottom"/>
            <w:gridSpan w:val="2"/>
            <w:vMerge w:val="continue"/>
          </w:tcPr>
          <w:p>
            <w:pPr>
              <w:spacing w:after="0"/>
              <w:rPr>
                <w:sz w:val="10"/>
                <w:szCs w:val="10"/>
                <w:color w:val="auto"/>
              </w:rPr>
            </w:pPr>
          </w:p>
        </w:tc>
        <w:tc>
          <w:tcPr>
            <w:tcW w:w="19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706,796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10" w:type="dxa"/>
            <w:vAlign w:val="bottom"/>
            <w:gridSpan w:val="2"/>
            <w:shd w:val="clear" w:color="auto" w:fill="CFF0FC"/>
          </w:tcPr>
          <w:p>
            <w:pPr>
              <w:jc w:val="right"/>
              <w:ind w:right="30"/>
              <w:spacing w:after="0"/>
              <w:rPr>
                <w:sz w:val="20"/>
                <w:szCs w:val="20"/>
                <w:color w:val="auto"/>
              </w:rPr>
            </w:pPr>
            <w:r>
              <w:rPr>
                <w:rFonts w:ascii="Arial" w:cs="Arial" w:eastAsia="Arial" w:hAnsi="Arial"/>
                <w:sz w:val="16"/>
                <w:szCs w:val="16"/>
                <w:color w:val="auto"/>
              </w:rPr>
              <w:t>(105,867 )</w:t>
            </w:r>
          </w:p>
        </w:tc>
        <w:tc>
          <w:tcPr>
            <w:tcW w:w="19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600,929</w:t>
            </w:r>
          </w:p>
        </w:tc>
        <w:tc>
          <w:tcPr>
            <w:tcW w:w="80" w:type="dxa"/>
            <w:vAlign w:val="bottom"/>
            <w:shd w:val="clear" w:color="auto" w:fill="CFF0FC"/>
          </w:tcPr>
          <w:p>
            <w:pPr>
              <w:spacing w:after="0"/>
              <w:rPr>
                <w:sz w:val="17"/>
                <w:szCs w:val="17"/>
                <w:color w:val="auto"/>
              </w:rPr>
            </w:pPr>
          </w:p>
        </w:tc>
        <w:tc>
          <w:tcPr>
            <w:tcW w:w="130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27.67%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827,346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10" w:type="dxa"/>
            <w:vAlign w:val="bottom"/>
            <w:gridSpan w:val="2"/>
          </w:tcPr>
          <w:p>
            <w:pPr>
              <w:jc w:val="right"/>
              <w:ind w:right="30"/>
              <w:spacing w:after="0"/>
              <w:rPr>
                <w:sz w:val="20"/>
                <w:szCs w:val="20"/>
                <w:color w:val="auto"/>
              </w:rPr>
            </w:pPr>
            <w:r>
              <w:rPr>
                <w:rFonts w:ascii="Arial" w:cs="Arial" w:eastAsia="Arial" w:hAnsi="Arial"/>
                <w:sz w:val="16"/>
                <w:szCs w:val="16"/>
                <w:color w:val="auto"/>
              </w:rPr>
              <w:t>(131,730 )</w:t>
            </w:r>
          </w:p>
        </w:tc>
        <w:tc>
          <w:tcPr>
            <w:tcW w:w="1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695,616</w:t>
            </w:r>
          </w:p>
        </w:tc>
        <w:tc>
          <w:tcPr>
            <w:tcW w:w="80" w:type="dxa"/>
            <w:vAlign w:val="bottom"/>
          </w:tcPr>
          <w:p>
            <w:pPr>
              <w:spacing w:after="0"/>
              <w:rPr>
                <w:sz w:val="17"/>
                <w:szCs w:val="17"/>
                <w:color w:val="auto"/>
              </w:rPr>
            </w:pPr>
          </w:p>
        </w:tc>
        <w:tc>
          <w:tcPr>
            <w:tcW w:w="1300" w:type="dxa"/>
            <w:vAlign w:val="bottom"/>
            <w:gridSpan w:val="5"/>
          </w:tcPr>
          <w:p>
            <w:pPr>
              <w:jc w:val="right"/>
              <w:spacing w:after="0"/>
              <w:rPr>
                <w:sz w:val="20"/>
                <w:szCs w:val="20"/>
                <w:color w:val="auto"/>
              </w:rPr>
            </w:pPr>
            <w:r>
              <w:rPr>
                <w:rFonts w:ascii="Arial" w:cs="Arial" w:eastAsia="Arial" w:hAnsi="Arial"/>
                <w:sz w:val="16"/>
                <w:szCs w:val="16"/>
                <w:color w:val="auto"/>
              </w:rPr>
              <w:t>32.39%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471,388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10" w:type="dxa"/>
            <w:vAlign w:val="bottom"/>
            <w:gridSpan w:val="2"/>
            <w:shd w:val="clear" w:color="auto" w:fill="CFF0FC"/>
          </w:tcPr>
          <w:p>
            <w:pPr>
              <w:jc w:val="right"/>
              <w:ind w:right="30"/>
              <w:spacing w:after="0"/>
              <w:rPr>
                <w:sz w:val="20"/>
                <w:szCs w:val="20"/>
                <w:color w:val="auto"/>
              </w:rPr>
            </w:pPr>
            <w:r>
              <w:rPr>
                <w:rFonts w:ascii="Arial" w:cs="Arial" w:eastAsia="Arial" w:hAnsi="Arial"/>
                <w:sz w:val="16"/>
                <w:szCs w:val="16"/>
                <w:color w:val="auto"/>
              </w:rPr>
              <w:t>(47,687 )</w:t>
            </w:r>
          </w:p>
        </w:tc>
        <w:tc>
          <w:tcPr>
            <w:tcW w:w="19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424,614</w:t>
            </w:r>
          </w:p>
        </w:tc>
        <w:tc>
          <w:tcPr>
            <w:tcW w:w="80" w:type="dxa"/>
            <w:vAlign w:val="bottom"/>
            <w:shd w:val="clear" w:color="auto" w:fill="CFF0FC"/>
          </w:tcPr>
          <w:p>
            <w:pPr>
              <w:spacing w:after="0"/>
              <w:rPr>
                <w:sz w:val="17"/>
                <w:szCs w:val="17"/>
                <w:color w:val="auto"/>
              </w:rPr>
            </w:pPr>
          </w:p>
        </w:tc>
        <w:tc>
          <w:tcPr>
            <w:tcW w:w="130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18.46%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00" w:type="dxa"/>
            <w:vAlign w:val="bottom"/>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2,554,301</w:t>
            </w:r>
          </w:p>
        </w:tc>
        <w:tc>
          <w:tcPr>
            <w:tcW w:w="10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913</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10" w:type="dxa"/>
            <w:vAlign w:val="bottom"/>
            <w:gridSpan w:val="2"/>
          </w:tcPr>
          <w:p>
            <w:pPr>
              <w:jc w:val="right"/>
              <w:ind w:right="30"/>
              <w:spacing w:after="0"/>
              <w:rPr>
                <w:sz w:val="20"/>
                <w:szCs w:val="20"/>
                <w:color w:val="auto"/>
              </w:rPr>
            </w:pPr>
            <w:r>
              <w:rPr>
                <w:rFonts w:ascii="Arial" w:cs="Arial" w:eastAsia="Arial" w:hAnsi="Arial"/>
                <w:sz w:val="16"/>
                <w:szCs w:val="16"/>
                <w:color w:val="auto"/>
              </w:rPr>
              <w:t>(399,627 )</w:t>
            </w:r>
          </w:p>
        </w:tc>
        <w:tc>
          <w:tcPr>
            <w:tcW w:w="19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2,155,587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5"/>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right="60" w:firstLine="432"/>
        <w:spacing w:after="0" w:line="243" w:lineRule="auto"/>
        <w:rPr>
          <w:sz w:val="20"/>
          <w:szCs w:val="20"/>
          <w:color w:val="auto"/>
        </w:rPr>
      </w:pPr>
      <w:r>
        <w:rPr>
          <w:rFonts w:ascii="Arial" w:cs="Arial" w:eastAsia="Arial" w:hAnsi="Arial"/>
          <w:sz w:val="16"/>
          <w:szCs w:val="16"/>
          <w:color w:val="auto"/>
        </w:rPr>
        <w:t>As of June 30, 2023, approximately $34.0 million in U.S. government agency bonds are callable. The Agency CMO/REMIC securities are backed by agency -pooled collateral. Municipal bonds, which represented approximately 9% of the total investment portfolio, are predominately AA or higher rated securities.</w:t>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56</w:t>
      </w:r>
    </w:p>
    <w:p>
      <w:pPr>
        <w:sectPr>
          <w:pgSz w:w="11900" w:h="16840" w:orient="portrait"/>
          <w:cols w:equalWidth="0" w:num="1">
            <w:col w:w="10620"/>
          </w:cols>
          <w:pgMar w:left="660" w:top="790" w:right="620" w:bottom="1440" w:gutter="0" w:footer="0" w:header="0"/>
        </w:sectPr>
      </w:pPr>
    </w:p>
    <w:bookmarkStart w:id="56" w:name="page57"/>
    <w:bookmarkEnd w:id="56"/>
    <w:p>
      <w:pPr>
        <w:ind w:right="200"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following table presents the Company’s AFS investment securities and HTM investment securities, by investment category, in an unrealized loss position for which an allowance for credit losses has not been recorded as of June 30, 2023 and December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12 Months or Longer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Holding</w:t>
            </w: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center"/>
              <w:ind w:right="3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80,414</w:t>
            </w:r>
          </w:p>
        </w:tc>
        <w:tc>
          <w:tcPr>
            <w:tcW w:w="12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(3,322 )</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2,551,205</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(381,941 )</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2,631,619</w:t>
            </w:r>
          </w:p>
        </w:tc>
        <w:tc>
          <w:tcPr>
            <w:tcW w:w="8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(385,263 )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407,711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(111,170 )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408,456</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(111,187 )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(47 )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17,940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(1,236 )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24,382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(1,283 )</w:t>
            </w:r>
          </w:p>
        </w:tc>
      </w:tr>
      <w:tr>
        <w:trPr>
          <w:trHeight w:val="23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87,601</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(3,386 )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2,976,856</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(494,347 )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3,064,457</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(497,733 )</w:t>
            </w:r>
          </w:p>
        </w:tc>
      </w:tr>
      <w:tr>
        <w:trPr>
          <w:trHeight w:val="165"/>
        </w:trPr>
        <w:tc>
          <w:tcPr>
            <w:tcW w:w="334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14,155</w:t>
            </w:r>
          </w:p>
        </w:tc>
        <w:tc>
          <w:tcPr>
            <w:tcW w:w="12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(619 )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419,516</w:t>
            </w:r>
          </w:p>
        </w:tc>
        <w:tc>
          <w:tcPr>
            <w:tcW w:w="10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(104,633 )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433,671</w:t>
            </w:r>
          </w:p>
        </w:tc>
        <w:tc>
          <w:tcPr>
            <w:tcW w:w="8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(105,252 )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91,805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(3,138 )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489,463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(100,511 )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581,268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(103,649 )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47,110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(2,884 )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615,080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(152,727 )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662,190</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(155,611 )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92,899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(2,499 )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253,674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(38,697 )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346,573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(41,196 )</w:t>
            </w:r>
          </w:p>
        </w:tc>
      </w:tr>
      <w:tr>
        <w:trPr>
          <w:trHeight w:val="23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245,969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(9,140 )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1,777,733</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(396,568 )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2,023,702</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(405,708 )</w:t>
            </w:r>
          </w:p>
        </w:tc>
      </w:tr>
      <w:tr>
        <w:trPr>
          <w:trHeight w:val="180"/>
        </w:trPr>
        <w:tc>
          <w:tcPr>
            <w:tcW w:w="33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gridSpan w:val="2"/>
          </w:tcPr>
          <w:p>
            <w:pPr>
              <w:spacing w:after="0"/>
              <w:rPr>
                <w:sz w:val="15"/>
                <w:szCs w:val="15"/>
                <w:color w:val="auto"/>
              </w:rPr>
            </w:pPr>
          </w:p>
        </w:tc>
        <w:tc>
          <w:tcPr>
            <w:tcW w:w="96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12 Months or Longer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4"/>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Holding</w:t>
            </w:r>
          </w:p>
        </w:tc>
        <w:tc>
          <w:tcPr>
            <w:tcW w:w="80" w:type="dxa"/>
            <w:vAlign w:val="bottom"/>
          </w:tcPr>
          <w:p>
            <w:pPr>
              <w:spacing w:after="0"/>
              <w:rPr>
                <w:sz w:val="14"/>
                <w:szCs w:val="14"/>
                <w:color w:val="auto"/>
              </w:rPr>
            </w:pP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7"/>
                <w:szCs w:val="17"/>
                <w:color w:val="auto"/>
              </w:rPr>
            </w:pP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center"/>
              <w:ind w:right="3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1,658,331</w:t>
            </w:r>
          </w:p>
        </w:tc>
        <w:tc>
          <w:tcPr>
            <w:tcW w:w="12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(187,842 )</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1,129,257</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(215,207 )</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2,787,588</w:t>
            </w:r>
          </w:p>
        </w:tc>
        <w:tc>
          <w:tcPr>
            <w:tcW w:w="8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(403,049 )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54,005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(4,796 )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385,295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(91,170 )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439,300</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(95,966 )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(1,177 )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(1,177 )</w:t>
            </w:r>
          </w:p>
        </w:tc>
      </w:tr>
      <w:tr>
        <w:trPr>
          <w:trHeight w:val="23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1,736,843</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(193,815 )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1,514,552</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(306,377 )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3,251,395</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(500,192 )</w:t>
            </w:r>
          </w:p>
        </w:tc>
      </w:tr>
      <w:tr>
        <w:trPr>
          <w:trHeight w:val="357"/>
        </w:trPr>
        <w:tc>
          <w:tcPr>
            <w:tcW w:w="3340" w:type="dxa"/>
            <w:vAlign w:val="bottom"/>
            <w:tcBorders>
              <w:top w:val="single" w:sz="8" w:color="CFF0FC"/>
            </w:tcBorders>
          </w:tcPr>
          <w:p>
            <w:pPr>
              <w:ind w:left="18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179,348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(39,866 )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255,080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(74,477 )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434,428</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(114,343 )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188,480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(9,042 )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412,449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(96,825 )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600,929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(105,867 )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376,540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(60,598 )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319,076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(71,132 )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695,616</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(131,730 )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312,702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(35,656 )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53,350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(12,031 )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366,052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(47,687 )</w:t>
            </w:r>
          </w:p>
        </w:tc>
      </w:tr>
      <w:tr>
        <w:trPr>
          <w:trHeight w:val="21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1,057,070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(145,162 )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1,039,955</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(254,465 )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2,097,025</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(399,627 )</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3" w:lineRule="exact"/>
        <w:rPr>
          <w:sz w:val="20"/>
          <w:szCs w:val="20"/>
          <w:color w:val="auto"/>
        </w:rPr>
      </w:pPr>
    </w:p>
    <w:p>
      <w:pPr>
        <w:jc w:val="both"/>
        <w:ind w:right="260" w:firstLine="432"/>
        <w:spacing w:after="0" w:line="243" w:lineRule="auto"/>
        <w:rPr>
          <w:sz w:val="20"/>
          <w:szCs w:val="20"/>
          <w:color w:val="auto"/>
        </w:rPr>
      </w:pPr>
      <w:r>
        <w:rPr>
          <w:rFonts w:ascii="Arial" w:cs="Arial" w:eastAsia="Arial" w:hAnsi="Arial"/>
          <w:sz w:val="16"/>
          <w:szCs w:val="16"/>
          <w:color w:val="auto"/>
        </w:rPr>
        <w:t>Once it is determined that a credit loss has occurred, an allowance for credit losses is established on our available- for- sale and held-to-maturity securities. Management determined that credit losses did not exist for securities in an unrealized loss position as of June 30, 2023 and December 31, 2022.</w:t>
      </w:r>
    </w:p>
    <w:p>
      <w:pPr>
        <w:spacing w:after="0" w:line="155" w:lineRule="exact"/>
        <w:rPr>
          <w:sz w:val="20"/>
          <w:szCs w:val="20"/>
          <w:color w:val="auto"/>
        </w:rPr>
      </w:pPr>
    </w:p>
    <w:p>
      <w:pPr>
        <w:ind w:right="480" w:firstLine="348"/>
        <w:spacing w:after="0" w:line="259" w:lineRule="auto"/>
        <w:rPr>
          <w:sz w:val="20"/>
          <w:szCs w:val="20"/>
          <w:color w:val="auto"/>
        </w:rPr>
      </w:pPr>
      <w:r>
        <w:rPr>
          <w:rFonts w:ascii="Arial" w:cs="Arial" w:eastAsia="Arial" w:hAnsi="Arial"/>
          <w:sz w:val="16"/>
          <w:szCs w:val="16"/>
          <w:color w:val="auto"/>
        </w:rPr>
        <w:t xml:space="preserve">Refer to Note 5 – </w:t>
      </w:r>
      <w:r>
        <w:rPr>
          <w:rFonts w:ascii="Arial" w:cs="Arial" w:eastAsia="Arial" w:hAnsi="Arial"/>
          <w:sz w:val="16"/>
          <w:szCs w:val="16"/>
          <w:i w:val="1"/>
          <w:iCs w:val="1"/>
          <w:color w:val="auto"/>
        </w:rPr>
        <w:t>Investment Securities</w:t>
      </w:r>
      <w:r>
        <w:rPr>
          <w:rFonts w:ascii="Arial" w:cs="Arial" w:eastAsia="Arial" w:hAnsi="Arial"/>
          <w:sz w:val="16"/>
          <w:szCs w:val="16"/>
          <w:color w:val="auto"/>
        </w:rPr>
        <w:t xml:space="preserve"> of the notes to the unaudited condensed consolidated financial statements of this report for additional information on our investment securities portfolio.</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40" w:orient="portrait"/>
          <w:cols w:equalWidth="0" w:num="1">
            <w:col w:w="10560"/>
          </w:cols>
          <w:pgMar w:left="660" w:top="790" w:right="680"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Loans</w:t>
      </w:r>
    </w:p>
    <w:p>
      <w:pPr>
        <w:spacing w:after="0" w:line="184" w:lineRule="exact"/>
        <w:rPr>
          <w:sz w:val="20"/>
          <w:szCs w:val="20"/>
          <w:color w:val="auto"/>
        </w:rPr>
      </w:pPr>
    </w:p>
    <w:p>
      <w:pPr>
        <w:ind w:firstLine="519"/>
        <w:spacing w:after="0" w:line="238" w:lineRule="auto"/>
        <w:rPr>
          <w:sz w:val="20"/>
          <w:szCs w:val="20"/>
          <w:color w:val="auto"/>
        </w:rPr>
      </w:pPr>
      <w:r>
        <w:rPr>
          <w:rFonts w:ascii="Arial" w:cs="Arial" w:eastAsia="Arial" w:hAnsi="Arial"/>
          <w:sz w:val="16"/>
          <w:szCs w:val="16"/>
          <w:color w:val="auto"/>
        </w:rPr>
        <w:t>Total loans and leases, at amortized cost, of $8.91 billion at June 30, 2023 decreased by $172.0 million, or 1.89%, from December 31, 2022. After adjusting for seasonality of dairy and livestock and PPP loans, our core loans declined by $31.9 million, or 0.37%, from the end of the fourth quarter. The $172.0 million decrease in total loans included decreases of $136.0 million in dairy &amp; livestock loans, $19.4 million in construction loans, $12.0 million in SBA loans, $4.1 million in PPP loans, and $ 21.8 million in consumer and other loans, partially offset by increases of $ 19.1 million in commercial real estate loans and $7.6 million in commercial and industrial loans. Commercial and industrial line utilization was 31% at June 30, 2023, compared to 33% at the end of 2022. The decline in dairy &amp; livestock loans primarily relates to the seasonal peak in line utilization at the end of every calendar year, demonstrated by a decline in utilization from 78% at the end of 2022 to 68% at June 30, 2023.</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loan portfolio by type as of the dates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3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Distribution of Loan Portfolio by Type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3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December 31, 2022</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60" w:type="dxa"/>
            <w:vAlign w:val="bottom"/>
            <w:gridSpan w:val="6"/>
          </w:tcPr>
          <w:p>
            <w:pPr>
              <w:jc w:val="right"/>
              <w:ind w:right="1380"/>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3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6,904,095</w:t>
            </w: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6,884,948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68,836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88,271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278,904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290,908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shd w:val="clear" w:color="auto" w:fill="CFF0FC"/>
          </w:tcPr>
          <w:p>
            <w:pPr>
              <w:spacing w:after="0"/>
              <w:rPr>
                <w:sz w:val="6"/>
                <w:szCs w:val="6"/>
                <w:color w:val="auto"/>
              </w:rPr>
            </w:pPr>
          </w:p>
        </w:tc>
        <w:tc>
          <w:tcPr>
            <w:tcW w:w="278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5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64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SBA - Paycheck Protection Program (PPP)</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956,242</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948,683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298,247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433,564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77,867</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263,201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266,024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54,988</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rPr>
                <w:sz w:val="20"/>
                <w:szCs w:val="20"/>
                <w:color w:val="auto"/>
              </w:rPr>
            </w:pPr>
            <w:r>
              <w:rPr>
                <w:rFonts w:ascii="Arial" w:cs="Arial" w:eastAsia="Arial" w:hAnsi="Arial"/>
                <w:sz w:val="16"/>
                <w:szCs w:val="16"/>
                <w:color w:val="auto"/>
              </w:rPr>
              <w:t>Total loans, at amortized cost</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8,907,397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9,079,392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(86,967 )</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(85,117 )</w:t>
            </w:r>
          </w:p>
        </w:tc>
        <w:tc>
          <w:tcPr>
            <w:tcW w:w="0" w:type="dxa"/>
            <w:vAlign w:val="bottom"/>
          </w:tcPr>
          <w:p>
            <w:pPr>
              <w:spacing w:after="0"/>
              <w:rPr>
                <w:sz w:val="1"/>
                <w:szCs w:val="1"/>
                <w:color w:val="auto"/>
              </w:rPr>
            </w:pPr>
          </w:p>
        </w:tc>
      </w:tr>
      <w:tr>
        <w:trPr>
          <w:trHeight w:val="204"/>
        </w:trPr>
        <w:tc>
          <w:tcPr>
            <w:tcW w:w="3720" w:type="dxa"/>
            <w:vAlign w:val="bottom"/>
          </w:tcPr>
          <w:p>
            <w:pPr>
              <w:ind w:left="380"/>
              <w:spacing w:after="0"/>
              <w:rPr>
                <w:sz w:val="20"/>
                <w:szCs w:val="20"/>
                <w:color w:val="auto"/>
              </w:rPr>
            </w:pPr>
            <w:r>
              <w:rPr>
                <w:rFonts w:ascii="Arial" w:cs="Arial" w:eastAsia="Arial" w:hAnsi="Arial"/>
                <w:sz w:val="16"/>
                <w:szCs w:val="16"/>
                <w:color w:val="auto"/>
              </w:rPr>
              <w:t>Total loans and lease finance receivables, net</w:t>
            </w:r>
          </w:p>
        </w:tc>
        <w:tc>
          <w:tcPr>
            <w:tcW w:w="3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8,820,430</w:t>
            </w:r>
          </w:p>
        </w:tc>
        <w:tc>
          <w:tcPr>
            <w:tcW w:w="1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8,994,275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right="120" w:firstLine="432"/>
        <w:spacing w:after="0" w:line="238" w:lineRule="auto"/>
        <w:rPr>
          <w:sz w:val="20"/>
          <w:szCs w:val="20"/>
          <w:color w:val="auto"/>
        </w:rPr>
      </w:pPr>
      <w:r>
        <w:rPr>
          <w:rFonts w:ascii="Arial" w:cs="Arial" w:eastAsia="Arial" w:hAnsi="Arial"/>
          <w:sz w:val="16"/>
          <w:szCs w:val="16"/>
          <w:color w:val="auto"/>
        </w:rPr>
        <w:t>As of June 30, 2023, $517.6 million, or 7.50% of the total commercial real estate loans included loans secured by farmland, compared to $517.8 million, or 7.52%, at December 31, 2022. The loans secured by farmland included $135.8 million for loans secured by dairy &amp; livestock land and $381.8 million for loans secured by agricultural land at June 30, 2023, compared to $140.5 million for loans secured by dairy &amp; livestock land and $377.3 million for loans secured by agricultural land at December 31, 2022. As of June 30, 2023, dairy &amp; livestock and agribusiness loans of $298.2 million were comprised of $252.5 million of dairy &amp; livestock loans and $45.7 million of agribusiness loans, compared to $433.6 million comprised of $388.5 million of dairy &amp; livestock loans and $45.1 million of agribusiness loans December 31, 2022.</w:t>
      </w:r>
    </w:p>
    <w:p>
      <w:pPr>
        <w:spacing w:after="0" w:line="166" w:lineRule="exact"/>
        <w:rPr>
          <w:sz w:val="20"/>
          <w:szCs w:val="20"/>
          <w:color w:val="auto"/>
        </w:rPr>
      </w:pPr>
    </w:p>
    <w:p>
      <w:pPr>
        <w:ind w:right="160" w:firstLine="432"/>
        <w:spacing w:after="0" w:line="238" w:lineRule="auto"/>
        <w:rPr>
          <w:sz w:val="20"/>
          <w:szCs w:val="20"/>
          <w:color w:val="auto"/>
        </w:rPr>
      </w:pPr>
      <w:r>
        <w:rPr>
          <w:rFonts w:ascii="Arial" w:cs="Arial" w:eastAsia="Arial" w:hAnsi="Arial"/>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66"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As of June 30, 2023, the Company had $ 201.3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June 30, 2023, the Company had $77.6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40" w:orient="portrait"/>
          <w:cols w:equalWidth="0" w:num="1">
            <w:col w:w="10580"/>
          </w:cols>
          <w:pgMar w:left="660" w:top="782" w:right="660" w:bottom="1440" w:gutter="0" w:footer="0" w:header="0"/>
        </w:sectPr>
      </w:pPr>
    </w:p>
    <w:bookmarkStart w:id="58" w:name="page59"/>
    <w:bookmarkEnd w:id="58"/>
    <w:p>
      <w:pPr>
        <w:ind w:right="260" w:firstLine="432"/>
        <w:spacing w:after="0" w:line="24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As of June 30, 2023, the Company had $68.8 million in construction loans. This represented 0.77% of total gross loans held-for-investment. Although our construction loans are located throughout our market footprint, the majority of construction loans consist of commercial land development and construction projects throughout California. There were no nonperforming construction loans at June 30, 2023.</w:t>
      </w:r>
    </w:p>
    <w:p>
      <w:pPr>
        <w:spacing w:after="0" w:line="161" w:lineRule="exact"/>
        <w:rPr>
          <w:sz w:val="20"/>
          <w:szCs w:val="20"/>
          <w:color w:val="auto"/>
        </w:rPr>
      </w:pPr>
    </w:p>
    <w:p>
      <w:pPr>
        <w:ind w:right="740" w:firstLine="432"/>
        <w:spacing w:after="0" w:line="252" w:lineRule="auto"/>
        <w:rPr>
          <w:sz w:val="20"/>
          <w:szCs w:val="20"/>
          <w:color w:val="auto"/>
        </w:rPr>
      </w:pPr>
      <w:r>
        <w:rPr>
          <w:rFonts w:ascii="Arial" w:cs="Arial" w:eastAsia="Arial" w:hAnsi="Arial"/>
          <w:sz w:val="16"/>
          <w:szCs w:val="16"/>
          <w:color w:val="auto"/>
        </w:rPr>
        <w:t>Our loan portfolio is geographically disbursed throughout our marketplace. The following is the breakdown of our total held-for-investment commercial real estate loans, by region as of June 30,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June 30, 2023</w:t>
            </w:r>
          </w:p>
        </w:tc>
        <w:tc>
          <w:tcPr>
            <w:tcW w:w="14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Commercial Real</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gridSpan w:val="3"/>
          </w:tcPr>
          <w:p>
            <w:pPr>
              <w:ind w:left="500"/>
              <w:spacing w:after="0"/>
              <w:rPr>
                <w:sz w:val="20"/>
                <w:szCs w:val="20"/>
                <w:color w:val="auto"/>
              </w:rPr>
            </w:pPr>
            <w:r>
              <w:rPr>
                <w:rFonts w:ascii="Arial" w:cs="Arial" w:eastAsia="Arial" w:hAnsi="Arial"/>
                <w:sz w:val="14"/>
                <w:szCs w:val="14"/>
                <w:b w:val="1"/>
                <w:bCs w:val="1"/>
                <w:color w:val="auto"/>
              </w:rPr>
              <w:t>Total Loans</w:t>
            </w:r>
          </w:p>
        </w:tc>
        <w:tc>
          <w:tcPr>
            <w:tcW w:w="1720" w:type="dxa"/>
            <w:vAlign w:val="bottom"/>
            <w:gridSpan w:val="3"/>
            <w:vMerge w:val="restart"/>
          </w:tcPr>
          <w:p>
            <w:pPr>
              <w:jc w:val="right"/>
              <w:ind w:right="48"/>
              <w:spacing w:after="0"/>
              <w:rPr>
                <w:sz w:val="20"/>
                <w:szCs w:val="20"/>
                <w:color w:val="auto"/>
              </w:rPr>
            </w:pPr>
            <w:r>
              <w:rPr>
                <w:rFonts w:ascii="Arial" w:cs="Arial" w:eastAsia="Arial" w:hAnsi="Arial"/>
                <w:sz w:val="14"/>
                <w:szCs w:val="14"/>
                <w:i w:val="1"/>
                <w:iCs w:val="1"/>
                <w:color w:val="auto"/>
              </w:rPr>
              <w:t>(Dollars in thousands)</w:t>
            </w: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Estate Loans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Los Angeles County</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3,351,184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37.6 %</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2,413,332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35.0 %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Central Valley and Sacramento</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2,087,446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23.4 %</w:t>
            </w: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1,722,781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Orange County</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1,126,986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12.7 %</w:t>
            </w: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720,381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Inland Empire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1,008,354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11.3 %</w:t>
            </w: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904,227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Central Coast</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477,620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5.4 %</w:t>
            </w: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396,447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San Diego</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345,031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3.9 %</w:t>
            </w: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346,049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Other California</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152,945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1.7 %</w:t>
            </w: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92,685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95"/>
        </w:trPr>
        <w:tc>
          <w:tcPr>
            <w:tcW w:w="4740" w:type="dxa"/>
            <w:vAlign w:val="bottom"/>
          </w:tcPr>
          <w:p>
            <w:pPr>
              <w:ind w:left="20"/>
              <w:spacing w:after="0"/>
              <w:rPr>
                <w:sz w:val="20"/>
                <w:szCs w:val="20"/>
                <w:color w:val="auto"/>
              </w:rPr>
            </w:pPr>
            <w:r>
              <w:rPr>
                <w:rFonts w:ascii="Arial" w:cs="Arial" w:eastAsia="Arial" w:hAnsi="Arial"/>
                <w:sz w:val="14"/>
                <w:szCs w:val="14"/>
                <w:color w:val="auto"/>
              </w:rPr>
              <w:t>Out of State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357,831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4.0 %</w:t>
            </w: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308,193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8,907,397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6,904,095</w:t>
            </w:r>
          </w:p>
        </w:tc>
        <w:tc>
          <w:tcPr>
            <w:tcW w:w="10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breaks down our commercial real estate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June 30, 2023</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4"/>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left="88"/>
              <w:spacing w:after="0"/>
              <w:rPr>
                <w:sz w:val="20"/>
                <w:szCs w:val="20"/>
                <w:color w:val="auto"/>
              </w:rPr>
            </w:pPr>
            <w:r>
              <w:rPr>
                <w:rFonts w:ascii="Arial" w:cs="Arial" w:eastAsia="Arial" w:hAnsi="Arial"/>
                <w:sz w:val="14"/>
                <w:szCs w:val="14"/>
                <w:b w:val="1"/>
                <w:bCs w:val="1"/>
                <w:color w:val="auto"/>
              </w:rPr>
              <w:t>Percent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left="128"/>
              <w:spacing w:after="0"/>
              <w:rPr>
                <w:sz w:val="20"/>
                <w:szCs w:val="20"/>
                <w:color w:val="auto"/>
              </w:rPr>
            </w:pPr>
            <w:r>
              <w:rPr>
                <w:rFonts w:ascii="Arial" w:cs="Arial" w:eastAsia="Arial" w:hAnsi="Arial"/>
                <w:sz w:val="14"/>
                <w:szCs w:val="14"/>
                <w:b w:val="1"/>
                <w:bCs w:val="1"/>
                <w:color w:val="auto"/>
                <w:w w:val="99"/>
              </w:rPr>
              <w:t>Owner-</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Average</w:t>
            </w:r>
          </w:p>
        </w:tc>
      </w:tr>
      <w:tr>
        <w:trPr>
          <w:trHeight w:val="196"/>
        </w:trPr>
        <w:tc>
          <w:tcPr>
            <w:tcW w:w="4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Loan Balance</w:t>
            </w:r>
          </w:p>
        </w:tc>
        <w:tc>
          <w:tcPr>
            <w:tcW w:w="180" w:type="dxa"/>
            <w:vAlign w:val="bottom"/>
          </w:tcPr>
          <w:p>
            <w:pPr>
              <w:spacing w:after="0"/>
              <w:rPr>
                <w:sz w:val="17"/>
                <w:szCs w:val="17"/>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Percent</w:t>
            </w:r>
          </w:p>
        </w:tc>
        <w:tc>
          <w:tcPr>
            <w:tcW w:w="1080" w:type="dxa"/>
            <w:vAlign w:val="bottom"/>
          </w:tcPr>
          <w:p>
            <w:pPr>
              <w:jc w:val="center"/>
              <w:ind w:left="128"/>
              <w:spacing w:after="0"/>
              <w:rPr>
                <w:sz w:val="20"/>
                <w:szCs w:val="20"/>
                <w:color w:val="auto"/>
              </w:rPr>
            </w:pPr>
            <w:r>
              <w:rPr>
                <w:rFonts w:ascii="Arial" w:cs="Arial" w:eastAsia="Arial" w:hAnsi="Arial"/>
                <w:sz w:val="14"/>
                <w:szCs w:val="14"/>
                <w:b w:val="1"/>
                <w:bCs w:val="1"/>
                <w:color w:val="auto"/>
              </w:rPr>
              <w:t>Occupied (1)</w:t>
            </w:r>
          </w:p>
        </w:tc>
        <w:tc>
          <w:tcPr>
            <w:tcW w:w="520" w:type="dxa"/>
            <w:vAlign w:val="bottom"/>
          </w:tcPr>
          <w:p>
            <w:pPr>
              <w:spacing w:after="0"/>
              <w:rPr>
                <w:sz w:val="17"/>
                <w:szCs w:val="17"/>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Loan Balance</w:t>
            </w:r>
          </w:p>
        </w:tc>
      </w:tr>
      <w:tr>
        <w:trPr>
          <w:trHeight w:val="189"/>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3"/>
          </w:tcPr>
          <w:p>
            <w:pPr>
              <w:jc w:val="center"/>
              <w:ind w:right="128"/>
              <w:spacing w:after="0"/>
              <w:rPr>
                <w:sz w:val="20"/>
                <w:szCs w:val="20"/>
                <w:color w:val="auto"/>
              </w:rPr>
            </w:pPr>
            <w:r>
              <w:rPr>
                <w:rFonts w:ascii="Arial" w:cs="Arial" w:eastAsia="Arial" w:hAnsi="Arial"/>
                <w:sz w:val="14"/>
                <w:szCs w:val="14"/>
                <w:i w:val="1"/>
                <w:iCs w:val="1"/>
                <w:color w:val="auto"/>
              </w:rPr>
              <w:t>(Dollars in thousands)</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4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r>
      <w:tr>
        <w:trPr>
          <w:trHeight w:val="189"/>
        </w:trPr>
        <w:tc>
          <w:tcPr>
            <w:tcW w:w="4780" w:type="dxa"/>
            <w:vAlign w:val="bottom"/>
          </w:tcPr>
          <w:p>
            <w:pPr>
              <w:ind w:left="100"/>
              <w:spacing w:after="0"/>
              <w:rPr>
                <w:sz w:val="20"/>
                <w:szCs w:val="20"/>
                <w:color w:val="auto"/>
              </w:rPr>
            </w:pPr>
            <w:r>
              <w:rPr>
                <w:rFonts w:ascii="Arial" w:cs="Arial" w:eastAsia="Arial" w:hAnsi="Arial"/>
                <w:sz w:val="14"/>
                <w:szCs w:val="14"/>
                <w:color w:val="auto"/>
              </w:rPr>
              <w:t>Industrial</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2,287,710</w:t>
            </w:r>
          </w:p>
        </w:tc>
        <w:tc>
          <w:tcPr>
            <w:tcW w:w="100" w:type="dxa"/>
            <w:vAlign w:val="bottom"/>
          </w:tcPr>
          <w:p>
            <w:pPr>
              <w:spacing w:after="0"/>
              <w:rPr>
                <w:sz w:val="16"/>
                <w:szCs w:val="16"/>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33.1 %</w:t>
            </w:r>
          </w:p>
        </w:tc>
        <w:tc>
          <w:tcPr>
            <w:tcW w:w="108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48.9 %</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1,622</w:t>
            </w:r>
          </w:p>
        </w:tc>
      </w:tr>
      <w:tr>
        <w:trPr>
          <w:trHeight w:val="195"/>
        </w:trPr>
        <w:tc>
          <w:tcPr>
            <w:tcW w:w="47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Office</w:t>
            </w: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1,144,586</w:t>
            </w:r>
          </w:p>
        </w:tc>
        <w:tc>
          <w:tcPr>
            <w:tcW w:w="100" w:type="dxa"/>
            <w:vAlign w:val="bottom"/>
            <w:shd w:val="clear" w:color="auto" w:fill="CFF0FC"/>
          </w:tcPr>
          <w:p>
            <w:pPr>
              <w:spacing w:after="0"/>
              <w:rPr>
                <w:sz w:val="16"/>
                <w:szCs w:val="16"/>
                <w:color w:val="auto"/>
              </w:rPr>
            </w:pPr>
          </w:p>
        </w:tc>
        <w:tc>
          <w:tcPr>
            <w:tcW w:w="15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16.6 %</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1"/>
              </w:rPr>
              <w:t>25.0 %</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1,671</w:t>
            </w:r>
          </w:p>
        </w:tc>
      </w:tr>
      <w:tr>
        <w:trPr>
          <w:trHeight w:val="189"/>
        </w:trPr>
        <w:tc>
          <w:tcPr>
            <w:tcW w:w="4780" w:type="dxa"/>
            <w:vAlign w:val="bottom"/>
          </w:tcPr>
          <w:p>
            <w:pPr>
              <w:ind w:left="100"/>
              <w:spacing w:after="0"/>
              <w:rPr>
                <w:sz w:val="20"/>
                <w:szCs w:val="20"/>
                <w:color w:val="auto"/>
              </w:rPr>
            </w:pPr>
            <w:r>
              <w:rPr>
                <w:rFonts w:ascii="Arial" w:cs="Arial" w:eastAsia="Arial" w:hAnsi="Arial"/>
                <w:sz w:val="14"/>
                <w:szCs w:val="14"/>
                <w:color w:val="auto"/>
              </w:rPr>
              <w:t>Retail</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979,826</w:t>
            </w:r>
          </w:p>
        </w:tc>
        <w:tc>
          <w:tcPr>
            <w:tcW w:w="100" w:type="dxa"/>
            <w:vAlign w:val="bottom"/>
          </w:tcPr>
          <w:p>
            <w:pPr>
              <w:spacing w:after="0"/>
              <w:rPr>
                <w:sz w:val="16"/>
                <w:szCs w:val="16"/>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14.2 %</w:t>
            </w:r>
          </w:p>
        </w:tc>
        <w:tc>
          <w:tcPr>
            <w:tcW w:w="108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11.0 %</w:t>
            </w:r>
          </w:p>
        </w:tc>
        <w:tc>
          <w:tcPr>
            <w:tcW w:w="2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1,716</w:t>
            </w:r>
          </w:p>
        </w:tc>
      </w:tr>
      <w:tr>
        <w:trPr>
          <w:trHeight w:val="195"/>
        </w:trPr>
        <w:tc>
          <w:tcPr>
            <w:tcW w:w="47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Multi-family</w:t>
            </w: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836,978</w:t>
            </w:r>
          </w:p>
        </w:tc>
        <w:tc>
          <w:tcPr>
            <w:tcW w:w="100" w:type="dxa"/>
            <w:vAlign w:val="bottom"/>
            <w:shd w:val="clear" w:color="auto" w:fill="CFF0FC"/>
          </w:tcPr>
          <w:p>
            <w:pPr>
              <w:spacing w:after="0"/>
              <w:rPr>
                <w:sz w:val="16"/>
                <w:szCs w:val="16"/>
                <w:color w:val="auto"/>
              </w:rPr>
            </w:pPr>
          </w:p>
        </w:tc>
        <w:tc>
          <w:tcPr>
            <w:tcW w:w="15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12.1 %</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0.0 %</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1,594</w:t>
            </w:r>
          </w:p>
        </w:tc>
      </w:tr>
      <w:tr>
        <w:trPr>
          <w:trHeight w:val="189"/>
        </w:trPr>
        <w:tc>
          <w:tcPr>
            <w:tcW w:w="4780" w:type="dxa"/>
            <w:vAlign w:val="bottom"/>
          </w:tcPr>
          <w:p>
            <w:pPr>
              <w:ind w:left="100"/>
              <w:spacing w:after="0"/>
              <w:rPr>
                <w:sz w:val="20"/>
                <w:szCs w:val="20"/>
                <w:color w:val="auto"/>
              </w:rPr>
            </w:pPr>
            <w:r>
              <w:rPr>
                <w:rFonts w:ascii="Arial" w:cs="Arial" w:eastAsia="Arial" w:hAnsi="Arial"/>
                <w:sz w:val="14"/>
                <w:szCs w:val="14"/>
                <w:color w:val="auto"/>
              </w:rPr>
              <w:t>Secured by farmland (2)</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517,635</w:t>
            </w:r>
          </w:p>
        </w:tc>
        <w:tc>
          <w:tcPr>
            <w:tcW w:w="100" w:type="dxa"/>
            <w:vAlign w:val="bottom"/>
          </w:tcPr>
          <w:p>
            <w:pPr>
              <w:spacing w:after="0"/>
              <w:rPr>
                <w:sz w:val="16"/>
                <w:szCs w:val="16"/>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7.5 %</w:t>
            </w:r>
          </w:p>
        </w:tc>
        <w:tc>
          <w:tcPr>
            <w:tcW w:w="108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98.6 %</w:t>
            </w:r>
          </w:p>
        </w:tc>
        <w:tc>
          <w:tcPr>
            <w:tcW w:w="2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1,522</w:t>
            </w:r>
          </w:p>
        </w:tc>
      </w:tr>
      <w:tr>
        <w:trPr>
          <w:trHeight w:val="195"/>
        </w:trPr>
        <w:tc>
          <w:tcPr>
            <w:tcW w:w="47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Medical</w:t>
            </w: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318,641</w:t>
            </w:r>
          </w:p>
        </w:tc>
        <w:tc>
          <w:tcPr>
            <w:tcW w:w="100" w:type="dxa"/>
            <w:vAlign w:val="bottom"/>
            <w:shd w:val="clear" w:color="auto" w:fill="CFF0FC"/>
          </w:tcPr>
          <w:p>
            <w:pPr>
              <w:spacing w:after="0"/>
              <w:rPr>
                <w:sz w:val="16"/>
                <w:szCs w:val="16"/>
                <w:color w:val="auto"/>
              </w:rPr>
            </w:pPr>
          </w:p>
        </w:tc>
        <w:tc>
          <w:tcPr>
            <w:tcW w:w="15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4.6 %</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1"/>
              </w:rPr>
              <w:t>33.4 %</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1,532</w:t>
            </w:r>
          </w:p>
        </w:tc>
      </w:tr>
      <w:tr>
        <w:trPr>
          <w:trHeight w:val="189"/>
        </w:trPr>
        <w:tc>
          <w:tcPr>
            <w:tcW w:w="4780" w:type="dxa"/>
            <w:vAlign w:val="bottom"/>
          </w:tcPr>
          <w:p>
            <w:pPr>
              <w:ind w:left="100"/>
              <w:spacing w:after="0"/>
              <w:rPr>
                <w:sz w:val="20"/>
                <w:szCs w:val="20"/>
                <w:color w:val="auto"/>
              </w:rPr>
            </w:pPr>
            <w:r>
              <w:rPr>
                <w:rFonts w:ascii="Arial" w:cs="Arial" w:eastAsia="Arial" w:hAnsi="Arial"/>
                <w:sz w:val="14"/>
                <w:szCs w:val="14"/>
                <w:color w:val="auto"/>
              </w:rPr>
              <w:t>Other (3)</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818,719</w:t>
            </w:r>
          </w:p>
        </w:tc>
        <w:tc>
          <w:tcPr>
            <w:tcW w:w="100" w:type="dxa"/>
            <w:vAlign w:val="bottom"/>
          </w:tcPr>
          <w:p>
            <w:pPr>
              <w:spacing w:after="0"/>
              <w:rPr>
                <w:sz w:val="16"/>
                <w:szCs w:val="16"/>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11.9 %</w:t>
            </w:r>
          </w:p>
        </w:tc>
        <w:tc>
          <w:tcPr>
            <w:tcW w:w="108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43.8 %</w:t>
            </w:r>
          </w:p>
        </w:tc>
        <w:tc>
          <w:tcPr>
            <w:tcW w:w="2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1,596</w:t>
            </w:r>
          </w:p>
        </w:tc>
      </w:tr>
      <w:tr>
        <w:trPr>
          <w:trHeight w:val="215"/>
        </w:trPr>
        <w:tc>
          <w:tcPr>
            <w:tcW w:w="47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commercial real estate</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6,904,095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100.0 %</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1"/>
              </w:rPr>
              <w:t>36.0 %</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1,624</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r>
    </w:tbl>
    <w:p>
      <w:pPr>
        <w:spacing w:after="0" w:line="173" w:lineRule="exact"/>
        <w:rPr>
          <w:sz w:val="20"/>
          <w:szCs w:val="20"/>
          <w:color w:val="auto"/>
        </w:rPr>
      </w:pPr>
    </w:p>
    <w:p>
      <w:pPr>
        <w:ind w:left="780"/>
        <w:spacing w:after="0"/>
        <w:rPr>
          <w:sz w:val="20"/>
          <w:szCs w:val="20"/>
          <w:color w:val="auto"/>
        </w:rPr>
      </w:pPr>
      <w:r>
        <w:rPr>
          <w:rFonts w:ascii="Arial" w:cs="Arial" w:eastAsia="Arial" w:hAnsi="Arial"/>
          <w:sz w:val="13"/>
          <w:szCs w:val="13"/>
          <w:color w:val="auto"/>
        </w:rPr>
        <w:t>(1)Represents percentage of reported owner-occupied at origination in each real estate loan category.</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(2)The loans secured by farmland included $135.8 million for loans secured by dairy &amp; livestock land and $381.8 million for loans secured by agricultural land at June</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30, 2023.</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(3)Other loans consist of a variety of loan types, none of which exceeded 2.0% of total commercial real estate loans at June 30, 2023.</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59</w:t>
      </w:r>
    </w:p>
    <w:p>
      <w:pPr>
        <w:sectPr>
          <w:pgSz w:w="11900" w:h="16840" w:orient="portrait"/>
          <w:cols w:equalWidth="0" w:num="1">
            <w:col w:w="10620"/>
          </w:cols>
          <w:pgMar w:left="660" w:top="970" w:right="620"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Nonperforming Assets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on nonperforming assets as of the dates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June 30, 2023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16"/>
                <w:szCs w:val="16"/>
                <w:color w:val="auto"/>
              </w:rPr>
            </w:pPr>
          </w:p>
        </w:tc>
        <w:tc>
          <w:tcPr>
            <w:tcW w:w="3940" w:type="dxa"/>
            <w:vAlign w:val="bottom"/>
            <w:gridSpan w:val="8"/>
          </w:tcPr>
          <w:p>
            <w:pPr>
              <w:jc w:val="right"/>
              <w:ind w:right="1340"/>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195"/>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Nonaccrual loans</w:t>
            </w:r>
          </w:p>
        </w:tc>
        <w:tc>
          <w:tcPr>
            <w:tcW w:w="1380" w:type="dxa"/>
            <w:vAlign w:val="bottom"/>
            <w:shd w:val="clear" w:color="auto" w:fill="CFF0FC"/>
          </w:tcPr>
          <w:p>
            <w:pPr>
              <w:jc w:val="right"/>
              <w:ind w:right="120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4,930</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color w:val="auto"/>
              </w:rPr>
              <w:t>Loans past due 90 days or more and still accruing interest</w:t>
            </w:r>
          </w:p>
        </w:tc>
        <w:tc>
          <w:tcPr>
            <w:tcW w:w="1380" w:type="dxa"/>
            <w:vAlign w:val="bottom"/>
          </w:tcPr>
          <w:p>
            <w:pPr>
              <w:spacing w:after="0"/>
              <w:rPr>
                <w:sz w:val="16"/>
                <w:szCs w:val="16"/>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Nonperforming modified loans / troubled debt restructured loans (TDRs)</w:t>
            </w:r>
          </w:p>
        </w:tc>
        <w:tc>
          <w:tcPr>
            <w:tcW w:w="138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tcPr>
          <w:p>
            <w:pPr>
              <w:ind w:left="180"/>
              <w:spacing w:after="0"/>
              <w:rPr>
                <w:sz w:val="20"/>
                <w:szCs w:val="20"/>
                <w:color w:val="auto"/>
              </w:rPr>
            </w:pPr>
            <w:r>
              <w:rPr>
                <w:rFonts w:ascii="Arial" w:cs="Arial" w:eastAsia="Arial" w:hAnsi="Arial"/>
                <w:sz w:val="14"/>
                <w:szCs w:val="14"/>
                <w:b w:val="1"/>
                <w:bCs w:val="1"/>
                <w:color w:val="auto"/>
              </w:rPr>
              <w:t>Total nonperforming loans</w:t>
            </w:r>
          </w:p>
        </w:tc>
        <w:tc>
          <w:tcPr>
            <w:tcW w:w="13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6,454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4,930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OREO, net</w:t>
            </w:r>
          </w:p>
        </w:tc>
        <w:tc>
          <w:tcPr>
            <w:tcW w:w="138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Total nonperforming assets</w:t>
            </w:r>
          </w:p>
        </w:tc>
        <w:tc>
          <w:tcPr>
            <w:tcW w:w="13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Modified loans / Performing TDRs</w:t>
            </w:r>
          </w:p>
        </w:tc>
        <w:tc>
          <w:tcPr>
            <w:tcW w:w="1380" w:type="dxa"/>
            <w:vAlign w:val="bottom"/>
            <w:tcBorders>
              <w:bottom w:val="single" w:sz="8" w:color="auto"/>
            </w:tcBorders>
            <w:shd w:val="clear" w:color="auto" w:fill="CFF0FC"/>
          </w:tcPr>
          <w:p>
            <w:pPr>
              <w:jc w:val="right"/>
              <w:ind w:right="12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7,817</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680" w:type="dxa"/>
            <w:vAlign w:val="bottom"/>
          </w:tcPr>
          <w:p>
            <w:pPr>
              <w:ind w:left="20"/>
              <w:spacing w:after="0"/>
              <w:rPr>
                <w:sz w:val="20"/>
                <w:szCs w:val="20"/>
                <w:color w:val="auto"/>
              </w:rPr>
            </w:pPr>
            <w:r>
              <w:rPr>
                <w:rFonts w:ascii="Arial" w:cs="Arial" w:eastAsia="Arial" w:hAnsi="Arial"/>
                <w:sz w:val="14"/>
                <w:szCs w:val="14"/>
                <w:color w:val="auto"/>
              </w:rPr>
              <w:t>Total nonperforming loans and performing modified loans/TDRs</w:t>
            </w:r>
          </w:p>
        </w:tc>
        <w:tc>
          <w:tcPr>
            <w:tcW w:w="1380" w:type="dxa"/>
            <w:vAlign w:val="bottom"/>
          </w:tcPr>
          <w:p>
            <w:pPr>
              <w:jc w:val="right"/>
              <w:ind w:right="120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9,761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12,747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680" w:type="dxa"/>
            <w:vAlign w:val="bottom"/>
          </w:tcPr>
          <w:p>
            <w:pPr>
              <w:ind w:left="20"/>
              <w:spacing w:after="0"/>
              <w:rPr>
                <w:sz w:val="20"/>
                <w:szCs w:val="20"/>
                <w:color w:val="auto"/>
              </w:rPr>
            </w:pPr>
            <w:r>
              <w:rPr>
                <w:rFonts w:ascii="Arial" w:cs="Arial" w:eastAsia="Arial" w:hAnsi="Arial"/>
                <w:sz w:val="14"/>
                <w:szCs w:val="14"/>
                <w:color w:val="auto"/>
              </w:rPr>
              <w:t>Percentage of nonperforming loans and performing modified loans/TDRs</w:t>
            </w: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680" w:type="dxa"/>
            <w:vAlign w:val="bottom"/>
          </w:tcPr>
          <w:p>
            <w:pPr>
              <w:ind w:left="140"/>
              <w:spacing w:after="0"/>
              <w:rPr>
                <w:sz w:val="20"/>
                <w:szCs w:val="20"/>
                <w:color w:val="auto"/>
              </w:rPr>
            </w:pPr>
            <w:r>
              <w:rPr>
                <w:rFonts w:ascii="Arial" w:cs="Arial" w:eastAsia="Arial" w:hAnsi="Arial"/>
                <w:sz w:val="14"/>
                <w:szCs w:val="14"/>
                <w:color w:val="auto"/>
              </w:rPr>
              <w:t>to total loans, at amortized cost</w:t>
            </w:r>
          </w:p>
        </w:tc>
        <w:tc>
          <w:tcPr>
            <w:tcW w:w="1380" w:type="dxa"/>
            <w:vAlign w:val="bottom"/>
          </w:tcPr>
          <w:p>
            <w:pPr>
              <w:spacing w:after="0"/>
              <w:rPr>
                <w:sz w:val="16"/>
                <w:szCs w:val="16"/>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color w:val="auto"/>
              </w:rPr>
              <w:t>0.11 %</w:t>
            </w:r>
          </w:p>
        </w:tc>
        <w:tc>
          <w:tcPr>
            <w:tcW w:w="1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0.14 %</w:t>
            </w:r>
          </w:p>
        </w:tc>
        <w:tc>
          <w:tcPr>
            <w:tcW w:w="0" w:type="dxa"/>
            <w:vAlign w:val="bottom"/>
          </w:tcPr>
          <w:p>
            <w:pPr>
              <w:spacing w:after="0"/>
              <w:rPr>
                <w:sz w:val="1"/>
                <w:szCs w:val="1"/>
                <w:color w:val="auto"/>
              </w:rPr>
            </w:pPr>
          </w:p>
        </w:tc>
      </w:tr>
      <w:tr>
        <w:trPr>
          <w:trHeight w:val="195"/>
        </w:trPr>
        <w:tc>
          <w:tcPr>
            <w:tcW w:w="6680" w:type="dxa"/>
            <w:vAlign w:val="bottom"/>
            <w:vMerge w:val="restart"/>
          </w:tcPr>
          <w:p>
            <w:pPr>
              <w:ind w:left="20"/>
              <w:spacing w:after="0"/>
              <w:rPr>
                <w:sz w:val="20"/>
                <w:szCs w:val="20"/>
                <w:color w:val="auto"/>
              </w:rPr>
            </w:pPr>
            <w:r>
              <w:rPr>
                <w:rFonts w:ascii="Arial" w:cs="Arial" w:eastAsia="Arial" w:hAnsi="Arial"/>
                <w:sz w:val="14"/>
                <w:szCs w:val="14"/>
                <w:color w:val="auto"/>
              </w:rPr>
              <w:t>Percentage of nonperforming assets to total loans, at amortized cost,</w:t>
            </w: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68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140"/>
              <w:spacing w:after="0"/>
              <w:rPr>
                <w:sz w:val="20"/>
                <w:szCs w:val="20"/>
                <w:color w:val="auto"/>
              </w:rPr>
            </w:pPr>
            <w:r>
              <w:rPr>
                <w:rFonts w:ascii="Arial" w:cs="Arial" w:eastAsia="Arial" w:hAnsi="Arial"/>
                <w:sz w:val="14"/>
                <w:szCs w:val="14"/>
                <w:color w:val="auto"/>
              </w:rPr>
              <w:t>and OREO</w:t>
            </w:r>
          </w:p>
        </w:tc>
        <w:tc>
          <w:tcPr>
            <w:tcW w:w="1380" w:type="dxa"/>
            <w:vAlign w:val="bottom"/>
          </w:tcPr>
          <w:p>
            <w:pPr>
              <w:spacing w:after="0"/>
              <w:rPr>
                <w:sz w:val="16"/>
                <w:szCs w:val="16"/>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color w:val="auto"/>
              </w:rPr>
              <w:t>0.07 %</w:t>
            </w:r>
          </w:p>
        </w:tc>
        <w:tc>
          <w:tcPr>
            <w:tcW w:w="1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r>
        <w:trPr>
          <w:trHeight w:val="186"/>
        </w:trPr>
        <w:tc>
          <w:tcPr>
            <w:tcW w:w="6680" w:type="dxa"/>
            <w:vAlign w:val="bottom"/>
          </w:tcPr>
          <w:p>
            <w:pPr>
              <w:ind w:left="20"/>
              <w:spacing w:after="0"/>
              <w:rPr>
                <w:sz w:val="20"/>
                <w:szCs w:val="20"/>
                <w:color w:val="auto"/>
              </w:rPr>
            </w:pPr>
            <w:r>
              <w:rPr>
                <w:rFonts w:ascii="Arial" w:cs="Arial" w:eastAsia="Arial" w:hAnsi="Arial"/>
                <w:sz w:val="14"/>
                <w:szCs w:val="14"/>
                <w:color w:val="auto"/>
              </w:rPr>
              <w:t>Percentage of nonperforming assets to total assets</w:t>
            </w:r>
          </w:p>
        </w:tc>
        <w:tc>
          <w:tcPr>
            <w:tcW w:w="1380" w:type="dxa"/>
            <w:vAlign w:val="bottom"/>
          </w:tcPr>
          <w:p>
            <w:pPr>
              <w:spacing w:after="0"/>
              <w:rPr>
                <w:sz w:val="16"/>
                <w:szCs w:val="16"/>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color w:val="auto"/>
              </w:rPr>
              <w:t>0.04 %</w:t>
            </w:r>
          </w:p>
        </w:tc>
        <w:tc>
          <w:tcPr>
            <w:tcW w:w="1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0.03 %</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Modifications of Loans to Borrowers Experiencing Financial Difficulty</w:t>
      </w:r>
    </w:p>
    <w:p>
      <w:pPr>
        <w:spacing w:after="0" w:line="184" w:lineRule="exact"/>
        <w:rPr>
          <w:sz w:val="20"/>
          <w:szCs w:val="20"/>
          <w:color w:val="auto"/>
        </w:rPr>
      </w:pPr>
    </w:p>
    <w:p>
      <w:pPr>
        <w:ind w:right="340" w:firstLine="432"/>
        <w:spacing w:after="0" w:line="243" w:lineRule="auto"/>
        <w:rPr>
          <w:sz w:val="20"/>
          <w:szCs w:val="20"/>
          <w:color w:val="auto"/>
        </w:rPr>
      </w:pPr>
      <w:r>
        <w:rPr>
          <w:rFonts w:ascii="Arial" w:cs="Arial" w:eastAsia="Arial" w:hAnsi="Arial"/>
          <w:sz w:val="16"/>
          <w:szCs w:val="16"/>
          <w:color w:val="auto"/>
        </w:rPr>
        <w:t>The Company adopted Accounting Standards Update (“ASU”) 2022- 02, Financial Instruments - Credit Losses (Topic 326) Troubled Debt Restructurings and Vintage Disclosures (“ASU 2022-02”) effective January 1, 2023. The amendments in ASU 2022-02 eliminated the recognition and measurement of TDRs and enhanced disclosures for loan modifications to borrowers experiencing financial difficulty.</w:t>
      </w:r>
    </w:p>
    <w:p>
      <w:pPr>
        <w:spacing w:after="0" w:line="161" w:lineRule="exact"/>
        <w:rPr>
          <w:sz w:val="20"/>
          <w:szCs w:val="20"/>
          <w:color w:val="auto"/>
        </w:rPr>
      </w:pPr>
    </w:p>
    <w:p>
      <w:pPr>
        <w:ind w:right="140" w:firstLine="432"/>
        <w:spacing w:after="0" w:line="252" w:lineRule="auto"/>
        <w:rPr>
          <w:sz w:val="20"/>
          <w:szCs w:val="20"/>
          <w:color w:val="auto"/>
        </w:rPr>
      </w:pPr>
      <w:r>
        <w:rPr>
          <w:rFonts w:ascii="Arial" w:cs="Arial" w:eastAsia="Arial" w:hAnsi="Arial"/>
          <w:sz w:val="16"/>
          <w:szCs w:val="16"/>
          <w:color w:val="auto"/>
        </w:rPr>
        <w:t>The table below reflects the amortized cost of loans by type made to borrowers experiencing financial difficulty that were modified during the three months ended June 30,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vMerge w:val="restart"/>
          </w:tcPr>
          <w:p>
            <w:pPr>
              <w:jc w:val="center"/>
              <w:ind w:left="363"/>
              <w:spacing w:after="0"/>
              <w:rPr>
                <w:sz w:val="20"/>
                <w:szCs w:val="20"/>
                <w:color w:val="auto"/>
              </w:rPr>
            </w:pPr>
            <w:r>
              <w:rPr>
                <w:rFonts w:ascii="Arial" w:cs="Arial" w:eastAsia="Arial" w:hAnsi="Arial"/>
                <w:sz w:val="16"/>
                <w:szCs w:val="16"/>
                <w:b w:val="1"/>
                <w:bCs w:val="1"/>
                <w:color w:val="auto"/>
                <w:w w:val="96"/>
              </w:rPr>
              <w:t>Amortized Cost Basis</w:t>
            </w: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w w:val="99"/>
              </w:rPr>
              <w:t>Term Extension</w:t>
            </w:r>
          </w:p>
        </w:tc>
        <w:tc>
          <w:tcPr>
            <w:tcW w:w="2400" w:type="dxa"/>
            <w:vAlign w:val="bottom"/>
            <w:vMerge w:val="restart"/>
          </w:tcPr>
          <w:p>
            <w:pPr>
              <w:jc w:val="center"/>
              <w:ind w:right="502"/>
              <w:spacing w:after="0"/>
              <w:rPr>
                <w:sz w:val="20"/>
                <w:szCs w:val="20"/>
                <w:color w:val="auto"/>
              </w:rPr>
            </w:pPr>
            <w:r>
              <w:rPr>
                <w:rFonts w:ascii="Arial" w:cs="Arial" w:eastAsia="Arial" w:hAnsi="Arial"/>
                <w:sz w:val="16"/>
                <w:szCs w:val="16"/>
                <w:b w:val="1"/>
                <w:bCs w:val="1"/>
                <w:color w:val="auto"/>
                <w:w w:val="96"/>
              </w:rPr>
              <w:t>% of Total Class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jc w:val="center"/>
              <w:ind w:left="363"/>
              <w:spacing w:after="0"/>
              <w:rPr>
                <w:sz w:val="20"/>
                <w:szCs w:val="20"/>
                <w:color w:val="auto"/>
              </w:rPr>
            </w:pPr>
            <w:r>
              <w:rPr>
                <w:rFonts w:ascii="Arial" w:cs="Arial" w:eastAsia="Arial" w:hAnsi="Arial"/>
                <w:sz w:val="16"/>
                <w:szCs w:val="16"/>
                <w:b w:val="1"/>
                <w:bCs w:val="1"/>
                <w:color w:val="auto"/>
                <w:w w:val="98"/>
              </w:rPr>
              <w:t>at June 30,2023</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jc w:val="center"/>
              <w:ind w:right="522"/>
              <w:spacing w:after="0"/>
              <w:rPr>
                <w:sz w:val="20"/>
                <w:szCs w:val="20"/>
                <w:color w:val="auto"/>
              </w:rPr>
            </w:pPr>
            <w:r>
              <w:rPr>
                <w:rFonts w:ascii="Arial" w:cs="Arial" w:eastAsia="Arial" w:hAnsi="Arial"/>
                <w:sz w:val="16"/>
                <w:szCs w:val="16"/>
                <w:b w:val="1"/>
                <w:bCs w:val="1"/>
                <w:color w:val="auto"/>
                <w:w w:val="97"/>
              </w:rPr>
              <w:t>Financing Receivables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tcPr>
          <w:p>
            <w:pPr>
              <w:jc w:val="center"/>
              <w:ind w:left="363"/>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4140" w:type="dxa"/>
            <w:vAlign w:val="bottom"/>
          </w:tcPr>
          <w:p>
            <w:pPr>
              <w:ind w:left="440"/>
              <w:spacing w:after="0"/>
              <w:rPr>
                <w:sz w:val="20"/>
                <w:szCs w:val="20"/>
                <w:color w:val="auto"/>
              </w:rPr>
            </w:pPr>
            <w:r>
              <w:rPr>
                <w:rFonts w:ascii="Arial" w:cs="Arial" w:eastAsia="Arial" w:hAnsi="Arial"/>
                <w:sz w:val="16"/>
                <w:szCs w:val="16"/>
                <w:color w:val="auto"/>
              </w:rPr>
              <w:t>Commercial real estate loans</w:t>
            </w:r>
          </w:p>
        </w:tc>
        <w:tc>
          <w:tcPr>
            <w:tcW w:w="420" w:type="dxa"/>
            <w:vAlign w:val="bottom"/>
          </w:tcPr>
          <w:p>
            <w:pPr>
              <w:spacing w:after="0"/>
              <w:rPr>
                <w:sz w:val="24"/>
                <w:szCs w:val="24"/>
                <w:color w:val="auto"/>
              </w:rPr>
            </w:pPr>
          </w:p>
        </w:tc>
        <w:tc>
          <w:tcPr>
            <w:tcW w:w="2200" w:type="dxa"/>
            <w:vAlign w:val="bottom"/>
          </w:tcPr>
          <w:p>
            <w:pPr>
              <w:jc w:val="right"/>
              <w:ind w:right="202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1,579</w:t>
            </w:r>
          </w:p>
        </w:tc>
        <w:tc>
          <w:tcPr>
            <w:tcW w:w="96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2"/>
        </w:trPr>
        <w:tc>
          <w:tcPr>
            <w:tcW w:w="4140" w:type="dxa"/>
            <w:vAlign w:val="bottom"/>
          </w:tcPr>
          <w:p>
            <w:pPr>
              <w:ind w:left="440"/>
              <w:spacing w:after="0"/>
              <w:rPr>
                <w:sz w:val="20"/>
                <w:szCs w:val="20"/>
                <w:color w:val="auto"/>
              </w:rPr>
            </w:pPr>
            <w:r>
              <w:rPr>
                <w:rFonts w:ascii="Arial" w:cs="Arial" w:eastAsia="Arial" w:hAnsi="Arial"/>
                <w:sz w:val="16"/>
                <w:szCs w:val="16"/>
                <w:color w:val="auto"/>
              </w:rPr>
              <w:t>Commercial and industrial</w:t>
            </w: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1,000</w:t>
            </w:r>
          </w:p>
        </w:tc>
        <w:tc>
          <w:tcPr>
            <w:tcW w:w="96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5"/>
        </w:trPr>
        <w:tc>
          <w:tcPr>
            <w:tcW w:w="4140" w:type="dxa"/>
            <w:vAlign w:val="bottom"/>
          </w:tcPr>
          <w:p>
            <w:pPr>
              <w:ind w:left="440"/>
              <w:spacing w:after="0"/>
              <w:rPr>
                <w:sz w:val="20"/>
                <w:szCs w:val="20"/>
                <w:color w:val="auto"/>
              </w:rPr>
            </w:pPr>
            <w:r>
              <w:rPr>
                <w:rFonts w:ascii="Arial" w:cs="Arial" w:eastAsia="Arial" w:hAnsi="Arial"/>
                <w:sz w:val="16"/>
                <w:szCs w:val="16"/>
                <w:color w:val="auto"/>
              </w:rPr>
              <w:t>Dairy &amp; livestock and agribusiness</w:t>
            </w: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728</w:t>
            </w:r>
          </w:p>
        </w:tc>
        <w:tc>
          <w:tcPr>
            <w:tcW w:w="96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45"/>
        </w:trPr>
        <w:tc>
          <w:tcPr>
            <w:tcW w:w="4140" w:type="dxa"/>
            <w:vAlign w:val="bottom"/>
            <w:shd w:val="clear" w:color="auto" w:fill="CFF0FC"/>
          </w:tcPr>
          <w:p>
            <w:pPr>
              <w:ind w:left="560"/>
              <w:spacing w:after="0"/>
              <w:rPr>
                <w:sz w:val="20"/>
                <w:szCs w:val="20"/>
                <w:color w:val="auto"/>
              </w:rPr>
            </w:pPr>
            <w:r>
              <w:rPr>
                <w:rFonts w:ascii="Arial" w:cs="Arial" w:eastAsia="Arial" w:hAnsi="Arial"/>
                <w:sz w:val="16"/>
                <w:szCs w:val="16"/>
                <w:b w:val="1"/>
                <w:bCs w:val="1"/>
                <w:color w:val="auto"/>
              </w:rPr>
              <w:t>Total</w:t>
            </w:r>
          </w:p>
        </w:tc>
        <w:tc>
          <w:tcPr>
            <w:tcW w:w="2620" w:type="dxa"/>
            <w:vAlign w:val="bottom"/>
            <w:gridSpan w:val="2"/>
            <w:shd w:val="clear" w:color="auto" w:fill="CFF0FC"/>
          </w:tcPr>
          <w:p>
            <w:pPr>
              <w:jc w:val="right"/>
              <w:ind w:right="2023"/>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3,307</w:t>
            </w:r>
          </w:p>
        </w:tc>
        <w:tc>
          <w:tcPr>
            <w:tcW w:w="960" w:type="dxa"/>
            <w:vAlign w:val="bottom"/>
            <w:shd w:val="clear" w:color="auto" w:fill="CFF0FC"/>
          </w:tcPr>
          <w:p>
            <w:pPr>
              <w:spacing w:after="0"/>
              <w:rPr>
                <w:sz w:val="21"/>
                <w:szCs w:val="21"/>
                <w:color w:val="auto"/>
              </w:rPr>
            </w:pPr>
          </w:p>
        </w:tc>
        <w:tc>
          <w:tcPr>
            <w:tcW w:w="24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140" w:type="dxa"/>
            <w:vAlign w:val="bottom"/>
            <w:tcBorders>
              <w:top w:val="single" w:sz="8" w:color="CFF0FC"/>
            </w:tcBorders>
          </w:tcPr>
          <w:p>
            <w:pPr>
              <w:spacing w:after="0"/>
              <w:rPr>
                <w:sz w:val="15"/>
                <w:szCs w:val="15"/>
                <w:color w:val="auto"/>
              </w:rPr>
            </w:pPr>
          </w:p>
        </w:tc>
        <w:tc>
          <w:tcPr>
            <w:tcW w:w="420" w:type="dxa"/>
            <w:vAlign w:val="bottom"/>
            <w:tcBorders>
              <w:top w:val="single" w:sz="8" w:color="CFF0FC"/>
            </w:tcBorders>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2400" w:type="dxa"/>
            <w:vAlign w:val="bottom"/>
            <w:tcBorders>
              <w:top w:val="single" w:sz="8" w:color="CFF0FC"/>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520" w:firstLine="432"/>
        <w:spacing w:after="0" w:line="252" w:lineRule="auto"/>
        <w:rPr>
          <w:sz w:val="20"/>
          <w:szCs w:val="20"/>
          <w:color w:val="auto"/>
        </w:rPr>
      </w:pPr>
      <w:r>
        <w:rPr>
          <w:rFonts w:ascii="Arial" w:cs="Arial" w:eastAsia="Arial" w:hAnsi="Arial"/>
          <w:sz w:val="16"/>
          <w:szCs w:val="16"/>
          <w:color w:val="auto"/>
        </w:rPr>
        <w:t>The following table describes the financial effect of the loan modifications made to borrowers experiencing financial difficulty during the three months ended June 30,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408"/>
        </w:trPr>
        <w:tc>
          <w:tcPr>
            <w:tcW w:w="4760" w:type="dxa"/>
            <w:vAlign w:val="bottom"/>
          </w:tcPr>
          <w:p>
            <w:pPr>
              <w:ind w:left="2200"/>
              <w:spacing w:after="0"/>
              <w:rPr>
                <w:sz w:val="20"/>
                <w:szCs w:val="20"/>
                <w:color w:val="auto"/>
              </w:rPr>
            </w:pPr>
            <w:r>
              <w:rPr>
                <w:rFonts w:ascii="Arial" w:cs="Arial" w:eastAsia="Arial" w:hAnsi="Arial"/>
                <w:sz w:val="16"/>
                <w:szCs w:val="16"/>
                <w:b w:val="1"/>
                <w:bCs w:val="1"/>
                <w:color w:val="auto"/>
              </w:rPr>
              <w:t>Loan Type</w:t>
            </w:r>
          </w:p>
        </w:tc>
        <w:tc>
          <w:tcPr>
            <w:tcW w:w="5800" w:type="dxa"/>
            <w:vAlign w:val="bottom"/>
          </w:tcPr>
          <w:p>
            <w:pPr>
              <w:ind w:left="2540"/>
              <w:spacing w:after="0"/>
              <w:rPr>
                <w:sz w:val="20"/>
                <w:szCs w:val="20"/>
                <w:color w:val="auto"/>
              </w:rPr>
            </w:pPr>
            <w:r>
              <w:rPr>
                <w:rFonts w:ascii="Arial" w:cs="Arial" w:eastAsia="Arial" w:hAnsi="Arial"/>
                <w:sz w:val="16"/>
                <w:szCs w:val="16"/>
                <w:b w:val="1"/>
                <w:bCs w:val="1"/>
                <w:color w:val="auto"/>
              </w:rPr>
              <w:t>Financial Effect</w:t>
            </w:r>
          </w:p>
        </w:tc>
      </w:tr>
      <w:tr>
        <w:trPr>
          <w:trHeight w:val="413"/>
        </w:trPr>
        <w:tc>
          <w:tcPr>
            <w:tcW w:w="4760" w:type="dxa"/>
            <w:vAlign w:val="bottom"/>
          </w:tcPr>
          <w:p>
            <w:pPr>
              <w:spacing w:after="0"/>
              <w:rPr>
                <w:sz w:val="24"/>
                <w:szCs w:val="24"/>
                <w:color w:val="auto"/>
              </w:rPr>
            </w:pPr>
          </w:p>
        </w:tc>
        <w:tc>
          <w:tcPr>
            <w:tcW w:w="5800" w:type="dxa"/>
            <w:vAlign w:val="bottom"/>
          </w:tcPr>
          <w:p>
            <w:pPr>
              <w:ind w:left="2520"/>
              <w:spacing w:after="0"/>
              <w:rPr>
                <w:sz w:val="20"/>
                <w:szCs w:val="20"/>
                <w:color w:val="auto"/>
              </w:rPr>
            </w:pPr>
            <w:r>
              <w:rPr>
                <w:rFonts w:ascii="Arial" w:cs="Arial" w:eastAsia="Arial" w:hAnsi="Arial"/>
                <w:sz w:val="16"/>
                <w:szCs w:val="16"/>
                <w:b w:val="1"/>
                <w:bCs w:val="1"/>
                <w:color w:val="auto"/>
              </w:rPr>
              <w:t>Term Extension</w:t>
            </w:r>
          </w:p>
        </w:tc>
      </w:tr>
      <w:tr>
        <w:trPr>
          <w:trHeight w:val="180"/>
        </w:trPr>
        <w:tc>
          <w:tcPr>
            <w:tcW w:w="4760" w:type="dxa"/>
            <w:vAlign w:val="bottom"/>
          </w:tcPr>
          <w:p>
            <w:pPr>
              <w:ind w:left="420"/>
              <w:spacing w:after="0" w:line="180" w:lineRule="exact"/>
              <w:rPr>
                <w:sz w:val="20"/>
                <w:szCs w:val="20"/>
                <w:color w:val="auto"/>
              </w:rPr>
            </w:pPr>
            <w:r>
              <w:rPr>
                <w:rFonts w:ascii="Arial" w:cs="Arial" w:eastAsia="Arial" w:hAnsi="Arial"/>
                <w:sz w:val="16"/>
                <w:szCs w:val="16"/>
                <w:color w:val="auto"/>
              </w:rPr>
              <w:t>Commercial real estate loans</w:t>
            </w:r>
          </w:p>
        </w:tc>
        <w:tc>
          <w:tcPr>
            <w:tcW w:w="5800" w:type="dxa"/>
            <w:vAlign w:val="bottom"/>
          </w:tcPr>
          <w:p>
            <w:pPr>
              <w:ind w:left="420"/>
              <w:spacing w:after="0" w:line="180" w:lineRule="exact"/>
              <w:rPr>
                <w:sz w:val="20"/>
                <w:szCs w:val="20"/>
                <w:color w:val="auto"/>
              </w:rPr>
            </w:pPr>
            <w:r>
              <w:rPr>
                <w:rFonts w:ascii="Arial" w:cs="Arial" w:eastAsia="Arial" w:hAnsi="Arial"/>
                <w:sz w:val="16"/>
                <w:szCs w:val="16"/>
                <w:color w:val="auto"/>
              </w:rPr>
              <w:t>Added a weighted-average 1.1 years to the life of loans, which reduced</w:t>
            </w:r>
          </w:p>
        </w:tc>
      </w:tr>
      <w:tr>
        <w:trPr>
          <w:trHeight w:val="198"/>
        </w:trPr>
        <w:tc>
          <w:tcPr>
            <w:tcW w:w="4760" w:type="dxa"/>
            <w:vAlign w:val="bottom"/>
          </w:tcPr>
          <w:p>
            <w:pPr>
              <w:spacing w:after="0"/>
              <w:rPr>
                <w:sz w:val="17"/>
                <w:szCs w:val="17"/>
                <w:color w:val="auto"/>
              </w:rPr>
            </w:pPr>
          </w:p>
        </w:tc>
        <w:tc>
          <w:tcPr>
            <w:tcW w:w="5800" w:type="dxa"/>
            <w:vAlign w:val="bottom"/>
          </w:tcPr>
          <w:p>
            <w:pPr>
              <w:ind w:left="420"/>
              <w:spacing w:after="0"/>
              <w:rPr>
                <w:sz w:val="20"/>
                <w:szCs w:val="20"/>
                <w:color w:val="auto"/>
              </w:rPr>
            </w:pPr>
            <w:r>
              <w:rPr>
                <w:rFonts w:ascii="Arial" w:cs="Arial" w:eastAsia="Arial" w:hAnsi="Arial"/>
                <w:sz w:val="16"/>
                <w:szCs w:val="16"/>
                <w:color w:val="auto"/>
              </w:rPr>
              <w:t>monthly payment amounts for the borrowers.</w:t>
            </w:r>
          </w:p>
        </w:tc>
      </w:tr>
      <w:tr>
        <w:trPr>
          <w:trHeight w:val="186"/>
        </w:trPr>
        <w:tc>
          <w:tcPr>
            <w:tcW w:w="4760" w:type="dxa"/>
            <w:vAlign w:val="bottom"/>
            <w:shd w:val="clear" w:color="auto" w:fill="CFF0FC"/>
          </w:tcPr>
          <w:p>
            <w:pPr>
              <w:spacing w:after="0"/>
              <w:rPr>
                <w:sz w:val="16"/>
                <w:szCs w:val="16"/>
                <w:color w:val="auto"/>
              </w:rPr>
            </w:pPr>
          </w:p>
        </w:tc>
        <w:tc>
          <w:tcPr>
            <w:tcW w:w="58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Added a weighted-average 0.8 years to the life of loans, which reduced</w:t>
            </w:r>
          </w:p>
        </w:tc>
      </w:tr>
      <w:tr>
        <w:trPr>
          <w:trHeight w:val="199"/>
        </w:trPr>
        <w:tc>
          <w:tcPr>
            <w:tcW w:w="47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Commercial and industrial</w:t>
            </w:r>
          </w:p>
        </w:tc>
        <w:tc>
          <w:tcPr>
            <w:tcW w:w="58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monthly payment amounts for the borrowers.</w:t>
            </w:r>
          </w:p>
        </w:tc>
      </w:tr>
      <w:tr>
        <w:trPr>
          <w:trHeight w:val="185"/>
        </w:trPr>
        <w:tc>
          <w:tcPr>
            <w:tcW w:w="4760" w:type="dxa"/>
            <w:vAlign w:val="bottom"/>
          </w:tcPr>
          <w:p>
            <w:pPr>
              <w:spacing w:after="0"/>
              <w:rPr>
                <w:sz w:val="16"/>
                <w:szCs w:val="16"/>
                <w:color w:val="auto"/>
              </w:rPr>
            </w:pPr>
          </w:p>
        </w:tc>
        <w:tc>
          <w:tcPr>
            <w:tcW w:w="5800" w:type="dxa"/>
            <w:vAlign w:val="bottom"/>
          </w:tcPr>
          <w:p>
            <w:pPr>
              <w:ind w:left="420"/>
              <w:spacing w:after="0"/>
              <w:rPr>
                <w:sz w:val="20"/>
                <w:szCs w:val="20"/>
                <w:color w:val="auto"/>
              </w:rPr>
            </w:pPr>
            <w:r>
              <w:rPr>
                <w:rFonts w:ascii="Arial" w:cs="Arial" w:eastAsia="Arial" w:hAnsi="Arial"/>
                <w:sz w:val="16"/>
                <w:szCs w:val="16"/>
                <w:color w:val="auto"/>
              </w:rPr>
              <w:t>Added a weighted-average 1.4 years to the life of loans, which reduced</w:t>
            </w:r>
          </w:p>
        </w:tc>
      </w:tr>
      <w:tr>
        <w:trPr>
          <w:trHeight w:val="197"/>
        </w:trPr>
        <w:tc>
          <w:tcPr>
            <w:tcW w:w="4760" w:type="dxa"/>
            <w:vAlign w:val="bottom"/>
          </w:tcPr>
          <w:p>
            <w:pPr>
              <w:ind w:left="420"/>
              <w:spacing w:after="0"/>
              <w:rPr>
                <w:sz w:val="20"/>
                <w:szCs w:val="20"/>
                <w:color w:val="auto"/>
              </w:rPr>
            </w:pPr>
            <w:r>
              <w:rPr>
                <w:rFonts w:ascii="Arial" w:cs="Arial" w:eastAsia="Arial" w:hAnsi="Arial"/>
                <w:sz w:val="16"/>
                <w:szCs w:val="16"/>
                <w:color w:val="auto"/>
              </w:rPr>
              <w:t>Dairy &amp; livestock and agribusiness</w:t>
            </w:r>
          </w:p>
        </w:tc>
        <w:tc>
          <w:tcPr>
            <w:tcW w:w="5800" w:type="dxa"/>
            <w:vAlign w:val="bottom"/>
          </w:tcPr>
          <w:p>
            <w:pPr>
              <w:ind w:left="420"/>
              <w:spacing w:after="0"/>
              <w:rPr>
                <w:sz w:val="20"/>
                <w:szCs w:val="20"/>
                <w:color w:val="auto"/>
              </w:rPr>
            </w:pPr>
            <w:r>
              <w:rPr>
                <w:rFonts w:ascii="Arial" w:cs="Arial" w:eastAsia="Arial" w:hAnsi="Arial"/>
                <w:sz w:val="16"/>
                <w:szCs w:val="16"/>
                <w:color w:val="auto"/>
              </w:rPr>
              <w:t>monthly payment amounts for the borrowers.</w:t>
            </w:r>
          </w:p>
        </w:tc>
      </w:tr>
      <w:tr>
        <w:trPr>
          <w:trHeight w:val="206"/>
        </w:trPr>
        <w:tc>
          <w:tcPr>
            <w:tcW w:w="476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370"/>
        </w:trPr>
        <w:tc>
          <w:tcPr>
            <w:tcW w:w="4760" w:type="dxa"/>
            <w:vAlign w:val="bottom"/>
          </w:tcPr>
          <w:p>
            <w:pPr>
              <w:spacing w:after="0"/>
              <w:rPr>
                <w:sz w:val="24"/>
                <w:szCs w:val="24"/>
                <w:color w:val="auto"/>
              </w:rPr>
            </w:pPr>
          </w:p>
        </w:tc>
        <w:tc>
          <w:tcPr>
            <w:tcW w:w="5800" w:type="dxa"/>
            <w:vAlign w:val="bottom"/>
          </w:tcPr>
          <w:p>
            <w:pPr>
              <w:ind w:left="440"/>
              <w:spacing w:after="0"/>
              <w:rPr>
                <w:sz w:val="20"/>
                <w:szCs w:val="20"/>
                <w:color w:val="auto"/>
              </w:rPr>
            </w:pPr>
            <w:r>
              <w:rPr>
                <w:rFonts w:ascii="Arial" w:cs="Arial" w:eastAsia="Arial" w:hAnsi="Arial"/>
                <w:sz w:val="16"/>
                <w:szCs w:val="16"/>
                <w:color w:val="auto"/>
              </w:rPr>
              <w:t>60</w:t>
            </w:r>
          </w:p>
        </w:tc>
      </w:tr>
      <w:tr>
        <w:trPr>
          <w:trHeight w:val="278"/>
        </w:trPr>
        <w:tc>
          <w:tcPr>
            <w:tcW w:w="4760" w:type="dxa"/>
            <w:vAlign w:val="bottom"/>
            <w:tcBorders>
              <w:bottom w:val="single" w:sz="8" w:color="EEEEEE"/>
            </w:tcBorders>
          </w:tcPr>
          <w:p>
            <w:pPr>
              <w:spacing w:after="0"/>
              <w:rPr>
                <w:sz w:val="24"/>
                <w:szCs w:val="24"/>
                <w:color w:val="auto"/>
              </w:rPr>
            </w:pPr>
          </w:p>
        </w:tc>
        <w:tc>
          <w:tcPr>
            <w:tcW w:w="5800" w:type="dxa"/>
            <w:vAlign w:val="bottom"/>
            <w:tcBorders>
              <w:bottom w:val="single" w:sz="8" w:color="EEEEEE"/>
            </w:tcBorders>
          </w:tcPr>
          <w:p>
            <w:pPr>
              <w:spacing w:after="0"/>
              <w:rPr>
                <w:sz w:val="24"/>
                <w:szCs w:val="24"/>
                <w:color w:val="auto"/>
              </w:rPr>
            </w:pPr>
          </w:p>
        </w:tc>
      </w:tr>
    </w:tbl>
    <w:p>
      <w:pPr>
        <w:sectPr>
          <w:pgSz w:w="11900" w:h="16840" w:orient="portrait"/>
          <w:cols w:equalWidth="0" w:num="1">
            <w:col w:w="10620"/>
          </w:cols>
          <w:pgMar w:left="660" w:top="782" w:right="620" w:bottom="1440" w:gutter="0" w:footer="0" w:header="0"/>
        </w:sectPr>
      </w:pPr>
    </w:p>
    <w:bookmarkStart w:id="60" w:name="page61"/>
    <w:bookmarkEnd w:id="60"/>
    <w:p>
      <w:pPr>
        <w:jc w:val="both"/>
        <w:ind w:right="460" w:firstLine="432"/>
        <w:spacing w:after="0" w:line="24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As of June 30, 2023, the Company did not have any loans made to borrowers experiencing financial difficulty that were modified during the second quarter of 2023 that subsequently defaulted. Payment default is defined as movement to nonaccrual (nonperforming) status, foreclosure or charge-off, whichever occurs first.</w:t>
      </w:r>
    </w:p>
    <w:p>
      <w:pPr>
        <w:spacing w:after="0" w:line="161"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following table presents the recorded investment in, and the aging of, past due loans at amortized cost (including nonaccrual loans), by type of loans, made to borrowers experiencing financial difficulty that were modified on or after January 1, 2023, the date we adopted ASU 2022-02.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540" w:type="dxa"/>
            <w:vAlign w:val="bottom"/>
            <w:gridSpan w:val="8"/>
          </w:tcPr>
          <w:p>
            <w:pPr>
              <w:jc w:val="center"/>
              <w:ind w:left="122"/>
              <w:spacing w:after="0"/>
              <w:rPr>
                <w:sz w:val="20"/>
                <w:szCs w:val="20"/>
                <w:color w:val="auto"/>
              </w:rPr>
            </w:pPr>
            <w:r>
              <w:rPr>
                <w:rFonts w:ascii="Arial" w:cs="Arial" w:eastAsia="Arial" w:hAnsi="Arial"/>
                <w:sz w:val="16"/>
                <w:szCs w:val="16"/>
                <w:b w:val="1"/>
                <w:bCs w:val="1"/>
                <w:color w:val="auto"/>
                <w:w w:val="97"/>
              </w:rPr>
              <w:t>Payment Status (amortized cost basis)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98"/>
              </w:rPr>
              <w:t>30-89 Days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220"/>
              <w:spacing w:after="0" w:line="180" w:lineRule="exact"/>
              <w:rPr>
                <w:sz w:val="20"/>
                <w:szCs w:val="20"/>
                <w:color w:val="auto"/>
              </w:rPr>
            </w:pPr>
            <w:r>
              <w:rPr>
                <w:rFonts w:ascii="Arial" w:cs="Arial" w:eastAsia="Arial" w:hAnsi="Arial"/>
                <w:sz w:val="16"/>
                <w:szCs w:val="16"/>
                <w:b w:val="1"/>
                <w:bCs w:val="1"/>
                <w:color w:val="auto"/>
              </w:rPr>
              <w:t>90+ Days</w:t>
            </w:r>
          </w:p>
        </w:tc>
      </w:tr>
      <w:tr>
        <w:trPr>
          <w:trHeight w:val="206"/>
        </w:trPr>
        <w:tc>
          <w:tcPr>
            <w:tcW w:w="4240" w:type="dxa"/>
            <w:vAlign w:val="bottom"/>
          </w:tcPr>
          <w:p>
            <w:pPr>
              <w:spacing w:after="0"/>
              <w:rPr>
                <w:sz w:val="17"/>
                <w:szCs w:val="17"/>
                <w:color w:val="auto"/>
              </w:rPr>
            </w:pPr>
          </w:p>
        </w:tc>
        <w:tc>
          <w:tcPr>
            <w:tcW w:w="1240" w:type="dxa"/>
            <w:vAlign w:val="bottom"/>
          </w:tcPr>
          <w:p>
            <w:pPr>
              <w:jc w:val="right"/>
              <w:ind w:right="26"/>
              <w:spacing w:after="0"/>
              <w:rPr>
                <w:sz w:val="20"/>
                <w:szCs w:val="20"/>
                <w:color w:val="auto"/>
              </w:rPr>
            </w:pPr>
            <w:r>
              <w:rPr>
                <w:rFonts w:ascii="Arial" w:cs="Arial" w:eastAsia="Arial" w:hAnsi="Arial"/>
                <w:sz w:val="16"/>
                <w:szCs w:val="16"/>
                <w:b w:val="1"/>
                <w:bCs w:val="1"/>
                <w:color w:val="auto"/>
              </w:rPr>
              <w:t>Current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Past Due</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Past Due</w:t>
            </w:r>
          </w:p>
        </w:tc>
      </w:t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i w:val="1"/>
                <w:iCs w:val="1"/>
                <w:color w:val="auto"/>
                <w:w w:val="97"/>
              </w:rPr>
              <w:t>(Dollars in thousands)</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Commercial real estate loans</w:t>
            </w:r>
          </w:p>
        </w:tc>
        <w:tc>
          <w:tcPr>
            <w:tcW w:w="1240" w:type="dxa"/>
            <w:vAlign w:val="bottom"/>
            <w:shd w:val="clear" w:color="auto" w:fill="CFF0FC"/>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FF0FC"/>
          </w:tcPr>
          <w:p>
            <w:pPr>
              <w:ind w:left="15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3"/>
        </w:trPr>
        <w:tc>
          <w:tcPr>
            <w:tcW w:w="4240" w:type="dxa"/>
            <w:vAlign w:val="bottom"/>
          </w:tcPr>
          <w:p>
            <w:pPr>
              <w:ind w:left="400"/>
              <w:spacing w:after="0"/>
              <w:rPr>
                <w:sz w:val="20"/>
                <w:szCs w:val="20"/>
                <w:color w:val="auto"/>
              </w:rPr>
            </w:pPr>
            <w:r>
              <w:rPr>
                <w:rFonts w:ascii="Arial" w:cs="Arial" w:eastAsia="Arial" w:hAnsi="Arial"/>
                <w:sz w:val="16"/>
                <w:szCs w:val="16"/>
                <w:color w:val="auto"/>
              </w:rPr>
              <w:t>Commercial and industrial</w:t>
            </w:r>
          </w:p>
        </w:tc>
        <w:tc>
          <w:tcPr>
            <w:tcW w:w="1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205"/>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Dairy &amp; livestock and agribusiness</w:t>
            </w:r>
          </w:p>
        </w:tc>
        <w:tc>
          <w:tcPr>
            <w:tcW w:w="1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ind w:left="15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4"/>
        </w:trPr>
        <w:tc>
          <w:tcPr>
            <w:tcW w:w="4240" w:type="dxa"/>
            <w:vAlign w:val="bottom"/>
          </w:tcPr>
          <w:p>
            <w:pPr>
              <w:ind w:left="540"/>
              <w:spacing w:after="0"/>
              <w:rPr>
                <w:sz w:val="20"/>
                <w:szCs w:val="20"/>
                <w:color w:val="auto"/>
              </w:rPr>
            </w:pPr>
            <w:r>
              <w:rPr>
                <w:rFonts w:ascii="Arial" w:cs="Arial" w:eastAsia="Arial" w:hAnsi="Arial"/>
                <w:sz w:val="16"/>
                <w:szCs w:val="16"/>
                <w:b w:val="1"/>
                <w:bCs w:val="1"/>
                <w:color w:val="auto"/>
              </w:rPr>
              <w:t>Total</w:t>
            </w:r>
          </w:p>
        </w:tc>
        <w:tc>
          <w:tcPr>
            <w:tcW w:w="1240" w:type="dxa"/>
            <w:vAlign w:val="bottom"/>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3,307</w:t>
            </w:r>
          </w:p>
        </w:tc>
        <w:tc>
          <w:tcPr>
            <w:tcW w:w="1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20"/>
        </w:trPr>
        <w:tc>
          <w:tcPr>
            <w:tcW w:w="4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Troubled Debt Restructurings (“TDRs”)</w:t>
      </w:r>
    </w:p>
    <w:p>
      <w:pPr>
        <w:spacing w:after="0" w:line="184" w:lineRule="exact"/>
        <w:rPr>
          <w:sz w:val="20"/>
          <w:szCs w:val="20"/>
          <w:color w:val="auto"/>
        </w:rPr>
      </w:pPr>
    </w:p>
    <w:p>
      <w:pPr>
        <w:jc w:val="both"/>
        <w:ind w:right="240" w:firstLine="432"/>
        <w:spacing w:after="0"/>
        <w:rPr>
          <w:sz w:val="20"/>
          <w:szCs w:val="20"/>
          <w:color w:val="auto"/>
        </w:rPr>
      </w:pPr>
      <w:r>
        <w:rPr>
          <w:rFonts w:ascii="Arial" w:cs="Arial" w:eastAsia="Arial" w:hAnsi="Arial"/>
          <w:sz w:val="16"/>
          <w:szCs w:val="16"/>
          <w:color w:val="auto"/>
        </w:rPr>
        <w:t>Prior to January 1, 2023, loans reported as TDRs were considered impaired and charge-off amounts were taken on an individual loan basis, as deemed appropriate. The majority of restructured loans are loans for which the terms of repayment have been renegotiated, resulting in a reduction in interest rate or deferral of principal. Refer to Note 3 – Summary of Significant Accounting Policies, included in our Annual Report on Form 10-K for the year ended December 31, 2022 for a more detailed discussion regarding TDRs.</w:t>
      </w:r>
    </w:p>
    <w:p>
      <w:pPr>
        <w:spacing w:after="0" w:line="164" w:lineRule="exact"/>
        <w:rPr>
          <w:sz w:val="20"/>
          <w:szCs w:val="20"/>
          <w:color w:val="auto"/>
        </w:rPr>
      </w:pPr>
    </w:p>
    <w:p>
      <w:pPr>
        <w:ind w:right="120" w:firstLine="432"/>
        <w:spacing w:after="0"/>
        <w:rPr>
          <w:sz w:val="20"/>
          <w:szCs w:val="20"/>
          <w:color w:val="auto"/>
        </w:rPr>
      </w:pPr>
      <w:r>
        <w:rPr>
          <w:rFonts w:ascii="Arial" w:cs="Arial" w:eastAsia="Arial" w:hAnsi="Arial"/>
          <w:sz w:val="16"/>
          <w:szCs w:val="16"/>
          <w:color w:val="auto"/>
        </w:rPr>
        <w:t>Total TDRs $7.8 million at December 31, 2022. At December 31, 2022,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a summary of TDRs as of the dates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5"/>
          </w:tcPr>
          <w:p>
            <w:pPr>
              <w:ind w:left="70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7"/>
                <w:szCs w:val="17"/>
                <w:color w:val="auto"/>
              </w:rPr>
            </w:pPr>
          </w:p>
        </w:tc>
        <w:tc>
          <w:tcPr>
            <w:tcW w:w="1620" w:type="dxa"/>
            <w:vAlign w:val="bottom"/>
          </w:tcPr>
          <w:p>
            <w:pPr>
              <w:jc w:val="right"/>
              <w:ind w:right="102"/>
              <w:spacing w:after="0"/>
              <w:rPr>
                <w:sz w:val="20"/>
                <w:szCs w:val="20"/>
                <w:color w:val="auto"/>
              </w:rPr>
            </w:pPr>
            <w:r>
              <w:rPr>
                <w:rFonts w:ascii="Arial" w:cs="Arial" w:eastAsia="Arial" w:hAnsi="Arial"/>
                <w:sz w:val="16"/>
                <w:szCs w:val="16"/>
                <w:b w:val="1"/>
                <w:bCs w:val="1"/>
                <w:color w:val="auto"/>
              </w:rPr>
              <w:t>Number of Loans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4"/>
          </w:tcPr>
          <w:p>
            <w:pPr>
              <w:jc w:val="right"/>
              <w:ind w:right="1002"/>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Performing TDRs:</w:t>
            </w:r>
          </w:p>
        </w:tc>
        <w:tc>
          <w:tcPr>
            <w:tcW w:w="3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rPr>
                <w:sz w:val="20"/>
                <w:szCs w:val="20"/>
                <w:color w:val="auto"/>
              </w:rPr>
            </w:pPr>
            <w:r>
              <w:rPr>
                <w:rFonts w:ascii="Arial" w:cs="Arial" w:eastAsia="Arial" w:hAnsi="Arial"/>
                <w:sz w:val="16"/>
                <w:szCs w:val="16"/>
                <w:color w:val="auto"/>
              </w:rPr>
              <w:t>Commercial real estate</w:t>
            </w:r>
          </w:p>
        </w:tc>
        <w:tc>
          <w:tcPr>
            <w:tcW w:w="3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Construction</w:t>
            </w:r>
          </w:p>
        </w:tc>
        <w:tc>
          <w:tcPr>
            <w:tcW w:w="3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rPr>
                <w:sz w:val="20"/>
                <w:szCs w:val="20"/>
                <w:color w:val="auto"/>
              </w:rPr>
            </w:pPr>
            <w:r>
              <w:rPr>
                <w:rFonts w:ascii="Arial" w:cs="Arial" w:eastAsia="Arial" w:hAnsi="Arial"/>
                <w:sz w:val="16"/>
                <w:szCs w:val="16"/>
                <w:color w:val="auto"/>
              </w:rPr>
              <w:t>SBA</w:t>
            </w: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and industrial</w:t>
            </w:r>
          </w:p>
        </w:tc>
        <w:tc>
          <w:tcPr>
            <w:tcW w:w="3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w:t>
            </w:r>
          </w:p>
        </w:tc>
        <w:tc>
          <w:tcPr>
            <w:tcW w:w="1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rPr>
                <w:sz w:val="20"/>
                <w:szCs w:val="20"/>
                <w:color w:val="auto"/>
              </w:rPr>
            </w:pPr>
            <w:r>
              <w:rPr>
                <w:rFonts w:ascii="Arial" w:cs="Arial" w:eastAsia="Arial" w:hAnsi="Arial"/>
                <w:sz w:val="16"/>
                <w:szCs w:val="16"/>
                <w:color w:val="auto"/>
              </w:rPr>
              <w:t>Dairy &amp; livestock and agribusiness</w:t>
            </w: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SFR mortgage</w:t>
            </w:r>
          </w:p>
        </w:tc>
        <w:tc>
          <w:tcPr>
            <w:tcW w:w="3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rPr>
                <w:sz w:val="20"/>
                <w:szCs w:val="20"/>
                <w:color w:val="auto"/>
              </w:rPr>
            </w:pPr>
            <w:r>
              <w:rPr>
                <w:rFonts w:ascii="Arial" w:cs="Arial" w:eastAsia="Arial" w:hAnsi="Arial"/>
                <w:sz w:val="16"/>
                <w:szCs w:val="16"/>
                <w:color w:val="auto"/>
              </w:rPr>
              <w:t>Consumer and other</w:t>
            </w: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performing TDRs</w:t>
            </w:r>
          </w:p>
        </w:tc>
        <w:tc>
          <w:tcPr>
            <w:tcW w:w="3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7,817</w:t>
            </w:r>
          </w:p>
        </w:tc>
        <w:tc>
          <w:tcPr>
            <w:tcW w:w="1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3840" w:type="dxa"/>
            <w:vAlign w:val="bottom"/>
          </w:tcPr>
          <w:p>
            <w:pPr>
              <w:ind w:left="20"/>
              <w:spacing w:after="0"/>
              <w:rPr>
                <w:sz w:val="20"/>
                <w:szCs w:val="20"/>
                <w:color w:val="auto"/>
              </w:rPr>
            </w:pPr>
            <w:r>
              <w:rPr>
                <w:rFonts w:ascii="Arial" w:cs="Arial" w:eastAsia="Arial" w:hAnsi="Arial"/>
                <w:sz w:val="16"/>
                <w:szCs w:val="16"/>
                <w:color w:val="auto"/>
              </w:rPr>
              <w:t>Nonperforming TDRs:</w:t>
            </w: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real estate</w:t>
            </w:r>
          </w:p>
        </w:tc>
        <w:tc>
          <w:tcPr>
            <w:tcW w:w="3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rPr>
                <w:sz w:val="20"/>
                <w:szCs w:val="20"/>
                <w:color w:val="auto"/>
              </w:rPr>
            </w:pPr>
            <w:r>
              <w:rPr>
                <w:rFonts w:ascii="Arial" w:cs="Arial" w:eastAsia="Arial" w:hAnsi="Arial"/>
                <w:sz w:val="16"/>
                <w:szCs w:val="16"/>
                <w:color w:val="auto"/>
              </w:rPr>
              <w:t>Construction</w:t>
            </w: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SBA</w:t>
            </w:r>
          </w:p>
        </w:tc>
        <w:tc>
          <w:tcPr>
            <w:tcW w:w="3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rPr>
                <w:sz w:val="20"/>
                <w:szCs w:val="20"/>
                <w:color w:val="auto"/>
              </w:rPr>
            </w:pPr>
            <w:r>
              <w:rPr>
                <w:rFonts w:ascii="Arial" w:cs="Arial" w:eastAsia="Arial" w:hAnsi="Arial"/>
                <w:sz w:val="16"/>
                <w:szCs w:val="16"/>
                <w:color w:val="auto"/>
              </w:rPr>
              <w:t>Commercial and industrial</w:t>
            </w: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Dairy &amp; livestock and agribusiness</w:t>
            </w:r>
          </w:p>
        </w:tc>
        <w:tc>
          <w:tcPr>
            <w:tcW w:w="3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840" w:type="dxa"/>
            <w:vAlign w:val="bottom"/>
            <w:vMerge w:val="restart"/>
          </w:tcPr>
          <w:p>
            <w:pPr>
              <w:ind w:left="100"/>
              <w:spacing w:after="0"/>
              <w:rPr>
                <w:sz w:val="20"/>
                <w:szCs w:val="20"/>
                <w:color w:val="auto"/>
              </w:rPr>
            </w:pPr>
            <w:r>
              <w:rPr>
                <w:rFonts w:ascii="Arial" w:cs="Arial" w:eastAsia="Arial" w:hAnsi="Arial"/>
                <w:sz w:val="16"/>
                <w:szCs w:val="16"/>
                <w:color w:val="auto"/>
              </w:rPr>
              <w:t>SFR mortgage</w:t>
            </w: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3840" w:type="dxa"/>
            <w:vAlign w:val="bottom"/>
            <w:vMerge w:val="continue"/>
          </w:tcPr>
          <w:p>
            <w:pPr>
              <w:spacing w:after="0"/>
              <w:rPr>
                <w:sz w:val="13"/>
                <w:szCs w:val="13"/>
                <w:color w:val="auto"/>
              </w:rPr>
            </w:pPr>
          </w:p>
        </w:tc>
        <w:tc>
          <w:tcPr>
            <w:tcW w:w="3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Consumer and other</w:t>
            </w:r>
          </w:p>
        </w:tc>
        <w:tc>
          <w:tcPr>
            <w:tcW w:w="3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40" w:type="dxa"/>
            <w:vAlign w:val="bottom"/>
          </w:tcPr>
          <w:p>
            <w:pPr>
              <w:ind w:left="260"/>
              <w:spacing w:after="0"/>
              <w:rPr>
                <w:sz w:val="20"/>
                <w:szCs w:val="20"/>
                <w:color w:val="auto"/>
              </w:rPr>
            </w:pPr>
            <w:r>
              <w:rPr>
                <w:rFonts w:ascii="Arial" w:cs="Arial" w:eastAsia="Arial" w:hAnsi="Arial"/>
                <w:sz w:val="16"/>
                <w:szCs w:val="16"/>
                <w:color w:val="auto"/>
              </w:rPr>
              <w:t>Total nonperforming TDRs</w:t>
            </w: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5"/>
        </w:trPr>
        <w:tc>
          <w:tcPr>
            <w:tcW w:w="38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TDRs</w:t>
            </w:r>
          </w:p>
        </w:tc>
        <w:tc>
          <w:tcPr>
            <w:tcW w:w="3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7,817</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3840" w:type="dxa"/>
            <w:vAlign w:val="bottom"/>
            <w:tcBorders>
              <w:top w:val="single" w:sz="8" w:color="CFF0FC"/>
            </w:tcBorders>
          </w:tcPr>
          <w:p>
            <w:pPr>
              <w:spacing w:after="0"/>
              <w:rPr>
                <w:sz w:val="24"/>
                <w:szCs w:val="24"/>
                <w:color w:val="auto"/>
              </w:rPr>
            </w:pPr>
          </w:p>
        </w:tc>
        <w:tc>
          <w:tcPr>
            <w:tcW w:w="3220" w:type="dxa"/>
            <w:vAlign w:val="bottom"/>
            <w:tcBorders>
              <w:top w:val="single" w:sz="8" w:color="CFF0FC"/>
            </w:tcBorders>
          </w:tcPr>
          <w:p>
            <w:pPr>
              <w:jc w:val="right"/>
              <w:ind w:right="1602"/>
              <w:spacing w:after="0"/>
              <w:rPr>
                <w:sz w:val="20"/>
                <w:szCs w:val="20"/>
                <w:color w:val="auto"/>
              </w:rPr>
            </w:pPr>
            <w:r>
              <w:rPr>
                <w:rFonts w:ascii="Arial" w:cs="Arial" w:eastAsia="Arial" w:hAnsi="Arial"/>
                <w:sz w:val="16"/>
                <w:szCs w:val="16"/>
                <w:color w:val="auto"/>
              </w:rPr>
              <w:t>61</w:t>
            </w: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4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6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790" w:right="680" w:bottom="1440" w:gutter="0" w:footer="0" w:header="0"/>
        </w:sectPr>
      </w:pPr>
    </w:p>
    <w:bookmarkStart w:id="61" w:name="page62"/>
    <w:bookmarkEnd w:id="61"/>
    <w:p>
      <w:pPr>
        <w:ind w:right="300" w:firstLine="43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At June 30, 2023 and December 31, 2022, there was no ACL allocated to modified loans to borrowers experiencing financial difficulty under the ASU 2022-02 or under TDRs, respectively. Impairment amounts identified are typically charged off against the allowance at the time the loan is considered uncollectible. There were no charge-offs on modified loans to borrowers experiencing financial difficulty or TDRs for the six months ended June 30, 2023 and 2022.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Nonperforming Assets and Delinquencies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provides trends in our nonperforming assets and delinquencies as of the dates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5"/>
                <w:szCs w:val="15"/>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74"/>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74"/>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94"/>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9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7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60" w:type="dxa"/>
            <w:vAlign w:val="bottom"/>
            <w:gridSpan w:val="6"/>
            <w:shd w:val="clear" w:color="auto" w:fill="CFF0FC"/>
          </w:tcPr>
          <w:p>
            <w:pPr>
              <w:ind w:left="20"/>
              <w:spacing w:after="0"/>
              <w:rPr>
                <w:sz w:val="20"/>
                <w:szCs w:val="20"/>
                <w:color w:val="auto"/>
              </w:rPr>
            </w:pPr>
            <w:r>
              <w:rPr>
                <w:rFonts w:ascii="Arial" w:cs="Arial" w:eastAsia="Arial" w:hAnsi="Arial"/>
                <w:sz w:val="13"/>
                <w:szCs w:val="13"/>
                <w:b w:val="1"/>
                <w:bCs w:val="1"/>
                <w:color w:val="auto"/>
              </w:rPr>
              <w:t>Nonperforming loans:</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3,159</w:t>
            </w:r>
          </w:p>
        </w:tc>
        <w:tc>
          <w:tcPr>
            <w:tcW w:w="260" w:type="dxa"/>
            <w:vAlign w:val="bottom"/>
          </w:tcPr>
          <w:p>
            <w:pPr>
              <w:spacing w:after="0"/>
              <w:rPr>
                <w:sz w:val="15"/>
                <w:szCs w:val="15"/>
                <w:color w:val="auto"/>
              </w:rPr>
            </w:pP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2,634</w:t>
            </w:r>
          </w:p>
        </w:tc>
        <w:tc>
          <w:tcPr>
            <w:tcW w:w="1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2,657</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6,705</w:t>
            </w:r>
          </w:p>
        </w:tc>
        <w:tc>
          <w:tcPr>
            <w:tcW w:w="24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6,843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Construction</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40" w:type="dxa"/>
            <w:vAlign w:val="bottom"/>
            <w:gridSpan w:val="5"/>
            <w:vMerge w:val="restart"/>
          </w:tcPr>
          <w:p>
            <w:pPr>
              <w:ind w:left="160"/>
              <w:spacing w:after="0"/>
              <w:rPr>
                <w:sz w:val="20"/>
                <w:szCs w:val="20"/>
                <w:color w:val="auto"/>
              </w:rPr>
            </w:pPr>
            <w:r>
              <w:rPr>
                <w:rFonts w:ascii="Arial" w:cs="Arial" w:eastAsia="Arial" w:hAnsi="Arial"/>
                <w:sz w:val="13"/>
                <w:szCs w:val="13"/>
                <w:color w:val="auto"/>
              </w:rPr>
              <w:t>SBA</w:t>
            </w: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629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702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443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1,065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1,075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4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SBA - PPP</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Commercial and industrial</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2,039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2,049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1,320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1,308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1,655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Dairy &amp; livestock and agribusiness</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1,007</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3,354</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SFR mortgage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Consumer and other loans</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5"/>
          </w:tcPr>
          <w:p>
            <w:pPr>
              <w:ind w:left="3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6,454</w:t>
            </w:r>
          </w:p>
        </w:tc>
        <w:tc>
          <w:tcPr>
            <w:tcW w:w="260" w:type="dxa"/>
            <w:vAlign w:val="bottom"/>
          </w:tcPr>
          <w:p>
            <w:pPr>
              <w:spacing w:after="0"/>
              <w:rPr>
                <w:sz w:val="15"/>
                <w:szCs w:val="15"/>
                <w:color w:val="auto"/>
              </w:rPr>
            </w:pPr>
          </w:p>
        </w:tc>
        <w:tc>
          <w:tcPr>
            <w:tcW w:w="200" w:type="dxa"/>
            <w:vAlign w:val="bottom"/>
          </w:tcPr>
          <w:p>
            <w:pPr>
              <w:jc w:val="right"/>
              <w:ind w:right="34"/>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6,175</w:t>
            </w:r>
          </w:p>
        </w:tc>
        <w:tc>
          <w:tcPr>
            <w:tcW w:w="1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4,930</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10,117</w:t>
            </w:r>
          </w:p>
        </w:tc>
        <w:tc>
          <w:tcPr>
            <w:tcW w:w="24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12,964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5"/>
          </w:tcPr>
          <w:p>
            <w:pPr>
              <w:ind w:left="320"/>
              <w:spacing w:after="0"/>
              <w:rPr>
                <w:sz w:val="20"/>
                <w:szCs w:val="20"/>
                <w:color w:val="auto"/>
              </w:rPr>
            </w:pPr>
            <w:r>
              <w:rPr>
                <w:rFonts w:ascii="Arial" w:cs="Arial" w:eastAsia="Arial" w:hAnsi="Arial"/>
                <w:sz w:val="13"/>
                <w:szCs w:val="13"/>
                <w:b w:val="1"/>
                <w:bCs w:val="1"/>
                <w:color w:val="auto"/>
              </w:rPr>
              <w:t>% of Total loans</w:t>
            </w:r>
          </w:p>
        </w:tc>
        <w:tc>
          <w:tcPr>
            <w:tcW w:w="2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0.07 %</w:t>
            </w:r>
          </w:p>
        </w:tc>
        <w:tc>
          <w:tcPr>
            <w:tcW w:w="20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0.07 %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0.05 %</w:t>
            </w:r>
          </w:p>
        </w:tc>
        <w:tc>
          <w:tcPr>
            <w:tcW w:w="1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0.12 %</w:t>
            </w:r>
          </w:p>
        </w:tc>
        <w:tc>
          <w:tcPr>
            <w:tcW w:w="20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0.15 %</w:t>
            </w:r>
          </w:p>
        </w:tc>
        <w:tc>
          <w:tcPr>
            <w:tcW w:w="0" w:type="dxa"/>
            <w:vAlign w:val="bottom"/>
          </w:tcPr>
          <w:p>
            <w:pPr>
              <w:spacing w:after="0"/>
              <w:rPr>
                <w:sz w:val="1"/>
                <w:szCs w:val="1"/>
                <w:color w:val="auto"/>
              </w:rPr>
            </w:pPr>
          </w:p>
        </w:tc>
      </w:tr>
      <w:tr>
        <w:trPr>
          <w:trHeight w:val="324"/>
        </w:trPr>
        <w:tc>
          <w:tcPr>
            <w:tcW w:w="3460" w:type="dxa"/>
            <w:vAlign w:val="bottom"/>
            <w:gridSpan w:val="6"/>
          </w:tcPr>
          <w:p>
            <w:pPr>
              <w:ind w:left="20"/>
              <w:spacing w:after="0"/>
              <w:rPr>
                <w:sz w:val="20"/>
                <w:szCs w:val="20"/>
                <w:color w:val="auto"/>
              </w:rPr>
            </w:pPr>
            <w:r>
              <w:rPr>
                <w:rFonts w:ascii="Arial" w:cs="Arial" w:eastAsia="Arial" w:hAnsi="Arial"/>
                <w:sz w:val="13"/>
                <w:szCs w:val="13"/>
                <w:b w:val="1"/>
                <w:bCs w:val="1"/>
                <w:color w:val="auto"/>
              </w:rPr>
              <w:t>Past due 30-89 days: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Commercial real estate</w:t>
            </w: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w:t>
            </w:r>
          </w:p>
        </w:tc>
        <w:tc>
          <w:tcPr>
            <w:tcW w:w="18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Construction</w:t>
            </w:r>
          </w:p>
        </w:tc>
        <w:tc>
          <w:tcPr>
            <w:tcW w:w="22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SBA</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556</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Commercial and industrial</w:t>
            </w:r>
          </w:p>
        </w:tc>
        <w:tc>
          <w:tcPr>
            <w:tcW w:w="22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Dairy &amp; livestock and agribusiness</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SFR mortgage</w:t>
            </w:r>
          </w:p>
        </w:tc>
        <w:tc>
          <w:tcPr>
            <w:tcW w:w="22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Consumer and other loans</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5"/>
          </w:tcPr>
          <w:p>
            <w:pPr>
              <w:ind w:left="3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1,087</w:t>
            </w:r>
          </w:p>
        </w:tc>
        <w:tc>
          <w:tcPr>
            <w:tcW w:w="260" w:type="dxa"/>
            <w:vAlign w:val="bottom"/>
          </w:tcPr>
          <w:p>
            <w:pPr>
              <w:spacing w:after="0"/>
              <w:rPr>
                <w:sz w:val="15"/>
                <w:szCs w:val="15"/>
                <w:color w:val="auto"/>
              </w:rPr>
            </w:pPr>
          </w:p>
        </w:tc>
        <w:tc>
          <w:tcPr>
            <w:tcW w:w="200" w:type="dxa"/>
            <w:vAlign w:val="bottom"/>
          </w:tcPr>
          <w:p>
            <w:pPr>
              <w:jc w:val="right"/>
              <w:ind w:right="34"/>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1,183</w:t>
            </w:r>
          </w:p>
        </w:tc>
        <w:tc>
          <w:tcPr>
            <w:tcW w:w="1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1,119</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3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559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5"/>
          </w:tcPr>
          <w:p>
            <w:pPr>
              <w:ind w:left="320"/>
              <w:spacing w:after="0"/>
              <w:rPr>
                <w:sz w:val="20"/>
                <w:szCs w:val="20"/>
                <w:color w:val="auto"/>
              </w:rPr>
            </w:pPr>
            <w:r>
              <w:rPr>
                <w:rFonts w:ascii="Arial" w:cs="Arial" w:eastAsia="Arial" w:hAnsi="Arial"/>
                <w:sz w:val="13"/>
                <w:szCs w:val="13"/>
                <w:b w:val="1"/>
                <w:bCs w:val="1"/>
                <w:color w:val="auto"/>
              </w:rPr>
              <w:t>% of Total loans</w:t>
            </w:r>
          </w:p>
        </w:tc>
        <w:tc>
          <w:tcPr>
            <w:tcW w:w="2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0.01 %</w:t>
            </w:r>
          </w:p>
        </w:tc>
        <w:tc>
          <w:tcPr>
            <w:tcW w:w="20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0.01 %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0.01 %</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0.01 %</w:t>
            </w:r>
          </w:p>
        </w:tc>
        <w:tc>
          <w:tcPr>
            <w:tcW w:w="0" w:type="dxa"/>
            <w:vAlign w:val="bottom"/>
          </w:tcPr>
          <w:p>
            <w:pPr>
              <w:spacing w:after="0"/>
              <w:rPr>
                <w:sz w:val="1"/>
                <w:szCs w:val="1"/>
                <w:color w:val="auto"/>
              </w:rPr>
            </w:pPr>
          </w:p>
        </w:tc>
      </w:tr>
      <w:tr>
        <w:trPr>
          <w:trHeight w:val="324"/>
        </w:trPr>
        <w:tc>
          <w:tcPr>
            <w:tcW w:w="3460" w:type="dxa"/>
            <w:vAlign w:val="bottom"/>
            <w:gridSpan w:val="6"/>
          </w:tcPr>
          <w:p>
            <w:pPr>
              <w:ind w:left="20"/>
              <w:spacing w:after="0"/>
              <w:rPr>
                <w:sz w:val="20"/>
                <w:szCs w:val="20"/>
                <w:color w:val="auto"/>
              </w:rPr>
            </w:pPr>
            <w:r>
              <w:rPr>
                <w:rFonts w:ascii="Arial" w:cs="Arial" w:eastAsia="Arial" w:hAnsi="Arial"/>
                <w:sz w:val="13"/>
                <w:szCs w:val="13"/>
                <w:b w:val="1"/>
                <w:bCs w:val="1"/>
                <w:color w:val="auto"/>
              </w:rPr>
              <w:t>OREO:</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Commercial real estate</w:t>
            </w: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SBA</w:t>
            </w:r>
          </w:p>
        </w:tc>
        <w:tc>
          <w:tcPr>
            <w:tcW w:w="22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SFR mortgage</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5"/>
          </w:tcPr>
          <w:p>
            <w:pPr>
              <w:ind w:left="3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jc w:val="right"/>
              <w:ind w:right="34"/>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3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b w:val="1"/>
                <w:bCs w:val="1"/>
                <w:color w:val="auto"/>
              </w:rPr>
              <w:t>Total nonperforming, past due,</w:t>
            </w:r>
          </w:p>
        </w:tc>
        <w:tc>
          <w:tcPr>
            <w:tcW w:w="220" w:type="dxa"/>
            <w:vAlign w:val="bottom"/>
            <w:vMerge w:val="restart"/>
            <w:shd w:val="clear" w:color="auto" w:fill="CFF0FC"/>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7,541</w:t>
            </w:r>
          </w:p>
        </w:tc>
        <w:tc>
          <w:tcPr>
            <w:tcW w:w="26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ind w:right="34"/>
              <w:spacing w:after="0"/>
              <w:rPr>
                <w:sz w:val="20"/>
                <w:szCs w:val="20"/>
                <w:color w:val="auto"/>
              </w:rPr>
            </w:pPr>
            <w:r>
              <w:rPr>
                <w:rFonts w:ascii="Arial" w:cs="Arial" w:eastAsia="Arial" w:hAnsi="Arial"/>
                <w:sz w:val="13"/>
                <w:szCs w:val="13"/>
                <w:b w:val="1"/>
                <w:bCs w:val="1"/>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7,358</w:t>
            </w:r>
          </w:p>
        </w:tc>
        <w:tc>
          <w:tcPr>
            <w:tcW w:w="18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6,049</w:t>
            </w:r>
          </w:p>
        </w:tc>
        <w:tc>
          <w:tcPr>
            <w:tcW w:w="26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10,117</w:t>
            </w:r>
          </w:p>
        </w:tc>
        <w:tc>
          <w:tcPr>
            <w:tcW w:w="24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13,523</w:t>
            </w:r>
          </w:p>
        </w:tc>
        <w:tc>
          <w:tcPr>
            <w:tcW w:w="8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3000" w:type="dxa"/>
            <w:vAlign w:val="bottom"/>
            <w:tcBorders>
              <w:bottom w:val="single" w:sz="8" w:color="CFF0FC"/>
            </w:tcBorders>
            <w:gridSpan w:val="4"/>
            <w:shd w:val="clear" w:color="auto" w:fill="CFF0FC"/>
          </w:tcPr>
          <w:p>
            <w:pPr>
              <w:ind w:left="140"/>
              <w:spacing w:after="0" w:line="148" w:lineRule="exact"/>
              <w:rPr>
                <w:sz w:val="20"/>
                <w:szCs w:val="20"/>
                <w:color w:val="auto"/>
              </w:rPr>
            </w:pPr>
            <w:r>
              <w:rPr>
                <w:rFonts w:ascii="Arial" w:cs="Arial" w:eastAsia="Arial" w:hAnsi="Arial"/>
                <w:sz w:val="13"/>
                <w:szCs w:val="13"/>
                <w:b w:val="1"/>
                <w:bCs w:val="1"/>
                <w:color w:val="auto"/>
              </w:rPr>
              <w:t>and OREO</w:t>
            </w: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vMerge w:val="continue"/>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40" w:type="dxa"/>
            <w:vAlign w:val="bottom"/>
            <w:gridSpan w:val="3"/>
          </w:tcPr>
          <w:p>
            <w:pPr>
              <w:ind w:left="40"/>
              <w:spacing w:after="0"/>
              <w:rPr>
                <w:sz w:val="20"/>
                <w:szCs w:val="20"/>
                <w:color w:val="auto"/>
              </w:rPr>
            </w:pPr>
            <w:r>
              <w:rPr>
                <w:rFonts w:ascii="Arial" w:cs="Arial" w:eastAsia="Arial" w:hAnsi="Arial"/>
                <w:sz w:val="13"/>
                <w:szCs w:val="13"/>
                <w:b w:val="1"/>
                <w:bCs w:val="1"/>
                <w:color w:val="auto"/>
              </w:rPr>
              <w:t>% of Total loans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0.08 %</w:t>
            </w:r>
          </w:p>
        </w:tc>
        <w:tc>
          <w:tcPr>
            <w:tcW w:w="20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0.08 %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0.07 %</w:t>
            </w:r>
          </w:p>
        </w:tc>
        <w:tc>
          <w:tcPr>
            <w:tcW w:w="12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0.12 %</w:t>
            </w:r>
          </w:p>
        </w:tc>
        <w:tc>
          <w:tcPr>
            <w:tcW w:w="2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0.16 %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6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3"/>
                <w:szCs w:val="13"/>
                <w:b w:val="1"/>
                <w:bCs w:val="1"/>
                <w:color w:val="auto"/>
              </w:rPr>
              <w:t>Classified Loans</w:t>
            </w:r>
          </w:p>
        </w:tc>
        <w:tc>
          <w:tcPr>
            <w:tcW w:w="2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77,834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66,977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78,658</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63,651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76,170</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ind w:right="140" w:firstLine="432"/>
        <w:spacing w:after="0" w:line="238" w:lineRule="auto"/>
        <w:rPr>
          <w:sz w:val="20"/>
          <w:szCs w:val="20"/>
          <w:color w:val="auto"/>
        </w:rPr>
      </w:pPr>
      <w:r>
        <w:rPr>
          <w:rFonts w:ascii="Arial" w:cs="Arial" w:eastAsia="Arial" w:hAnsi="Arial"/>
          <w:sz w:val="16"/>
          <w:szCs w:val="16"/>
          <w:color w:val="auto"/>
        </w:rPr>
        <w:t>Nonperforming loans, defined as nonaccrual loans, nonperforming modified/TDR loans and loans past due 90 days or more, were $6.5 million at June 30, 2023, or 0.07% of total loans. This compares to nonperforming loans of $4.9 million, or 0.05% of total loans, at December 31, 2022 and $13.0 million, or 0.15% of total loans, at June 30, 2022. The $1.5 million increase in nonperforming loans from December 31, 2022 was primarily due to an increase of $719,000 in commercial and industrial loans and $502,000 in commercial real estate loans. Classified loans are loans that are graded “substandard” or worse. Classified loans increased $10.9 million quarter-over- quarter, primarily due to a $9.7 million increase in classified commercial real estate loans and a $6.1 million increase in classified dairy &amp; livestock and agribusiness loans, partially offset by a $4.4 million decrease in classified commercial and industrial loans.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62</w:t>
      </w:r>
    </w:p>
    <w:p>
      <w:pPr>
        <w:sectPr>
          <w:pgSz w:w="11900" w:h="16840" w:orient="portrait"/>
          <w:cols w:equalWidth="0" w:num="1">
            <w:col w:w="10600"/>
          </w:cols>
          <w:pgMar w:left="660" w:top="790" w:right="640"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Allowance for Credit Losses</w:t>
      </w:r>
    </w:p>
    <w:p>
      <w:pPr>
        <w:spacing w:after="0" w:line="184"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The allowance for credit losses totaled $87.0 million as of June 30, 2023, compared to $85.1 million as of December 31, 2022 and $80.2 million as of June 30, 2022. Our allowance for credit losses at June 30, 2023 was 0.98% of total loans. This compares to 0.94% and 0.92% at December 31, 2022 and June 30, 2022, respectively. The ACL was increased by $ 1.9 million for the first six month of 2023, including $2.0 million in provision for credit losses. The ACL increased by $15.2 million for the six months ended June 30, 2022, including $8.6 million for the acquired Suncrest PCD loans and $6.1 million in provision for credit losses. Net charge-offs were $150,000 for the six months ended June 30, 2023, which compares to $498,000 in net recoveries for the same period of 2022.</w:t>
      </w:r>
    </w:p>
    <w:p>
      <w:pPr>
        <w:spacing w:after="0" w:line="166" w:lineRule="exact"/>
        <w:rPr>
          <w:sz w:val="20"/>
          <w:szCs w:val="20"/>
          <w:color w:val="auto"/>
        </w:rPr>
      </w:pPr>
    </w:p>
    <w:p>
      <w:pPr>
        <w:ind w:firstLine="432"/>
        <w:spacing w:after="0" w:line="236" w:lineRule="auto"/>
        <w:rPr>
          <w:sz w:val="20"/>
          <w:szCs w:val="20"/>
          <w:color w:val="auto"/>
        </w:rPr>
      </w:pPr>
      <w:r>
        <w:rPr>
          <w:rFonts w:ascii="Arial" w:cs="Arial" w:eastAsia="Arial" w:hAnsi="Arial"/>
          <w:sz w:val="16"/>
          <w:szCs w:val="16"/>
          <w:color w:val="auto"/>
        </w:rPr>
        <w:t>The allowance for credit losses as of June 30, 2023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Paycheck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Paycheck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66"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Our economic forecast continues to be a blend of multiple forecasts produced by Moody’s. The baseline forecast continues to represent the largest weighting in our multi-weighted forecast scenario, with downside risks, including a stagflation scenario, weighted among these multiple forecasts. As of June 30, 2023, the resulting weighted forecast assumes GDP will increase by 1.5% in 2023, including a decline in GDP in the second half of this year, followed by modest growth of 0.8% for 2024 and then grow by 2.0% in 2025. The unemployment rate is forecasted to be 3.8% in 2023, followed by an increase to 5.0% in both 2024 and 2025. As there is continued uncertainty around the assumptions that impact our economic forecast, no assurance can be given that economic conditions that adversely affect the Company's service areas and customers will not be reflected in an increased allowance for credit losses in future periods.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63" w:name="page64"/>
    <w:bookmarkEnd w:id="63"/>
    <w:p>
      <w:pPr>
        <w:ind w:right="80"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table below presents a summary of charge-offs and recoveries by type, the provision for credit losses on loans, and the resulting allowance for credit losses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4"/>
          </w:tcPr>
          <w:p>
            <w:pPr>
              <w:jc w:val="center"/>
              <w:ind w:left="562"/>
              <w:spacing w:after="0"/>
              <w:rPr>
                <w:sz w:val="20"/>
                <w:szCs w:val="20"/>
                <w:color w:val="auto"/>
              </w:rPr>
            </w:pPr>
            <w:r>
              <w:rPr>
                <w:rFonts w:ascii="Arial" w:cs="Arial" w:eastAsia="Arial" w:hAnsi="Arial"/>
                <w:sz w:val="16"/>
                <w:szCs w:val="16"/>
                <w:b w:val="1"/>
                <w:bCs w:val="1"/>
                <w:color w:val="auto"/>
                <w:w w:val="97"/>
              </w:rPr>
              <w:t>As of and For the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4"/>
          </w:tcPr>
          <w:p>
            <w:pPr>
              <w:jc w:val="center"/>
              <w:ind w:left="542"/>
              <w:spacing w:after="0"/>
              <w:rPr>
                <w:sz w:val="20"/>
                <w:szCs w:val="20"/>
                <w:color w:val="auto"/>
              </w:rPr>
            </w:pPr>
            <w:r>
              <w:rPr>
                <w:rFonts w:ascii="Arial" w:cs="Arial" w:eastAsia="Arial" w:hAnsi="Arial"/>
                <w:sz w:val="16"/>
                <w:szCs w:val="16"/>
                <w:b w:val="1"/>
                <w:bCs w:val="1"/>
                <w:color w:val="auto"/>
                <w:w w:val="96"/>
              </w:rPr>
              <w:t>Six Months Ended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4"/>
          </w:tcPr>
          <w:p>
            <w:pPr>
              <w:jc w:val="center"/>
              <w:ind w:left="542"/>
              <w:spacing w:after="0"/>
              <w:rPr>
                <w:sz w:val="20"/>
                <w:szCs w:val="20"/>
                <w:color w:val="auto"/>
              </w:rPr>
            </w:pPr>
            <w:r>
              <w:rPr>
                <w:rFonts w:ascii="Arial" w:cs="Arial" w:eastAsia="Arial" w:hAnsi="Arial"/>
                <w:sz w:val="16"/>
                <w:szCs w:val="16"/>
                <w:b w:val="1"/>
                <w:bCs w:val="1"/>
                <w:color w:val="auto"/>
                <w:w w:val="96"/>
              </w:rPr>
              <w:t>June 30,</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ind w:right="522"/>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7"/>
          </w:tcPr>
          <w:p>
            <w:pPr>
              <w:jc w:val="center"/>
              <w:ind w:right="460"/>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207"/>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Allowance for credit losses at beginning of period</w:t>
            </w:r>
          </w:p>
        </w:tc>
        <w:tc>
          <w:tcPr>
            <w:tcW w:w="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85,117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65,019</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rPr>
                <w:sz w:val="20"/>
                <w:szCs w:val="20"/>
                <w:color w:val="auto"/>
              </w:rPr>
            </w:pPr>
            <w:r>
              <w:rPr>
                <w:rFonts w:ascii="Arial" w:cs="Arial" w:eastAsia="Arial" w:hAnsi="Arial"/>
                <w:sz w:val="16"/>
                <w:szCs w:val="16"/>
                <w:color w:val="auto"/>
              </w:rPr>
              <w:t>Charge-offs: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real estate</w:t>
            </w:r>
          </w:p>
        </w:tc>
        <w:tc>
          <w:tcPr>
            <w:tcW w:w="30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Construction</w:t>
            </w:r>
          </w:p>
        </w:tc>
        <w:tc>
          <w:tcPr>
            <w:tcW w:w="30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SBA</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(181 )</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2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Dairy &amp; livestock and agribusiness</w:t>
            </w:r>
          </w:p>
        </w:tc>
        <w:tc>
          <w:tcPr>
            <w:tcW w:w="30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SFR mortgage</w:t>
            </w:r>
          </w:p>
        </w:tc>
        <w:tc>
          <w:tcPr>
            <w:tcW w:w="30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Consumer and other loans</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60"/>
              <w:spacing w:after="0"/>
              <w:rPr>
                <w:sz w:val="20"/>
                <w:szCs w:val="20"/>
                <w:color w:val="auto"/>
              </w:rPr>
            </w:pPr>
            <w:r>
              <w:rPr>
                <w:rFonts w:ascii="Arial" w:cs="Arial" w:eastAsia="Arial" w:hAnsi="Arial"/>
                <w:sz w:val="16"/>
                <w:szCs w:val="16"/>
                <w:color w:val="auto"/>
              </w:rPr>
              <w:t>Total charge-offs</w:t>
            </w:r>
          </w:p>
        </w:tc>
        <w:tc>
          <w:tcPr>
            <w:tcW w:w="3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(198 )</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(24 )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Recoveries: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Commercial real estate</w:t>
            </w:r>
          </w:p>
        </w:tc>
        <w:tc>
          <w:tcPr>
            <w:tcW w:w="30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SBA</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and industrial</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Dairy &amp; livestock and agribusiness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SFR mortgage</w:t>
            </w:r>
          </w:p>
        </w:tc>
        <w:tc>
          <w:tcPr>
            <w:tcW w:w="30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Consumer and other loans</w:t>
            </w:r>
          </w:p>
        </w:tc>
        <w:tc>
          <w:tcPr>
            <w:tcW w:w="30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recoveries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rPr>
                <w:sz w:val="20"/>
                <w:szCs w:val="20"/>
                <w:color w:val="auto"/>
              </w:rPr>
            </w:pPr>
            <w:r>
              <w:rPr>
                <w:rFonts w:ascii="Arial" w:cs="Arial" w:eastAsia="Arial" w:hAnsi="Arial"/>
                <w:sz w:val="16"/>
                <w:szCs w:val="16"/>
                <w:color w:val="auto"/>
              </w:rPr>
              <w:t>Net (charge-offs) recoveries</w:t>
            </w:r>
          </w:p>
        </w:tc>
        <w:tc>
          <w:tcPr>
            <w:tcW w:w="3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(150 )</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Initial ACL for PCD loans at acquisition</w:t>
            </w:r>
          </w:p>
        </w:tc>
        <w:tc>
          <w:tcPr>
            <w:tcW w:w="30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8,605</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rPr>
                <w:sz w:val="20"/>
                <w:szCs w:val="20"/>
                <w:color w:val="auto"/>
              </w:rPr>
            </w:pPr>
            <w:r>
              <w:rPr>
                <w:rFonts w:ascii="Arial" w:cs="Arial" w:eastAsia="Arial" w:hAnsi="Arial"/>
                <w:sz w:val="16"/>
                <w:szCs w:val="16"/>
                <w:color w:val="auto"/>
              </w:rPr>
              <w:t>Provision recorded at acquisition</w:t>
            </w:r>
          </w:p>
        </w:tc>
        <w:tc>
          <w:tcPr>
            <w:tcW w:w="30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4,932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(recapture of) credit losses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Allowance for credit losses at end of period</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Summary of reserve for unfunded loan commitments: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Reserve for unfunded loan commitments at beginning of period</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unfunded loan commitments</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240" w:type="dxa"/>
            <w:vAlign w:val="bottom"/>
          </w:tcPr>
          <w:p>
            <w:pPr>
              <w:ind w:left="180"/>
              <w:spacing w:after="0"/>
              <w:rPr>
                <w:sz w:val="20"/>
                <w:szCs w:val="20"/>
                <w:color w:val="auto"/>
              </w:rPr>
            </w:pPr>
            <w:r>
              <w:rPr>
                <w:rFonts w:ascii="Arial" w:cs="Arial" w:eastAsia="Arial" w:hAnsi="Arial"/>
                <w:sz w:val="16"/>
                <w:szCs w:val="16"/>
                <w:color w:val="auto"/>
              </w:rPr>
              <w:t>Reserve for unfunded loan commitments at end of period</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40" w:type="dxa"/>
            <w:vAlign w:val="bottom"/>
          </w:tcPr>
          <w:p>
            <w:pPr>
              <w:ind w:left="180"/>
              <w:spacing w:after="0"/>
              <w:rPr>
                <w:sz w:val="20"/>
                <w:szCs w:val="20"/>
                <w:color w:val="auto"/>
              </w:rPr>
            </w:pPr>
            <w:r>
              <w:rPr>
                <w:rFonts w:ascii="Arial" w:cs="Arial" w:eastAsia="Arial" w:hAnsi="Arial"/>
                <w:sz w:val="16"/>
                <w:szCs w:val="16"/>
                <w:color w:val="auto"/>
              </w:rPr>
              <w:t>Reserve for unfunded loan commitments to total unfunded loan</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40" w:type="dxa"/>
            <w:vAlign w:val="bottom"/>
          </w:tcPr>
          <w:p>
            <w:pPr>
              <w:ind w:left="340"/>
              <w:spacing w:after="0"/>
              <w:rPr>
                <w:sz w:val="20"/>
                <w:szCs w:val="20"/>
                <w:color w:val="auto"/>
              </w:rPr>
            </w:pPr>
            <w:r>
              <w:rPr>
                <w:rFonts w:ascii="Arial" w:cs="Arial" w:eastAsia="Arial" w:hAnsi="Arial"/>
                <w:sz w:val="16"/>
                <w:szCs w:val="16"/>
                <w:color w:val="auto"/>
              </w:rPr>
              <w:t>commitments</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0.48 %</w:t>
            </w:r>
          </w:p>
        </w:tc>
        <w:tc>
          <w:tcPr>
            <w:tcW w:w="5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0.43 %</w:t>
            </w:r>
          </w:p>
        </w:tc>
        <w:tc>
          <w:tcPr>
            <w:tcW w:w="0" w:type="dxa"/>
            <w:vAlign w:val="bottom"/>
          </w:tcPr>
          <w:p>
            <w:pPr>
              <w:spacing w:after="0"/>
              <w:rPr>
                <w:sz w:val="1"/>
                <w:szCs w:val="1"/>
                <w:color w:val="auto"/>
              </w:rPr>
            </w:pPr>
          </w:p>
        </w:tc>
      </w:tr>
      <w:tr>
        <w:trPr>
          <w:trHeight w:val="408"/>
        </w:trPr>
        <w:tc>
          <w:tcPr>
            <w:tcW w:w="7240" w:type="dxa"/>
            <w:vAlign w:val="bottom"/>
          </w:tcPr>
          <w:p>
            <w:pPr>
              <w:ind w:left="20"/>
              <w:spacing w:after="0"/>
              <w:rPr>
                <w:sz w:val="20"/>
                <w:szCs w:val="20"/>
                <w:color w:val="auto"/>
              </w:rPr>
            </w:pPr>
            <w:r>
              <w:rPr>
                <w:rFonts w:ascii="Arial" w:cs="Arial" w:eastAsia="Arial" w:hAnsi="Arial"/>
                <w:sz w:val="16"/>
                <w:szCs w:val="16"/>
                <w:color w:val="auto"/>
              </w:rPr>
              <w:t>Amount of total loans at end of period (1)</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8,907,397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8,692,229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Average total loans outstanding (1)</w:t>
            </w:r>
          </w:p>
        </w:tc>
        <w:tc>
          <w:tcPr>
            <w:tcW w:w="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8,927,672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8,567,876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40" w:type="dxa"/>
            <w:vAlign w:val="bottom"/>
            <w:vMerge w:val="restart"/>
          </w:tcPr>
          <w:p>
            <w:pPr>
              <w:ind w:left="20"/>
              <w:spacing w:after="0"/>
              <w:rPr>
                <w:sz w:val="20"/>
                <w:szCs w:val="20"/>
                <w:color w:val="auto"/>
              </w:rPr>
            </w:pPr>
            <w:r>
              <w:rPr>
                <w:rFonts w:ascii="Arial" w:cs="Arial" w:eastAsia="Arial" w:hAnsi="Arial"/>
                <w:sz w:val="16"/>
                <w:szCs w:val="16"/>
                <w:color w:val="auto"/>
              </w:rPr>
              <w:t>Net (charge-offs) to average total loans</w:t>
            </w:r>
          </w:p>
        </w:tc>
        <w:tc>
          <w:tcPr>
            <w:tcW w:w="300" w:type="dxa"/>
            <w:vAlign w:val="bottom"/>
          </w:tcPr>
          <w:p>
            <w:pPr>
              <w:spacing w:after="0"/>
              <w:rPr>
                <w:sz w:val="17"/>
                <w:szCs w:val="17"/>
                <w:color w:val="auto"/>
              </w:rPr>
            </w:pPr>
          </w:p>
        </w:tc>
        <w:tc>
          <w:tcPr>
            <w:tcW w:w="14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0.00 %</w:t>
            </w:r>
          </w:p>
        </w:tc>
        <w:tc>
          <w:tcPr>
            <w:tcW w:w="5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2"/>
        </w:trPr>
        <w:tc>
          <w:tcPr>
            <w:tcW w:w="7240" w:type="dxa"/>
            <w:vAlign w:val="bottom"/>
          </w:tcPr>
          <w:p>
            <w:pPr>
              <w:ind w:left="20"/>
              <w:spacing w:after="0"/>
              <w:rPr>
                <w:sz w:val="20"/>
                <w:szCs w:val="20"/>
                <w:color w:val="auto"/>
              </w:rPr>
            </w:pPr>
            <w:r>
              <w:rPr>
                <w:rFonts w:ascii="Arial" w:cs="Arial" w:eastAsia="Arial" w:hAnsi="Arial"/>
                <w:sz w:val="16"/>
                <w:szCs w:val="16"/>
                <w:color w:val="auto"/>
              </w:rPr>
              <w:t>Net (charge-offs) to total loans at end of period</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0.00 %</w:t>
            </w:r>
          </w:p>
        </w:tc>
        <w:tc>
          <w:tcPr>
            <w:tcW w:w="5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Allowance for credit losses to average total loans</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0.97 %</w:t>
            </w:r>
          </w:p>
        </w:tc>
        <w:tc>
          <w:tcPr>
            <w:tcW w:w="5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0.94 %</w:t>
            </w:r>
          </w:p>
        </w:tc>
        <w:tc>
          <w:tcPr>
            <w:tcW w:w="0" w:type="dxa"/>
            <w:vAlign w:val="bottom"/>
          </w:tcPr>
          <w:p>
            <w:pPr>
              <w:spacing w:after="0"/>
              <w:rPr>
                <w:sz w:val="1"/>
                <w:szCs w:val="1"/>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Allowance for credit losses to total loans at end of period</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0.98 %</w:t>
            </w:r>
          </w:p>
        </w:tc>
        <w:tc>
          <w:tcPr>
            <w:tcW w:w="5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0.92 %</w:t>
            </w:r>
          </w:p>
        </w:tc>
        <w:tc>
          <w:tcPr>
            <w:tcW w:w="0" w:type="dxa"/>
            <w:vAlign w:val="bottom"/>
          </w:tcPr>
          <w:p>
            <w:pPr>
              <w:spacing w:after="0"/>
              <w:rPr>
                <w:sz w:val="1"/>
                <w:szCs w:val="1"/>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Net (charge-offs) to allowance for credit losses</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-0.17 %</w:t>
            </w:r>
          </w:p>
        </w:tc>
        <w:tc>
          <w:tcPr>
            <w:tcW w:w="5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0.62 %</w:t>
            </w:r>
          </w:p>
        </w:tc>
        <w:tc>
          <w:tcPr>
            <w:tcW w:w="0" w:type="dxa"/>
            <w:vAlign w:val="bottom"/>
          </w:tcPr>
          <w:p>
            <w:pPr>
              <w:spacing w:after="0"/>
              <w:rPr>
                <w:sz w:val="1"/>
                <w:szCs w:val="1"/>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Net (charge-offs) to provision for credit losses</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-7.50 %</w:t>
            </w:r>
          </w:p>
        </w:tc>
        <w:tc>
          <w:tcPr>
            <w:tcW w:w="5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8.16 %</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(1)Net of deferred loan origination fees, costs and discounts (amortized cost).</w:t>
      </w:r>
    </w:p>
    <w:p>
      <w:pPr>
        <w:spacing w:after="0" w:line="187" w:lineRule="exact"/>
        <w:rPr>
          <w:sz w:val="20"/>
          <w:szCs w:val="20"/>
          <w:color w:val="auto"/>
        </w:rPr>
      </w:pPr>
    </w:p>
    <w:p>
      <w:pPr>
        <w:ind w:right="20" w:firstLine="432"/>
        <w:spacing w:after="0" w:line="243" w:lineRule="auto"/>
        <w:rPr>
          <w:sz w:val="20"/>
          <w:szCs w:val="20"/>
          <w:color w:val="auto"/>
        </w:rPr>
      </w:pPr>
      <w:r>
        <w:rPr>
          <w:rFonts w:ascii="Arial" w:cs="Arial" w:eastAsia="Arial" w:hAnsi="Arial"/>
          <w:sz w:val="16"/>
          <w:szCs w:val="16"/>
          <w:color w:val="auto"/>
        </w:rPr>
        <w:t>The Bank’s ACL methodology also produced an allowance of $8.9 million for our off-balance sheet credit exposures as of June 30, 2023, compared with $8.0 million as of December 31, 2022 and June 30, 2022. The year-over-year increase included $900,000 in provision for unfunded loan commitments in the first six months of 2023.</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64</w:t>
      </w:r>
    </w:p>
    <w:p>
      <w:pPr>
        <w:sectPr>
          <w:pgSz w:w="11900" w:h="16840" w:orient="portrait"/>
          <w:cols w:equalWidth="0" w:num="1">
            <w:col w:w="10620"/>
          </w:cols>
          <w:pgMar w:left="660" w:top="790" w:right="620" w:bottom="1440" w:gutter="0" w:footer="0" w:header="0"/>
        </w:sectPr>
      </w:pPr>
    </w:p>
    <w:bookmarkStart w:id="64" w:name="page65"/>
    <w:bookmarkEnd w:id="64"/>
    <w:p>
      <w:pPr>
        <w:ind w:right="100" w:firstLine="43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While we believe that the allowance at June 30, 2023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64" w:lineRule="exact"/>
        <w:rPr>
          <w:sz w:val="20"/>
          <w:szCs w:val="20"/>
          <w:color w:val="auto"/>
        </w:rPr>
      </w:pPr>
    </w:p>
    <w:p>
      <w:pPr>
        <w:ind w:right="80" w:firstLine="432"/>
        <w:spacing w:after="0" w:line="239" w:lineRule="auto"/>
        <w:rPr>
          <w:sz w:val="20"/>
          <w:szCs w:val="20"/>
          <w:color w:val="auto"/>
        </w:rPr>
      </w:pPr>
      <w:r>
        <w:rPr>
          <w:rFonts w:ascii="Arial" w:cs="Arial" w:eastAsia="Arial" w:hAnsi="Arial"/>
          <w:sz w:val="16"/>
          <w:szCs w:val="16"/>
          <w:color w:val="auto"/>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Arial" w:cs="Arial" w:eastAsia="Arial" w:hAnsi="Arial"/>
          <w:sz w:val="16"/>
          <w:szCs w:val="16"/>
          <w:i w:val="1"/>
          <w:iCs w:val="1"/>
          <w:color w:val="auto"/>
        </w:rPr>
        <w:t>Risk Management – Credit Risk Management</w:t>
      </w:r>
      <w:r>
        <w:rPr>
          <w:rFonts w:ascii="Arial" w:cs="Arial" w:eastAsia="Arial" w:hAnsi="Arial"/>
          <w:sz w:val="16"/>
          <w:szCs w:val="16"/>
          <w:color w:val="auto"/>
        </w:rPr>
        <w:t>” contained in our Annual Report on Form 10-K for the year ended December 31, 2022.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Deposits</w:t>
      </w:r>
    </w:p>
    <w:p>
      <w:pPr>
        <w:spacing w:after="0" w:line="184" w:lineRule="exact"/>
        <w:rPr>
          <w:sz w:val="20"/>
          <w:szCs w:val="20"/>
          <w:color w:val="auto"/>
        </w:rPr>
      </w:pPr>
    </w:p>
    <w:p>
      <w:pPr>
        <w:ind w:right="240" w:firstLine="432"/>
        <w:spacing w:after="0" w:line="252" w:lineRule="auto"/>
        <w:rPr>
          <w:sz w:val="20"/>
          <w:szCs w:val="20"/>
          <w:color w:val="auto"/>
        </w:rPr>
      </w:pPr>
      <w:r>
        <w:rPr>
          <w:rFonts w:ascii="Arial" w:cs="Arial" w:eastAsia="Arial" w:hAnsi="Arial"/>
          <w:sz w:val="16"/>
          <w:szCs w:val="16"/>
          <w:color w:val="auto"/>
        </w:rPr>
        <w:t>The primary source of funds to support earning assets (loans and investments) is the generation of deposits. We have no brokered deposits with 100% of our deposits being core deposits based on long-term customer relationships.</w:t>
      </w:r>
    </w:p>
    <w:p>
      <w:pPr>
        <w:spacing w:after="0" w:line="154" w:lineRule="exact"/>
        <w:rPr>
          <w:sz w:val="20"/>
          <w:szCs w:val="20"/>
          <w:color w:val="auto"/>
        </w:rPr>
      </w:pPr>
    </w:p>
    <w:p>
      <w:pPr>
        <w:ind w:right="60" w:firstLine="432"/>
        <w:spacing w:after="0" w:line="252" w:lineRule="auto"/>
        <w:rPr>
          <w:sz w:val="20"/>
          <w:szCs w:val="20"/>
          <w:color w:val="auto"/>
        </w:rPr>
      </w:pPr>
      <w:r>
        <w:rPr>
          <w:rFonts w:ascii="Arial" w:cs="Arial" w:eastAsia="Arial" w:hAnsi="Arial"/>
          <w:sz w:val="16"/>
          <w:szCs w:val="16"/>
          <w:color w:val="auto"/>
        </w:rPr>
        <w:t>Total deposits were $12.40 billion at June 30, 2023. This represented a decrease of $438.7 million, or 3.42%, when compared with total deposits of $12.84 billion at December 31, 2022. The composition of deposits is summarized as of the dates presented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4"/>
          </w:tcPr>
          <w:p>
            <w:pPr>
              <w:ind w:left="760"/>
              <w:spacing w:after="0"/>
              <w:rPr>
                <w:sz w:val="20"/>
                <w:szCs w:val="20"/>
                <w:color w:val="auto"/>
              </w:rPr>
            </w:pPr>
            <w:r>
              <w:rPr>
                <w:rFonts w:ascii="Arial" w:cs="Arial" w:eastAsia="Arial" w:hAnsi="Arial"/>
                <w:sz w:val="16"/>
                <w:szCs w:val="16"/>
                <w:b w:val="1"/>
                <w:bCs w:val="1"/>
                <w:color w:val="auto"/>
              </w:rPr>
              <w:t>June 30, 2023</w:t>
            </w: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80" w:type="dxa"/>
            <w:vAlign w:val="bottom"/>
            <w:gridSpan w:val="6"/>
          </w:tcPr>
          <w:p>
            <w:pPr>
              <w:jc w:val="right"/>
              <w:ind w:right="920"/>
              <w:spacing w:after="0"/>
              <w:rPr>
                <w:sz w:val="20"/>
                <w:szCs w:val="20"/>
                <w:color w:val="auto"/>
              </w:rPr>
            </w:pPr>
            <w:r>
              <w:rPr>
                <w:rFonts w:ascii="Arial" w:cs="Arial" w:eastAsia="Arial" w:hAnsi="Arial"/>
                <w:sz w:val="16"/>
                <w:szCs w:val="16"/>
                <w:b w:val="1"/>
                <w:bCs w:val="1"/>
                <w:color w:val="auto"/>
              </w:rPr>
              <w:t>December 31, 2022</w:t>
            </w:r>
          </w:p>
        </w:tc>
      </w:tr>
      <w:tr>
        <w:trPr>
          <w:trHeight w:val="217"/>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4"/>
          </w:tcPr>
          <w:p>
            <w:pPr>
              <w:ind w:left="220"/>
              <w:spacing w:after="0"/>
              <w:rPr>
                <w:sz w:val="20"/>
                <w:szCs w:val="20"/>
                <w:color w:val="auto"/>
              </w:rPr>
            </w:pPr>
            <w:r>
              <w:rPr>
                <w:rFonts w:ascii="Arial" w:cs="Arial" w:eastAsia="Arial" w:hAnsi="Arial"/>
                <w:sz w:val="16"/>
                <w:szCs w:val="16"/>
                <w:b w:val="1"/>
                <w:bCs w:val="1"/>
                <w:color w:val="auto"/>
              </w:rPr>
              <w:t>Balance</w:t>
            </w:r>
          </w:p>
        </w:tc>
        <w:tc>
          <w:tcPr>
            <w:tcW w:w="134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Percent</w:t>
            </w:r>
          </w:p>
        </w:tc>
        <w:tc>
          <w:tcPr>
            <w:tcW w:w="40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Percent</w:t>
            </w:r>
          </w:p>
        </w:tc>
      </w:tr>
      <w:tr>
        <w:trPr>
          <w:trHeight w:val="188"/>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4"/>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Noninterest-bearing deposits</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7,878,810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63.55%</w:t>
            </w:r>
          </w:p>
        </w:tc>
        <w:tc>
          <w:tcPr>
            <w:tcW w:w="4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8,164,364</w:t>
            </w:r>
          </w:p>
        </w:tc>
        <w:tc>
          <w:tcPr>
            <w:tcW w:w="12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63.60%</w:t>
            </w:r>
          </w:p>
        </w:tc>
        <w:tc>
          <w:tcPr>
            <w:tcW w:w="60" w:type="dxa"/>
            <w:vAlign w:val="bottom"/>
          </w:tcPr>
          <w:p>
            <w:pPr>
              <w:spacing w:after="0"/>
              <w:rPr>
                <w:sz w:val="17"/>
                <w:szCs w:val="17"/>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000" w:type="dxa"/>
            <w:vAlign w:val="bottom"/>
          </w:tcPr>
          <w:p>
            <w:pPr>
              <w:ind w:left="100"/>
              <w:spacing w:after="0"/>
              <w:rPr>
                <w:sz w:val="20"/>
                <w:szCs w:val="20"/>
                <w:color w:val="auto"/>
              </w:rPr>
            </w:pPr>
            <w:r>
              <w:rPr>
                <w:rFonts w:ascii="Arial" w:cs="Arial" w:eastAsia="Arial" w:hAnsi="Arial"/>
                <w:sz w:val="16"/>
                <w:szCs w:val="16"/>
                <w:color w:val="auto"/>
              </w:rPr>
              <w:t>Investment checking</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574,817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4.64 %</w:t>
            </w: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723,870</w:t>
            </w:r>
          </w:p>
        </w:tc>
        <w:tc>
          <w:tcPr>
            <w:tcW w:w="1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5.64 %</w:t>
            </w:r>
          </w:p>
        </w:tc>
      </w:tr>
      <w:tr>
        <w:trPr>
          <w:trHeight w:val="204"/>
        </w:trPr>
        <w:tc>
          <w:tcPr>
            <w:tcW w:w="4000" w:type="dxa"/>
            <w:vAlign w:val="bottom"/>
          </w:tcPr>
          <w:p>
            <w:pPr>
              <w:ind w:left="100"/>
              <w:spacing w:after="0"/>
              <w:rPr>
                <w:sz w:val="20"/>
                <w:szCs w:val="20"/>
                <w:color w:val="auto"/>
              </w:rPr>
            </w:pPr>
            <w:r>
              <w:rPr>
                <w:rFonts w:ascii="Arial" w:cs="Arial" w:eastAsia="Arial" w:hAnsi="Arial"/>
                <w:sz w:val="16"/>
                <w:szCs w:val="16"/>
                <w:color w:val="auto"/>
              </w:rPr>
              <w:t>Money market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3,124,524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25.20%</w:t>
            </w: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3,070,674</w:t>
            </w:r>
          </w:p>
        </w:tc>
        <w:tc>
          <w:tcPr>
            <w:tcW w:w="1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23.92%</w:t>
            </w:r>
          </w:p>
        </w:tc>
      </w:tr>
      <w:tr>
        <w:trPr>
          <w:trHeight w:val="204"/>
        </w:trPr>
        <w:tc>
          <w:tcPr>
            <w:tcW w:w="4000" w:type="dxa"/>
            <w:vAlign w:val="bottom"/>
          </w:tcPr>
          <w:p>
            <w:pPr>
              <w:ind w:left="100"/>
              <w:spacing w:after="0"/>
              <w:rPr>
                <w:sz w:val="20"/>
                <w:szCs w:val="20"/>
                <w:color w:val="auto"/>
              </w:rPr>
            </w:pPr>
            <w:r>
              <w:rPr>
                <w:rFonts w:ascii="Arial" w:cs="Arial" w:eastAsia="Arial" w:hAnsi="Arial"/>
                <w:sz w:val="16"/>
                <w:szCs w:val="16"/>
                <w:color w:val="auto"/>
              </w:rPr>
              <w:t>Savings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503,334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4.06 %</w:t>
            </w: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582,711</w:t>
            </w:r>
          </w:p>
        </w:tc>
        <w:tc>
          <w:tcPr>
            <w:tcW w:w="1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4.54 %</w:t>
            </w:r>
          </w:p>
        </w:tc>
      </w:tr>
      <w:tr>
        <w:trPr>
          <w:trHeight w:val="205"/>
        </w:trPr>
        <w:tc>
          <w:tcPr>
            <w:tcW w:w="4000" w:type="dxa"/>
            <w:vAlign w:val="bottom"/>
          </w:tcPr>
          <w:p>
            <w:pPr>
              <w:ind w:left="100"/>
              <w:spacing w:after="0"/>
              <w:rPr>
                <w:sz w:val="20"/>
                <w:szCs w:val="20"/>
                <w:color w:val="auto"/>
              </w:rPr>
            </w:pPr>
            <w:r>
              <w:rPr>
                <w:rFonts w:ascii="Arial" w:cs="Arial" w:eastAsia="Arial" w:hAnsi="Arial"/>
                <w:sz w:val="16"/>
                <w:szCs w:val="16"/>
                <w:color w:val="auto"/>
              </w:rPr>
              <w:t>Time deposits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316,036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2.55 %</w:t>
            </w: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294,626</w:t>
            </w:r>
          </w:p>
        </w:tc>
        <w:tc>
          <w:tcPr>
            <w:tcW w:w="1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2.30 %</w:t>
            </w:r>
          </w:p>
        </w:tc>
      </w:tr>
      <w:tr>
        <w:trPr>
          <w:trHeight w:val="249"/>
        </w:trPr>
        <w:tc>
          <w:tcPr>
            <w:tcW w:w="40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Deposits</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12,397,521</w:t>
            </w:r>
          </w:p>
        </w:tc>
        <w:tc>
          <w:tcPr>
            <w:tcW w:w="12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100.00 %</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12,836,245</w:t>
            </w:r>
          </w:p>
        </w:tc>
        <w:tc>
          <w:tcPr>
            <w:tcW w:w="12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right="120" w:firstLine="432"/>
        <w:spacing w:after="0"/>
        <w:rPr>
          <w:sz w:val="20"/>
          <w:szCs w:val="20"/>
          <w:color w:val="auto"/>
        </w:rPr>
      </w:pPr>
      <w:r>
        <w:rPr>
          <w:rFonts w:ascii="Arial" w:cs="Arial" w:eastAsia="Arial" w:hAnsi="Arial"/>
          <w:sz w:val="16"/>
          <w:szCs w:val="16"/>
          <w:color w:val="auto"/>
        </w:rPr>
        <w:t>The amount of noninterest-bearing deposits in relation to total deposits is an integral element in our strategy of seeking to achieve a low cost of funds. Noninterest-bearing deposits totaled $7.88 billion at June 30, 2023, representing a decrease of $285.6 million, or 3.50%, from noninterest-bearing deposits of $8.16 billion at December 31, 2022. Noninterest-bearing deposits represented 63.55% of total deposits at June 30, 2023, compared to 63.60% of total deposits at December 31, 2022, and over the last five quarters have been consistently greater than 63%.</w:t>
      </w:r>
    </w:p>
    <w:p>
      <w:pPr>
        <w:spacing w:after="0" w:line="164" w:lineRule="exact"/>
        <w:rPr>
          <w:sz w:val="20"/>
          <w:szCs w:val="20"/>
          <w:color w:val="auto"/>
        </w:rPr>
      </w:pPr>
    </w:p>
    <w:p>
      <w:pPr>
        <w:ind w:right="920" w:firstLine="432"/>
        <w:spacing w:after="0" w:line="252" w:lineRule="auto"/>
        <w:rPr>
          <w:sz w:val="20"/>
          <w:szCs w:val="20"/>
          <w:color w:val="auto"/>
        </w:rPr>
      </w:pPr>
      <w:r>
        <w:rPr>
          <w:rFonts w:ascii="Arial" w:cs="Arial" w:eastAsia="Arial" w:hAnsi="Arial"/>
          <w:sz w:val="16"/>
          <w:szCs w:val="16"/>
          <w:color w:val="auto"/>
        </w:rPr>
        <w:t>Savings deposits, which include savings, interest-bearing demand, and money market accounts, totaled $4.20 billion at June 30, 2023, representing a decrease of $174.6 million, or 3.99%, from savings deposits of $4.38 billion at December 31, 2022.</w:t>
      </w:r>
    </w:p>
    <w:p>
      <w:pPr>
        <w:spacing w:after="0" w:line="154" w:lineRule="exact"/>
        <w:rPr>
          <w:sz w:val="20"/>
          <w:szCs w:val="20"/>
          <w:color w:val="auto"/>
        </w:rPr>
      </w:pPr>
    </w:p>
    <w:p>
      <w:pPr>
        <w:ind w:right="500" w:firstLine="432"/>
        <w:spacing w:after="0" w:line="252" w:lineRule="auto"/>
        <w:rPr>
          <w:sz w:val="20"/>
          <w:szCs w:val="20"/>
          <w:color w:val="auto"/>
        </w:rPr>
      </w:pPr>
      <w:r>
        <w:rPr>
          <w:rFonts w:ascii="Arial" w:cs="Arial" w:eastAsia="Arial" w:hAnsi="Arial"/>
          <w:sz w:val="16"/>
          <w:szCs w:val="16"/>
          <w:color w:val="auto"/>
        </w:rPr>
        <w:t>Time deposits totaled $316.0 million at June 30, 2023, representing an increase of $21.4 million, or 7.27%, from total time deposits of $294.6 million for December 31, 2022.</w:t>
      </w:r>
    </w:p>
    <w:p>
      <w:pPr>
        <w:spacing w:after="0" w:line="154" w:lineRule="exact"/>
        <w:rPr>
          <w:sz w:val="20"/>
          <w:szCs w:val="20"/>
          <w:color w:val="auto"/>
        </w:rPr>
      </w:pPr>
    </w:p>
    <w:p>
      <w:pPr>
        <w:ind w:right="300" w:firstLine="432"/>
        <w:spacing w:after="0" w:line="281" w:lineRule="auto"/>
        <w:rPr>
          <w:sz w:val="20"/>
          <w:szCs w:val="20"/>
          <w:color w:val="auto"/>
        </w:rPr>
      </w:pPr>
      <w:r>
        <w:rPr>
          <w:rFonts w:ascii="Arial" w:cs="Arial" w:eastAsia="Arial" w:hAnsi="Arial"/>
          <w:sz w:val="14"/>
          <w:szCs w:val="14"/>
          <w:color w:val="auto"/>
        </w:rPr>
        <w:t>Our deposits are 100% relationship based core deposits and customer repurchase agreements ("repos"). We had zero brokered deposits at the end of the second quarter of 2023 with 76% of our deposits consisting of business deposits and 24% consisting of consumer deposits, primarily the owners and employees of our business customers. The largest percentage of our deposits, 41%, are analyzed business accounts, which represent customer operating accounts that generally utilize a wide array of treasury management products that exceed the FDIC’s insurance coverage level of $250,000. Therefore, 52% of total deposits and customer repurchase agreements were uninsured and uncollateralized at June 30, 2023.</w:t>
      </w:r>
    </w:p>
    <w:p>
      <w:pPr>
        <w:spacing w:after="0" w:line="138"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Our customer deposit relationships represent a diverse set of industries. The industry classification with the largest concentration is manufacturing, which represents 10% of our deposits. Overall, there are 14 different industry classifications that represent 2% or more of our deposits as of June 30, 2023. Our depositors have typically banked with us for many years. As of June 30, 2023, 40% of our deposit relationships have banked with us more than 10 years and 77% of our deposit relationships have been with us for three or more years.</w:t>
      </w:r>
    </w:p>
    <w:p>
      <w:pPr>
        <w:jc w:val="center"/>
        <w:ind w:right="40"/>
        <w:spacing w:after="0"/>
        <w:rPr>
          <w:sz w:val="20"/>
          <w:szCs w:val="20"/>
          <w:color w:val="auto"/>
        </w:rPr>
      </w:pPr>
      <w:r>
        <w:rPr>
          <w:rFonts w:ascii="Arial" w:cs="Arial" w:eastAsia="Arial" w:hAnsi="Arial"/>
          <w:sz w:val="16"/>
          <w:szCs w:val="16"/>
          <w:color w:val="auto"/>
        </w:rPr>
        <w:t>65</w:t>
      </w:r>
    </w:p>
    <w:p>
      <w:pPr>
        <w:sectPr>
          <w:pgSz w:w="11900" w:h="16840" w:orient="portrait"/>
          <w:cols w:equalWidth="0" w:num="1">
            <w:col w:w="10620"/>
          </w:cols>
          <w:pgMar w:left="660" w:top="790" w:right="620" w:bottom="1440" w:gutter="0" w:footer="0" w:header="0"/>
        </w:sectPr>
      </w:pPr>
    </w:p>
    <w:bookmarkStart w:id="65" w:name="page66"/>
    <w:bookmarkEnd w:id="65"/>
    <w:p>
      <w:pPr>
        <w:ind w:firstLine="432"/>
        <w:spacing w:after="0" w:line="23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unprecedented increase in short-term interest rates impacted our deposit levels. Total deposits and customer repos were $12.85 billion at June 30, 2023, an $87.8 million, or 0.69% increase from March 31, 2023. However, deposits and customer repos were $551.8 million lower than the end of 2022, which includes $550 million that was moved into Citizens Trust, where these funds were invested in higher yielding liquid assets such as treasury notes. The velocity of deposits moving to CitizensTrust declined in the second quarter of 2023, with approximately $180 million transferred off balance sheet in the quarter, compared to $370 million in the first quarter of 2023. The Bank continues to acquire new deposit customers and the deposit pipeline has strengthened over the last three months. New accounts opened during the first half of 2023 totaled approximately $650 million of new average deposits.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184" w:lineRule="exact"/>
        <w:rPr>
          <w:sz w:val="20"/>
          <w:szCs w:val="20"/>
          <w:color w:val="auto"/>
        </w:rPr>
      </w:pPr>
    </w:p>
    <w:p>
      <w:pPr>
        <w:ind w:right="80" w:firstLine="432"/>
        <w:spacing w:after="0" w:line="281" w:lineRule="auto"/>
        <w:rPr>
          <w:sz w:val="20"/>
          <w:szCs w:val="20"/>
          <w:color w:val="auto"/>
        </w:rPr>
      </w:pPr>
      <w:r>
        <w:rPr>
          <w:rFonts w:ascii="Arial" w:cs="Arial" w:eastAsia="Arial" w:hAnsi="Arial"/>
          <w:sz w:val="14"/>
          <w:szCs w:val="14"/>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pre-determined balance in a demand deposit account, in order to earn interest. As of June 30, 2023 and December 31, 2022, total funds borrowed under these agreements were $452.4 million and $565.4 million, respectively, with a weighted average interest rate of 0.22% and 0.10%, respectively.</w:t>
      </w:r>
    </w:p>
    <w:p>
      <w:pPr>
        <w:spacing w:after="0" w:line="138" w:lineRule="exact"/>
        <w:rPr>
          <w:sz w:val="20"/>
          <w:szCs w:val="20"/>
          <w:color w:val="auto"/>
        </w:rPr>
      </w:pPr>
    </w:p>
    <w:p>
      <w:pPr>
        <w:ind w:right="60" w:firstLine="432"/>
        <w:spacing w:after="0" w:line="238" w:lineRule="auto"/>
        <w:rPr>
          <w:sz w:val="20"/>
          <w:szCs w:val="20"/>
          <w:color w:val="auto"/>
        </w:rPr>
      </w:pPr>
      <w:r>
        <w:rPr>
          <w:rFonts w:ascii="Arial" w:cs="Arial" w:eastAsia="Arial" w:hAnsi="Arial"/>
          <w:sz w:val="16"/>
          <w:szCs w:val="16"/>
          <w:color w:val="auto"/>
        </w:rPr>
        <w:t>As a result of declining deposit balances and increased funds on deposit at the Federal Reserve, we borrowed on average $ 1.53 billion during the second quarter of 2023. As of June 30, 2023, total short-term borrowings, consisted of $695 million of one-year advances from the Federal Reserve’s Bank Term Funding Program at a cost of 4.7%, which replaced higher cost borrowings from the FHLB, and $800 million of short-term FHLB advances, at an average cost of approximately 5%. These FHLB advances will mature over the next two quarters, with the final maturity at the end of November 2023. The modest growth of $90 million in borrowings from the end of the first quarter of 2023 to the end of the second quarter of 2023, coincided with a $322.2 million increase in funds on deposit at the Federal Reserve, which earn a rate of more than 5%.</w:t>
      </w:r>
    </w:p>
    <w:p>
      <w:pPr>
        <w:spacing w:after="0" w:line="166" w:lineRule="exact"/>
        <w:rPr>
          <w:sz w:val="20"/>
          <w:szCs w:val="20"/>
          <w:color w:val="auto"/>
        </w:rPr>
      </w:pPr>
    </w:p>
    <w:p>
      <w:pPr>
        <w:ind w:right="540" w:firstLine="432"/>
        <w:spacing w:after="0" w:line="252" w:lineRule="auto"/>
        <w:rPr>
          <w:sz w:val="20"/>
          <w:szCs w:val="20"/>
          <w:color w:val="auto"/>
        </w:rPr>
      </w:pPr>
      <w:r>
        <w:rPr>
          <w:rFonts w:ascii="Arial" w:cs="Arial" w:eastAsia="Arial" w:hAnsi="Arial"/>
          <w:sz w:val="16"/>
          <w:szCs w:val="16"/>
          <w:color w:val="auto"/>
        </w:rPr>
        <w:t>At June 30, 2023, loans with a carrying value of $4.29 billion were pledged to secure available lines of credit from the FHLB and the Federal Reserve Bank.</w:t>
      </w:r>
    </w:p>
    <w:p>
      <w:pPr>
        <w:spacing w:after="0" w:line="154" w:lineRule="exact"/>
        <w:rPr>
          <w:sz w:val="20"/>
          <w:szCs w:val="20"/>
          <w:color w:val="auto"/>
        </w:rPr>
      </w:pPr>
    </w:p>
    <w:p>
      <w:pPr>
        <w:ind w:right="180" w:firstLine="432"/>
        <w:spacing w:after="0"/>
        <w:rPr>
          <w:sz w:val="20"/>
          <w:szCs w:val="20"/>
          <w:color w:val="auto"/>
        </w:rPr>
      </w:pPr>
      <w:r>
        <w:rPr>
          <w:rFonts w:ascii="Arial" w:cs="Arial" w:eastAsia="Arial" w:hAnsi="Arial"/>
          <w:sz w:val="16"/>
          <w:szCs w:val="16"/>
          <w:color w:val="auto"/>
        </w:rPr>
        <w:t>At June 30, 2023, investment securities, with the following carrying values, were pledged to secure $1.87 billion of total deposits which includes $1.25 billion to secure public funds, $551.2 million of repurchase agreements, approximately $695 million of outstanding borrowings, and approximately $20 million for other purposes as required or permitted by law. In addition, investment securities having a carrying value of $1.9 billion were pledged to secure unused borrowing capacity as of June 30, 2023.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Aggregate Contractual Obligations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aggregate contractual obligations as of June 30,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Maturity by Period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One Year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Four 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One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Through</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Over Five</w:t>
            </w:r>
          </w:p>
        </w:tc>
      </w:tr>
      <w:tr>
        <w:trPr>
          <w:trHeight w:val="196"/>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Years</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Five Years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Years</w:t>
            </w:r>
          </w:p>
        </w:tc>
      </w:tr>
      <w:tr>
        <w:trPr>
          <w:trHeight w:val="189"/>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Deposits (1)</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12,397,521</w:t>
            </w:r>
          </w:p>
        </w:tc>
        <w:tc>
          <w:tcPr>
            <w:tcW w:w="120" w:type="dxa"/>
            <w:vAlign w:val="bottom"/>
            <w:shd w:val="clear" w:color="auto" w:fill="CFF0FC"/>
          </w:tcPr>
          <w:p>
            <w:pPr>
              <w:spacing w:after="0"/>
              <w:rPr>
                <w:sz w:val="16"/>
                <w:szCs w:val="16"/>
                <w:color w:val="auto"/>
              </w:rPr>
            </w:pPr>
          </w:p>
        </w:tc>
        <w:tc>
          <w:tcPr>
            <w:tcW w:w="3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12,374,710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18,323</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4,217</w:t>
            </w:r>
          </w:p>
        </w:tc>
        <w:tc>
          <w:tcPr>
            <w:tcW w:w="10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FF0FC"/>
          </w:tcPr>
          <w:p>
            <w:pPr>
              <w:spacing w:after="0"/>
              <w:rPr>
                <w:sz w:val="16"/>
                <w:szCs w:val="16"/>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Customer repurchase agreements (1)</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452,373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452,373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borrowings</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1,495,000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1,495,000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23,095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20,216</w:t>
            </w:r>
          </w:p>
        </w:tc>
        <w:tc>
          <w:tcPr>
            <w:tcW w:w="80" w:type="dxa"/>
            <w:vAlign w:val="bottom"/>
          </w:tcPr>
          <w:p>
            <w:pPr>
              <w:spacing w:after="0"/>
              <w:rPr>
                <w:sz w:val="16"/>
                <w:szCs w:val="16"/>
                <w:color w:val="auto"/>
              </w:rPr>
            </w:pP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leases</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27,173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12,119</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1,168</w:t>
            </w:r>
          </w:p>
        </w:tc>
        <w:tc>
          <w:tcPr>
            <w:tcW w:w="80" w:type="dxa"/>
            <w:vAlign w:val="bottom"/>
            <w:shd w:val="clear" w:color="auto" w:fill="CFF0FC"/>
          </w:tcPr>
          <w:p>
            <w:pPr>
              <w:spacing w:after="0"/>
              <w:rPr>
                <w:sz w:val="16"/>
                <w:szCs w:val="16"/>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Equity investments</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5,663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6"/>
                <w:szCs w:val="16"/>
                <w:color w:val="auto"/>
              </w:rPr>
            </w:pPr>
          </w:p>
        </w:tc>
      </w:tr>
      <w:tr>
        <w:trPr>
          <w:trHeight w:val="235"/>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14,413,676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14,342,230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37,257</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12,250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21,939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17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(1)Amounts exclude accrued interest.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Deposits represent noninterest-bearing, money market, savings, NOW, certificates of deposits, brokered and all other deposits held by the Bank.</w:t>
      </w:r>
    </w:p>
    <w:p>
      <w:pPr>
        <w:spacing w:after="0" w:line="199" w:lineRule="exact"/>
        <w:rPr>
          <w:sz w:val="20"/>
          <w:szCs w:val="20"/>
          <w:color w:val="auto"/>
        </w:rPr>
      </w:pPr>
    </w:p>
    <w:p>
      <w:pPr>
        <w:jc w:val="both"/>
        <w:ind w:right="40" w:firstLine="432"/>
        <w:spacing w:after="0" w:line="241" w:lineRule="auto"/>
        <w:rPr>
          <w:sz w:val="20"/>
          <w:szCs w:val="20"/>
          <w:color w:val="auto"/>
        </w:rPr>
      </w:pPr>
      <w:r>
        <w:rPr>
          <w:rFonts w:ascii="Arial" w:cs="Arial" w:eastAsia="Arial" w:hAnsi="Arial"/>
          <w:sz w:val="16"/>
          <w:szCs w:val="16"/>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66</w:t>
      </w:r>
    </w:p>
    <w:p>
      <w:pPr>
        <w:sectPr>
          <w:pgSz w:w="11900" w:h="16840" w:orient="portrait"/>
          <w:cols w:equalWidth="0" w:num="1">
            <w:col w:w="10600"/>
          </w:cols>
          <w:pgMar w:left="660" w:top="970" w:right="640" w:bottom="1440" w:gutter="0" w:footer="0" w:header="0"/>
        </w:sectPr>
      </w:pPr>
    </w:p>
    <w:bookmarkStart w:id="66" w:name="page67"/>
    <w:bookmarkEnd w:id="66"/>
    <w:p>
      <w:pPr>
        <w:ind w:right="660"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Deferred compensation represents the amounts that are due to former employees based on salary continuation agreements as a result of acquisitions and amounts due to current and retired employees under our deferred compensation plans.</w:t>
      </w:r>
    </w:p>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6"/>
          <w:szCs w:val="16"/>
          <w:color w:val="auto"/>
        </w:rPr>
        <w:t xml:space="preserve">Operating leases represent the total minimum lease payments due under non-cancelable operating leases. Refer to Note 13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of the notes to the Company’s unaudited condensed consolidated financial statements for a more detailed discussion about leases.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off-balance sheet items at June 30,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Maturity by Period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One Year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Four 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One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Through</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 Five</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Years</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Five Years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 to extend credit:</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Commercial real estate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425,803</w:t>
            </w:r>
          </w:p>
        </w:tc>
        <w:tc>
          <w:tcPr>
            <w:tcW w:w="5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80,376</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165,660</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154,100</w:t>
            </w:r>
          </w:p>
        </w:tc>
        <w:tc>
          <w:tcPr>
            <w:tcW w:w="10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25,667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Construction</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27,743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24,415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SBA</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965,060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750,671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184,964</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25,578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Dairy &amp; livestock and agribusiness (1)</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266,624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211,618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55,006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Municipal lease finance receivables</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SFR Mortgage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4,163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Consumer and other loans</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123,639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15,258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5,596</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99,039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40" w:type="dxa"/>
            <w:vAlign w:val="bottom"/>
            <w:vMerge w:val="restart"/>
          </w:tcPr>
          <w:p>
            <w:pPr>
              <w:ind w:left="180"/>
              <w:spacing w:after="0"/>
              <w:rPr>
                <w:sz w:val="20"/>
                <w:szCs w:val="20"/>
                <w:color w:val="auto"/>
              </w:rPr>
            </w:pPr>
            <w:r>
              <w:rPr>
                <w:rFonts w:ascii="Arial" w:cs="Arial" w:eastAsia="Arial" w:hAnsi="Arial"/>
                <w:sz w:val="14"/>
                <w:szCs w:val="14"/>
                <w:color w:val="auto"/>
              </w:rPr>
              <w:t>Total commitment to extend credit</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1,815,773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1,086,501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411,226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161,693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156,353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4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Obligations under letters of credit</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51,800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39,518</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40" w:type="dxa"/>
            <w:vAlign w:val="bottom"/>
          </w:tcPr>
          <w:p>
            <w:pPr>
              <w:ind w:left="340"/>
              <w:spacing w:after="0"/>
              <w:rPr>
                <w:sz w:val="20"/>
                <w:szCs w:val="20"/>
                <w:color w:val="auto"/>
              </w:rPr>
            </w:pPr>
            <w:r>
              <w:rPr>
                <w:rFonts w:ascii="Arial" w:cs="Arial" w:eastAsia="Arial" w:hAnsi="Arial"/>
                <w:sz w:val="14"/>
                <w:szCs w:val="14"/>
                <w:color w:val="auto"/>
              </w:rPr>
              <w:t>Total</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1,867,573</w:t>
            </w:r>
          </w:p>
        </w:tc>
        <w:tc>
          <w:tcPr>
            <w:tcW w:w="120" w:type="dxa"/>
            <w:vAlign w:val="bottom"/>
          </w:tcPr>
          <w:p>
            <w:pPr>
              <w:spacing w:after="0"/>
              <w:rPr>
                <w:sz w:val="16"/>
                <w:szCs w:val="16"/>
                <w:color w:val="auto"/>
              </w:rPr>
            </w:pP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1,098,765</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450,744</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161,693</w:t>
            </w:r>
          </w:p>
        </w:tc>
        <w:tc>
          <w:tcPr>
            <w:tcW w:w="10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156,371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(1)Total commitments to extend credit to agribusiness were $33.1 million at June 30, 2023.</w:t>
      </w:r>
    </w:p>
    <w:p>
      <w:pPr>
        <w:spacing w:after="0" w:line="188" w:lineRule="exact"/>
        <w:rPr>
          <w:sz w:val="20"/>
          <w:szCs w:val="20"/>
          <w:color w:val="auto"/>
        </w:rPr>
      </w:pPr>
    </w:p>
    <w:p>
      <w:pPr>
        <w:ind w:firstLine="432"/>
        <w:spacing w:after="0" w:line="276" w:lineRule="auto"/>
        <w:rPr>
          <w:sz w:val="20"/>
          <w:szCs w:val="20"/>
          <w:color w:val="auto"/>
        </w:rPr>
      </w:pPr>
      <w:r>
        <w:rPr>
          <w:rFonts w:ascii="Arial" w:cs="Arial" w:eastAsia="Arial" w:hAnsi="Arial"/>
          <w:sz w:val="14"/>
          <w:szCs w:val="14"/>
          <w:color w:val="auto"/>
        </w:rPr>
        <w:t>As of June 30, 2023, we had commitments to extend credit of approximately $1.82 billion, and obligations under letters of credit of $ 51.8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June 30, 2023 and 2022, the balance in this reserve was $8.9 million and $8.0 million, respectively, and was included in other liabilities. The year-over -year increase included $900,000 in provision for unfunded loan commitments for the six months ended June 30, 2023, compared to no provision for the same period of 2022.</w:t>
      </w:r>
    </w:p>
    <w:p>
      <w:pPr>
        <w:spacing w:after="0" w:line="139" w:lineRule="exact"/>
        <w:rPr>
          <w:sz w:val="20"/>
          <w:szCs w:val="20"/>
          <w:color w:val="auto"/>
        </w:rPr>
      </w:pPr>
    </w:p>
    <w:p>
      <w:pPr>
        <w:ind w:right="80" w:firstLine="432"/>
        <w:spacing w:after="0"/>
        <w:rPr>
          <w:sz w:val="20"/>
          <w:szCs w:val="20"/>
          <w:color w:val="auto"/>
        </w:rPr>
      </w:pPr>
      <w:r>
        <w:rPr>
          <w:rFonts w:ascii="Arial" w:cs="Arial" w:eastAsia="Arial" w:hAnsi="Arial"/>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184" w:lineRule="exact"/>
        <w:rPr>
          <w:sz w:val="20"/>
          <w:szCs w:val="20"/>
          <w:color w:val="auto"/>
        </w:rPr>
      </w:pPr>
    </w:p>
    <w:p>
      <w:pPr>
        <w:ind w:right="60" w:firstLine="432"/>
        <w:spacing w:after="0"/>
        <w:rPr>
          <w:sz w:val="20"/>
          <w:szCs w:val="20"/>
          <w:color w:val="auto"/>
        </w:rPr>
      </w:pPr>
      <w:r>
        <w:rPr>
          <w:rFonts w:ascii="Arial" w:cs="Arial" w:eastAsia="Arial" w:hAnsi="Arial"/>
          <w:sz w:val="16"/>
          <w:szCs w:val="16"/>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64" w:lineRule="exact"/>
        <w:rPr>
          <w:sz w:val="20"/>
          <w:szCs w:val="20"/>
          <w:color w:val="auto"/>
        </w:rPr>
      </w:pPr>
    </w:p>
    <w:p>
      <w:pPr>
        <w:ind w:right="140" w:firstLine="432"/>
        <w:spacing w:after="0" w:line="238" w:lineRule="auto"/>
        <w:rPr>
          <w:sz w:val="20"/>
          <w:szCs w:val="20"/>
          <w:color w:val="auto"/>
        </w:rPr>
      </w:pPr>
      <w:r>
        <w:rPr>
          <w:rFonts w:ascii="Arial" w:cs="Arial" w:eastAsia="Arial" w:hAnsi="Arial"/>
          <w:sz w:val="16"/>
          <w:szCs w:val="16"/>
          <w:color w:val="auto"/>
        </w:rPr>
        <w:t>Total equity increased $52.9 million, or 2.71%, to $2.00 billion at June 30, 2023, compared to total equity of $1.95 billion at December 31, 2022. Increases to equity included $115.0 million in net earnings and a $ 9.9 million increase in other comprehensive income. At the end of the second quarter of 2023, we entered into pay-fixed rate swaps to mitigate the risks of rising interest rates. This resulted in a fair value remeasurement of this swap derivative at June 30, 2023, resulting in an after</w:t>
      </w:r>
    </w:p>
    <w:p>
      <w:pPr>
        <w:jc w:val="center"/>
        <w:ind w:right="-19"/>
        <w:spacing w:after="0"/>
        <w:rPr>
          <w:sz w:val="20"/>
          <w:szCs w:val="20"/>
          <w:color w:val="auto"/>
        </w:rPr>
      </w:pPr>
      <w:r>
        <w:rPr>
          <w:rFonts w:ascii="Arial" w:cs="Arial" w:eastAsia="Arial" w:hAnsi="Arial"/>
          <w:sz w:val="16"/>
          <w:szCs w:val="16"/>
          <w:color w:val="auto"/>
        </w:rPr>
        <w:t>67</w:t>
      </w:r>
    </w:p>
    <w:p>
      <w:pPr>
        <w:sectPr>
          <w:pgSz w:w="11900" w:h="16840" w:orient="portrait"/>
          <w:cols w:equalWidth="0" w:num="1">
            <w:col w:w="10560"/>
          </w:cols>
          <w:pgMar w:left="660" w:top="970" w:right="680" w:bottom="1440" w:gutter="0" w:footer="0" w:header="0"/>
        </w:sectPr>
      </w:pPr>
    </w:p>
    <w:bookmarkStart w:id="67" w:name="page68"/>
    <w:bookmarkEnd w:id="67"/>
    <w:p>
      <w:pPr>
        <w:ind w:right="60"/>
        <w:spacing w:after="0"/>
        <w:rPr>
          <w:sz w:val="20"/>
          <w:szCs w:val="20"/>
          <w:color w:val="auto"/>
        </w:rPr>
      </w:pPr>
      <w:r>
        <w:rPr>
          <w:rFonts w:ascii="Arial" w:cs="Arial" w:eastAsia="Arial" w:hAnsi="Arial"/>
          <w:sz w:val="16"/>
          <w:szCs w:val="16"/>
          <w:color w:val="auto"/>
        </w:rPr>
        <w:t>tax increase in other comprehensive income of $7.8 million. Decreases from December 31, 2022 included $55.8 million in cash dividends. We engaged in no stock repurchases during the second quarter of 2023, compared to the first quarter of 2023, when we repurchased, under our 10b5-1 stock repurchase plan, 791,800 shares of common stock, at an average repurchase price of $ 23.43, totaling $18.5 million. This 10b5-1 plan expired on March 2, 2023 and no new plan has been put in place since that time. Our tangible book value per share at June 30, 2023 was $8.74.</w:t>
      </w:r>
    </w:p>
    <w:p>
      <w:pPr>
        <w:spacing w:after="0" w:line="164" w:lineRule="exact"/>
        <w:rPr>
          <w:sz w:val="20"/>
          <w:szCs w:val="20"/>
          <w:color w:val="auto"/>
        </w:rPr>
      </w:pPr>
    </w:p>
    <w:p>
      <w:pPr>
        <w:ind w:right="100" w:firstLine="432"/>
        <w:spacing w:after="0"/>
        <w:rPr>
          <w:sz w:val="20"/>
          <w:szCs w:val="20"/>
          <w:color w:val="auto"/>
        </w:rPr>
      </w:pPr>
      <w:r>
        <w:rPr>
          <w:rFonts w:ascii="Arial" w:cs="Arial" w:eastAsia="Arial" w:hAnsi="Arial"/>
          <w:sz w:val="16"/>
          <w:szCs w:val="16"/>
          <w:color w:val="auto"/>
        </w:rPr>
        <w:t>During the second quarter of 2023, the Board of Directors of CVB declared quarterly cash dividends totaling $0.20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64" w:lineRule="exact"/>
        <w:rPr>
          <w:sz w:val="20"/>
          <w:szCs w:val="20"/>
          <w:color w:val="auto"/>
        </w:rPr>
      </w:pPr>
    </w:p>
    <w:p>
      <w:pPr>
        <w:ind w:firstLine="432"/>
        <w:spacing w:after="0" w:line="277" w:lineRule="auto"/>
        <w:rPr>
          <w:sz w:val="20"/>
          <w:szCs w:val="20"/>
          <w:color w:val="auto"/>
        </w:rPr>
      </w:pPr>
      <w:r>
        <w:rPr>
          <w:rFonts w:ascii="Arial" w:cs="Arial" w:eastAsia="Arial" w:hAnsi="Arial"/>
          <w:sz w:val="14"/>
          <w:szCs w:val="14"/>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During the first quarter of 2022, we executed on the $70 million accelerated stock repurchase program and retired 2,544,298 shares of common stock. We also repurchased, under our 10b5-1 stock repurchase plan, 536,010 shares of common stock, at an average repurchase price of $23.40, totaling $12.5 million. During the first quarter of 2023, we repurchased 791,800 shares at an average price of $23.43. We engaged in no stock repurchases during the second quarter of 2023. This 10b5-1 plan expired on March 2, 2023 and no new plan has been put in place since that time.</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790" w:right="740" w:bottom="1440" w:gutter="0" w:footer="0" w:header="0"/>
        </w:sectPr>
      </w:pPr>
    </w:p>
    <w:bookmarkStart w:id="68" w:name="page69"/>
    <w:bookmarkEnd w:id="68"/>
    <w:p>
      <w:pPr>
        <w:ind w:firstLine="432"/>
        <w:spacing w:after="0" w:line="237" w:lineRule="auto"/>
        <w:rPr>
          <w:sz w:val="20"/>
          <w:szCs w:val="20"/>
          <w:color w:val="auto"/>
        </w:rPr>
      </w:pPr>
      <w:r>
        <w:rPr>
          <w:rFonts w:ascii="Arial" w:cs="Arial" w:eastAsia="Arial" w:hAnsi="Arial"/>
          <w:sz w:val="16"/>
          <w:szCs w:val="16"/>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 -based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June 30, 2023, the Bank and the Company exceeded the minimum risk-based capital ratios and leverage ratios required to be considered “well-capitalized” for regulatory purposes. For further information about capital requirements and our capital ratios, see “Item 1. </w:t>
      </w:r>
      <w:r>
        <w:rPr>
          <w:rFonts w:ascii="Arial" w:cs="Arial" w:eastAsia="Arial" w:hAnsi="Arial"/>
          <w:sz w:val="16"/>
          <w:szCs w:val="16"/>
          <w:i w:val="1"/>
          <w:iCs w:val="1"/>
          <w:color w:val="auto"/>
        </w:rPr>
        <w:t>Business – Capital Adequacy Requirements</w:t>
      </w:r>
      <w:r>
        <w:rPr>
          <w:rFonts w:ascii="Arial" w:cs="Arial" w:eastAsia="Arial" w:hAnsi="Arial"/>
          <w:sz w:val="16"/>
          <w:szCs w:val="16"/>
          <w:color w:val="auto"/>
        </w:rPr>
        <w:t>” as described in our Annual Report on Form 10-K for the year ended December 31, 2022.</w:t>
      </w:r>
    </w:p>
    <w:p>
      <w:pPr>
        <w:spacing w:after="0" w:line="165" w:lineRule="exact"/>
        <w:rPr>
          <w:sz w:val="20"/>
          <w:szCs w:val="20"/>
          <w:color w:val="auto"/>
        </w:rPr>
      </w:pPr>
    </w:p>
    <w:p>
      <w:pPr>
        <w:ind w:right="140" w:firstLine="432"/>
        <w:spacing w:after="0" w:line="243" w:lineRule="auto"/>
        <w:rPr>
          <w:sz w:val="20"/>
          <w:szCs w:val="20"/>
          <w:color w:val="auto"/>
        </w:rPr>
      </w:pPr>
      <w:r>
        <w:rPr>
          <w:rFonts w:ascii="Arial" w:cs="Arial" w:eastAsia="Arial" w:hAnsi="Arial"/>
          <w:sz w:val="16"/>
          <w:szCs w:val="16"/>
          <w:color w:val="auto"/>
        </w:rPr>
        <w:t>At June 30, 2023 the Bank and the Company exceeded the minimum risk-based capital ratios and leverage ratios, under the revised capital framework referred to as Basel III, required to be considered “well -capitalized” for regulatory purposes. We did not elect to phase in the impact of CECL on regulatory capital, as allowed under the interim final rule of the FDIC and other U.S. banking agencies.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presents the Company’s and the Bank’s risk-based and leverage capital ratios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40" w:type="dxa"/>
            <w:vAlign w:val="bottom"/>
            <w:gridSpan w:val="2"/>
          </w:tcPr>
          <w:p>
            <w:pPr>
              <w:ind w:left="620"/>
              <w:spacing w:after="0"/>
              <w:rPr>
                <w:sz w:val="20"/>
                <w:szCs w:val="20"/>
                <w:color w:val="auto"/>
              </w:rPr>
            </w:pPr>
            <w:r>
              <w:rPr>
                <w:rFonts w:ascii="Arial" w:cs="Arial" w:eastAsia="Arial" w:hAnsi="Arial"/>
                <w:sz w:val="16"/>
                <w:szCs w:val="16"/>
                <w:b w:val="1"/>
                <w:bCs w:val="1"/>
                <w:color w:val="auto"/>
              </w:rPr>
              <w:t>June 30, 2023</w:t>
            </w:r>
          </w:p>
        </w:tc>
        <w:tc>
          <w:tcPr>
            <w:tcW w:w="2140" w:type="dxa"/>
            <w:vAlign w:val="bottom"/>
            <w:gridSpan w:val="2"/>
          </w:tcPr>
          <w:p>
            <w:pPr>
              <w:ind w:left="400"/>
              <w:spacing w:after="0"/>
              <w:rPr>
                <w:sz w:val="20"/>
                <w:szCs w:val="20"/>
                <w:color w:val="auto"/>
              </w:rPr>
            </w:pPr>
            <w:r>
              <w:rPr>
                <w:rFonts w:ascii="Arial" w:cs="Arial" w:eastAsia="Arial" w:hAnsi="Arial"/>
                <w:sz w:val="16"/>
                <w:szCs w:val="16"/>
                <w:b w:val="1"/>
                <w:bCs w:val="1"/>
                <w:color w:val="auto"/>
              </w:rPr>
              <w:t>December 31, 2022</w:t>
            </w:r>
          </w:p>
        </w:tc>
      </w:tr>
      <w:tr>
        <w:trPr>
          <w:trHeight w:val="180"/>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jc w:val="center"/>
              <w:ind w:left="2"/>
              <w:spacing w:after="0" w:line="180" w:lineRule="exact"/>
              <w:rPr>
                <w:sz w:val="20"/>
                <w:szCs w:val="20"/>
                <w:color w:val="auto"/>
              </w:rPr>
            </w:pPr>
            <w:r>
              <w:rPr>
                <w:rFonts w:ascii="Arial" w:cs="Arial" w:eastAsia="Arial" w:hAnsi="Arial"/>
                <w:sz w:val="16"/>
                <w:szCs w:val="16"/>
                <w:b w:val="1"/>
                <w:bCs w:val="1"/>
                <w:color w:val="auto"/>
                <w:w w:val="97"/>
              </w:rPr>
              <w:t>Adequately</w:t>
            </w:r>
          </w:p>
        </w:tc>
        <w:tc>
          <w:tcPr>
            <w:tcW w:w="1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Minimum Required</w:t>
            </w:r>
          </w:p>
        </w:tc>
        <w:tc>
          <w:tcPr>
            <w:tcW w:w="10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Well</w:t>
            </w:r>
          </w:p>
        </w:tc>
        <w:tc>
          <w:tcPr>
            <w:tcW w:w="13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CVB Financial</w:t>
            </w: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Citizens</w:t>
            </w:r>
          </w:p>
        </w:tc>
        <w:tc>
          <w:tcPr>
            <w:tcW w:w="12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CVB Financial</w:t>
            </w:r>
          </w:p>
        </w:tc>
        <w:tc>
          <w:tcPr>
            <w:tcW w:w="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Citizens</w:t>
            </w:r>
          </w:p>
        </w:tc>
      </w:tr>
      <w:tr>
        <w:trPr>
          <w:trHeight w:val="180"/>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Capitalized</w:t>
            </w:r>
          </w:p>
        </w:tc>
        <w:tc>
          <w:tcPr>
            <w:tcW w:w="1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Plus Capital</w:t>
            </w:r>
          </w:p>
        </w:tc>
        <w:tc>
          <w:tcPr>
            <w:tcW w:w="10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Capitalized</w:t>
            </w:r>
          </w:p>
        </w:tc>
        <w:tc>
          <w:tcPr>
            <w:tcW w:w="13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Corp.</w:t>
            </w: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Business</w:t>
            </w:r>
          </w:p>
        </w:tc>
        <w:tc>
          <w:tcPr>
            <w:tcW w:w="12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5"/>
              </w:rPr>
              <w:t>Corp.</w:t>
            </w:r>
          </w:p>
        </w:tc>
        <w:tc>
          <w:tcPr>
            <w:tcW w:w="860" w:type="dxa"/>
            <w:vAlign w:val="bottom"/>
          </w:tcPr>
          <w:p>
            <w:pPr>
              <w:jc w:val="center"/>
              <w:ind w:left="2"/>
              <w:spacing w:after="0" w:line="180" w:lineRule="exact"/>
              <w:rPr>
                <w:sz w:val="20"/>
                <w:szCs w:val="20"/>
                <w:color w:val="auto"/>
              </w:rPr>
            </w:pPr>
            <w:r>
              <w:rPr>
                <w:rFonts w:ascii="Arial" w:cs="Arial" w:eastAsia="Arial" w:hAnsi="Arial"/>
                <w:sz w:val="16"/>
                <w:szCs w:val="16"/>
                <w:b w:val="1"/>
                <w:bCs w:val="1"/>
                <w:color w:val="auto"/>
                <w:w w:val="98"/>
              </w:rPr>
              <w:t>Business</w:t>
            </w:r>
          </w:p>
        </w:tc>
      </w:tr>
      <w:tr>
        <w:trPr>
          <w:trHeight w:val="171"/>
        </w:trPr>
        <w:tc>
          <w:tcPr>
            <w:tcW w:w="2260" w:type="dxa"/>
            <w:vAlign w:val="bottom"/>
            <w:gridSpan w:val="3"/>
          </w:tcPr>
          <w:p>
            <w:pPr>
              <w:ind w:left="20"/>
              <w:spacing w:after="0" w:line="171" w:lineRule="exact"/>
              <w:rPr>
                <w:sz w:val="20"/>
                <w:szCs w:val="20"/>
                <w:color w:val="auto"/>
              </w:rPr>
            </w:pPr>
            <w:r>
              <w:rPr>
                <w:rFonts w:ascii="Arial" w:cs="Arial" w:eastAsia="Arial" w:hAnsi="Arial"/>
                <w:sz w:val="16"/>
                <w:szCs w:val="16"/>
                <w:b w:val="1"/>
                <w:bCs w:val="1"/>
                <w:color w:val="auto"/>
              </w:rPr>
              <w:t>Capital Ratios</w:t>
            </w:r>
          </w:p>
        </w:tc>
        <w:tc>
          <w:tcPr>
            <w:tcW w:w="1160" w:type="dxa"/>
            <w:vAlign w:val="bottom"/>
          </w:tcPr>
          <w:p>
            <w:pPr>
              <w:jc w:val="center"/>
              <w:ind w:left="2"/>
              <w:spacing w:after="0" w:line="171" w:lineRule="exact"/>
              <w:rPr>
                <w:sz w:val="20"/>
                <w:szCs w:val="20"/>
                <w:color w:val="auto"/>
              </w:rPr>
            </w:pPr>
            <w:r>
              <w:rPr>
                <w:rFonts w:ascii="Arial" w:cs="Arial" w:eastAsia="Arial" w:hAnsi="Arial"/>
                <w:sz w:val="16"/>
                <w:szCs w:val="16"/>
                <w:b w:val="1"/>
                <w:bCs w:val="1"/>
                <w:color w:val="auto"/>
                <w:w w:val="98"/>
              </w:rPr>
              <w:t>Ratios</w:t>
            </w:r>
          </w:p>
        </w:tc>
        <w:tc>
          <w:tcPr>
            <w:tcW w:w="17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7"/>
              </w:rPr>
              <w:t>Conservation Buffer</w:t>
            </w:r>
          </w:p>
        </w:tc>
        <w:tc>
          <w:tcPr>
            <w:tcW w:w="106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Ratios</w:t>
            </w:r>
          </w:p>
        </w:tc>
        <w:tc>
          <w:tcPr>
            <w:tcW w:w="13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6"/>
              </w:rPr>
              <w:t>Consolidated</w:t>
            </w:r>
          </w:p>
        </w:tc>
        <w:tc>
          <w:tcPr>
            <w:tcW w:w="94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7"/>
              </w:rPr>
              <w:t>Bank</w:t>
            </w:r>
          </w:p>
        </w:tc>
        <w:tc>
          <w:tcPr>
            <w:tcW w:w="12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Consolidated</w:t>
            </w:r>
          </w:p>
        </w:tc>
        <w:tc>
          <w:tcPr>
            <w:tcW w:w="860" w:type="dxa"/>
            <w:vAlign w:val="bottom"/>
          </w:tcPr>
          <w:p>
            <w:pPr>
              <w:jc w:val="center"/>
              <w:ind w:left="2"/>
              <w:spacing w:after="0" w:line="171" w:lineRule="exact"/>
              <w:rPr>
                <w:sz w:val="20"/>
                <w:szCs w:val="20"/>
                <w:color w:val="auto"/>
              </w:rPr>
            </w:pPr>
            <w:r>
              <w:rPr>
                <w:rFonts w:ascii="Arial" w:cs="Arial" w:eastAsia="Arial" w:hAnsi="Arial"/>
                <w:sz w:val="16"/>
                <w:szCs w:val="16"/>
                <w:b w:val="1"/>
                <w:bCs w:val="1"/>
                <w:color w:val="auto"/>
                <w:w w:val="97"/>
              </w:rPr>
              <w:t>Bank</w:t>
            </w:r>
          </w:p>
        </w:tc>
      </w:tr>
      <w:tr>
        <w:trPr>
          <w:trHeight w:val="220"/>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4"/>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Tier 1 leverage capital ratio</w:t>
            </w:r>
          </w:p>
        </w:tc>
        <w:tc>
          <w:tcPr>
            <w:tcW w:w="1160" w:type="dxa"/>
            <w:vAlign w:val="bottom"/>
            <w:shd w:val="clear" w:color="auto" w:fill="CFF0FC"/>
          </w:tcPr>
          <w:p>
            <w:pPr>
              <w:jc w:val="center"/>
              <w:ind w:left="2"/>
              <w:spacing w:after="0"/>
              <w:rPr>
                <w:sz w:val="20"/>
                <w:szCs w:val="20"/>
                <w:color w:val="auto"/>
              </w:rPr>
            </w:pPr>
            <w:r>
              <w:rPr>
                <w:rFonts w:ascii="Arial" w:cs="Arial" w:eastAsia="Arial" w:hAnsi="Arial"/>
                <w:sz w:val="16"/>
                <w:szCs w:val="16"/>
                <w:color w:val="auto"/>
                <w:w w:val="96"/>
              </w:rPr>
              <w:t>4.00%</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4.00%</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5.00%</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9.81%</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9.73%</w:t>
            </w:r>
          </w:p>
        </w:tc>
        <w:tc>
          <w:tcPr>
            <w:tcW w:w="12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9.53%</w:t>
            </w:r>
          </w:p>
        </w:tc>
        <w:tc>
          <w:tcPr>
            <w:tcW w:w="8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9.42%</w:t>
            </w:r>
          </w:p>
        </w:tc>
      </w:tr>
      <w:tr>
        <w:trPr>
          <w:trHeight w:val="185"/>
        </w:trPr>
        <w:tc>
          <w:tcPr>
            <w:tcW w:w="2260" w:type="dxa"/>
            <w:vAlign w:val="bottom"/>
            <w:gridSpan w:val="3"/>
          </w:tcPr>
          <w:p>
            <w:pPr>
              <w:ind w:left="20"/>
              <w:spacing w:after="0"/>
              <w:rPr>
                <w:sz w:val="20"/>
                <w:szCs w:val="20"/>
                <w:color w:val="auto"/>
              </w:rPr>
            </w:pPr>
            <w:r>
              <w:rPr>
                <w:rFonts w:ascii="Arial" w:cs="Arial" w:eastAsia="Arial" w:hAnsi="Arial"/>
                <w:sz w:val="16"/>
                <w:szCs w:val="16"/>
                <w:color w:val="auto"/>
              </w:rPr>
              <w:t>Common equity Tier 1 capital</w:t>
            </w:r>
          </w:p>
        </w:tc>
        <w:tc>
          <w:tcPr>
            <w:tcW w:w="1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8"/>
        </w:trPr>
        <w:tc>
          <w:tcPr>
            <w:tcW w:w="2260" w:type="dxa"/>
            <w:vAlign w:val="bottom"/>
            <w:gridSpan w:val="3"/>
          </w:tcPr>
          <w:p>
            <w:pPr>
              <w:ind w:left="20"/>
              <w:spacing w:after="0"/>
              <w:rPr>
                <w:sz w:val="20"/>
                <w:szCs w:val="20"/>
                <w:color w:val="auto"/>
              </w:rPr>
            </w:pPr>
            <w:r>
              <w:rPr>
                <w:rFonts w:ascii="Arial" w:cs="Arial" w:eastAsia="Arial" w:hAnsi="Arial"/>
                <w:sz w:val="16"/>
                <w:szCs w:val="16"/>
                <w:color w:val="auto"/>
              </w:rPr>
              <w:t>ratio</w:t>
            </w:r>
          </w:p>
        </w:tc>
        <w:tc>
          <w:tcPr>
            <w:tcW w:w="1160" w:type="dxa"/>
            <w:vAlign w:val="bottom"/>
          </w:tcPr>
          <w:p>
            <w:pPr>
              <w:jc w:val="center"/>
              <w:ind w:left="2"/>
              <w:spacing w:after="0"/>
              <w:rPr>
                <w:sz w:val="20"/>
                <w:szCs w:val="20"/>
                <w:color w:val="auto"/>
              </w:rPr>
            </w:pPr>
            <w:r>
              <w:rPr>
                <w:rFonts w:ascii="Arial" w:cs="Arial" w:eastAsia="Arial" w:hAnsi="Arial"/>
                <w:sz w:val="16"/>
                <w:szCs w:val="16"/>
                <w:color w:val="auto"/>
                <w:w w:val="96"/>
              </w:rPr>
              <w:t>4.50%</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7.00%</w:t>
            </w:r>
          </w:p>
        </w:tc>
        <w:tc>
          <w:tcPr>
            <w:tcW w:w="1060" w:type="dxa"/>
            <w:vAlign w:val="bottom"/>
          </w:tcPr>
          <w:p>
            <w:pPr>
              <w:jc w:val="center"/>
              <w:spacing w:after="0"/>
              <w:rPr>
                <w:sz w:val="20"/>
                <w:szCs w:val="20"/>
                <w:color w:val="auto"/>
              </w:rPr>
            </w:pPr>
            <w:r>
              <w:rPr>
                <w:rFonts w:ascii="Arial" w:cs="Arial" w:eastAsia="Arial" w:hAnsi="Arial"/>
                <w:sz w:val="16"/>
                <w:szCs w:val="16"/>
                <w:color w:val="auto"/>
                <w:w w:val="96"/>
              </w:rPr>
              <w:t>6.50%</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14.07%</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13.95%</w:t>
            </w:r>
          </w:p>
        </w:tc>
        <w:tc>
          <w:tcPr>
            <w:tcW w:w="1280" w:type="dxa"/>
            <w:vAlign w:val="bottom"/>
          </w:tcPr>
          <w:p>
            <w:pPr>
              <w:jc w:val="center"/>
              <w:spacing w:after="0"/>
              <w:rPr>
                <w:sz w:val="20"/>
                <w:szCs w:val="20"/>
                <w:color w:val="auto"/>
              </w:rPr>
            </w:pPr>
            <w:r>
              <w:rPr>
                <w:rFonts w:ascii="Arial" w:cs="Arial" w:eastAsia="Arial" w:hAnsi="Arial"/>
                <w:sz w:val="16"/>
                <w:szCs w:val="16"/>
                <w:color w:val="auto"/>
                <w:w w:val="95"/>
              </w:rPr>
              <w:t>13.55%</w:t>
            </w:r>
          </w:p>
        </w:tc>
        <w:tc>
          <w:tcPr>
            <w:tcW w:w="860" w:type="dxa"/>
            <w:vAlign w:val="bottom"/>
          </w:tcPr>
          <w:p>
            <w:pPr>
              <w:jc w:val="center"/>
              <w:ind w:left="2"/>
              <w:spacing w:after="0"/>
              <w:rPr>
                <w:sz w:val="20"/>
                <w:szCs w:val="20"/>
                <w:color w:val="auto"/>
              </w:rPr>
            </w:pPr>
            <w:r>
              <w:rPr>
                <w:rFonts w:ascii="Arial" w:cs="Arial" w:eastAsia="Arial" w:hAnsi="Arial"/>
                <w:sz w:val="16"/>
                <w:szCs w:val="16"/>
                <w:color w:val="auto"/>
                <w:w w:val="99"/>
              </w:rPr>
              <w:t>13.39%</w:t>
            </w:r>
          </w:p>
        </w:tc>
      </w:tr>
      <w:tr>
        <w:trPr>
          <w:trHeight w:val="205"/>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Tier 1 risk-based capital ratio</w:t>
            </w:r>
          </w:p>
        </w:tc>
        <w:tc>
          <w:tcPr>
            <w:tcW w:w="1160" w:type="dxa"/>
            <w:vAlign w:val="bottom"/>
            <w:shd w:val="clear" w:color="auto" w:fill="CFF0FC"/>
          </w:tcPr>
          <w:p>
            <w:pPr>
              <w:jc w:val="center"/>
              <w:ind w:left="2"/>
              <w:spacing w:after="0"/>
              <w:rPr>
                <w:sz w:val="20"/>
                <w:szCs w:val="20"/>
                <w:color w:val="auto"/>
              </w:rPr>
            </w:pPr>
            <w:r>
              <w:rPr>
                <w:rFonts w:ascii="Arial" w:cs="Arial" w:eastAsia="Arial" w:hAnsi="Arial"/>
                <w:sz w:val="16"/>
                <w:szCs w:val="16"/>
                <w:color w:val="auto"/>
                <w:w w:val="96"/>
              </w:rPr>
              <w:t>6.00%</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8.50%</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8.00%</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14.07%</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13.95%</w:t>
            </w:r>
          </w:p>
        </w:tc>
        <w:tc>
          <w:tcPr>
            <w:tcW w:w="12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13.55%</w:t>
            </w:r>
          </w:p>
        </w:tc>
        <w:tc>
          <w:tcPr>
            <w:tcW w:w="860" w:type="dxa"/>
            <w:vAlign w:val="bottom"/>
            <w:shd w:val="clear" w:color="auto" w:fill="CFF0FC"/>
          </w:tcPr>
          <w:p>
            <w:pPr>
              <w:jc w:val="center"/>
              <w:ind w:left="2"/>
              <w:spacing w:after="0"/>
              <w:rPr>
                <w:sz w:val="20"/>
                <w:szCs w:val="20"/>
                <w:color w:val="auto"/>
              </w:rPr>
            </w:pPr>
            <w:r>
              <w:rPr>
                <w:rFonts w:ascii="Arial" w:cs="Arial" w:eastAsia="Arial" w:hAnsi="Arial"/>
                <w:sz w:val="16"/>
                <w:szCs w:val="16"/>
                <w:color w:val="auto"/>
                <w:w w:val="99"/>
              </w:rPr>
              <w:t>13.39%</w:t>
            </w:r>
          </w:p>
        </w:tc>
      </w:tr>
      <w:tr>
        <w:trPr>
          <w:trHeight w:val="202"/>
        </w:trPr>
        <w:tc>
          <w:tcPr>
            <w:tcW w:w="2260" w:type="dxa"/>
            <w:vAlign w:val="bottom"/>
            <w:gridSpan w:val="3"/>
          </w:tcPr>
          <w:p>
            <w:pPr>
              <w:ind w:left="20"/>
              <w:spacing w:after="0"/>
              <w:rPr>
                <w:sz w:val="20"/>
                <w:szCs w:val="20"/>
                <w:color w:val="auto"/>
              </w:rPr>
            </w:pPr>
            <w:r>
              <w:rPr>
                <w:rFonts w:ascii="Arial" w:cs="Arial" w:eastAsia="Arial" w:hAnsi="Arial"/>
                <w:sz w:val="16"/>
                <w:szCs w:val="16"/>
                <w:color w:val="auto"/>
              </w:rPr>
              <w:t>Total risk-based capital ratio</w:t>
            </w:r>
          </w:p>
        </w:tc>
        <w:tc>
          <w:tcPr>
            <w:tcW w:w="1160" w:type="dxa"/>
            <w:vAlign w:val="bottom"/>
          </w:tcPr>
          <w:p>
            <w:pPr>
              <w:jc w:val="center"/>
              <w:ind w:left="2"/>
              <w:spacing w:after="0"/>
              <w:rPr>
                <w:sz w:val="20"/>
                <w:szCs w:val="20"/>
                <w:color w:val="auto"/>
              </w:rPr>
            </w:pPr>
            <w:r>
              <w:rPr>
                <w:rFonts w:ascii="Arial" w:cs="Arial" w:eastAsia="Arial" w:hAnsi="Arial"/>
                <w:sz w:val="16"/>
                <w:szCs w:val="16"/>
                <w:color w:val="auto"/>
                <w:w w:val="96"/>
              </w:rPr>
              <w:t>8.00%</w:t>
            </w: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10.50%</w:t>
            </w:r>
          </w:p>
        </w:tc>
        <w:tc>
          <w:tcPr>
            <w:tcW w:w="1060" w:type="dxa"/>
            <w:vAlign w:val="bottom"/>
          </w:tcPr>
          <w:p>
            <w:pPr>
              <w:jc w:val="center"/>
              <w:spacing w:after="0"/>
              <w:rPr>
                <w:sz w:val="20"/>
                <w:szCs w:val="20"/>
                <w:color w:val="auto"/>
              </w:rPr>
            </w:pPr>
            <w:r>
              <w:rPr>
                <w:rFonts w:ascii="Arial" w:cs="Arial" w:eastAsia="Arial" w:hAnsi="Arial"/>
                <w:sz w:val="16"/>
                <w:szCs w:val="16"/>
                <w:color w:val="auto"/>
                <w:w w:val="95"/>
              </w:rPr>
              <w:t>10.00%</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14.92%</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14.80%</w:t>
            </w:r>
          </w:p>
        </w:tc>
        <w:tc>
          <w:tcPr>
            <w:tcW w:w="1280" w:type="dxa"/>
            <w:vAlign w:val="bottom"/>
          </w:tcPr>
          <w:p>
            <w:pPr>
              <w:jc w:val="center"/>
              <w:spacing w:after="0"/>
              <w:rPr>
                <w:sz w:val="20"/>
                <w:szCs w:val="20"/>
                <w:color w:val="auto"/>
              </w:rPr>
            </w:pPr>
            <w:r>
              <w:rPr>
                <w:rFonts w:ascii="Arial" w:cs="Arial" w:eastAsia="Arial" w:hAnsi="Arial"/>
                <w:sz w:val="16"/>
                <w:szCs w:val="16"/>
                <w:color w:val="auto"/>
                <w:w w:val="95"/>
              </w:rPr>
              <w:t>14.37%</w:t>
            </w:r>
          </w:p>
        </w:tc>
        <w:tc>
          <w:tcPr>
            <w:tcW w:w="860" w:type="dxa"/>
            <w:vAlign w:val="bottom"/>
          </w:tcPr>
          <w:p>
            <w:pPr>
              <w:jc w:val="center"/>
              <w:ind w:left="2"/>
              <w:spacing w:after="0"/>
              <w:rPr>
                <w:sz w:val="20"/>
                <w:szCs w:val="20"/>
                <w:color w:val="auto"/>
              </w:rPr>
            </w:pPr>
            <w:r>
              <w:rPr>
                <w:rFonts w:ascii="Arial" w:cs="Arial" w:eastAsia="Arial" w:hAnsi="Arial"/>
                <w:sz w:val="16"/>
                <w:szCs w:val="16"/>
                <w:color w:val="auto"/>
                <w:w w:val="99"/>
              </w:rPr>
              <w:t>14.22%</w:t>
            </w:r>
          </w:p>
        </w:tc>
      </w:tr>
      <w:tr>
        <w:trPr>
          <w:trHeight w:val="37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jc w:val="right"/>
              <w:ind w:right="722"/>
              <w:spacing w:after="0"/>
              <w:rPr>
                <w:sz w:val="20"/>
                <w:szCs w:val="20"/>
                <w:color w:val="auto"/>
              </w:rPr>
            </w:pPr>
            <w:r>
              <w:rPr>
                <w:rFonts w:ascii="Arial" w:cs="Arial" w:eastAsia="Arial" w:hAnsi="Arial"/>
                <w:sz w:val="16"/>
                <w:szCs w:val="16"/>
                <w:color w:val="auto"/>
              </w:rPr>
              <w:t>69</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8"/>
        </w:trPr>
        <w:tc>
          <w:tcPr>
            <w:tcW w:w="2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90" w:right="640" w:bottom="1440" w:gutter="0" w:footer="0" w:header="0"/>
        </w:sectPr>
      </w:pPr>
    </w:p>
    <w:bookmarkStart w:id="69" w:name="page70"/>
    <w:bookmarkEnd w:id="69"/>
    <w:p>
      <w:pPr>
        <w:jc w:val="center"/>
        <w:ind w:right="100"/>
        <w:spacing w:after="0"/>
        <w:rPr>
          <w:sz w:val="20"/>
          <w:szCs w:val="20"/>
          <w:color w:val="auto"/>
        </w:rPr>
      </w:pPr>
      <w:r>
        <w:rPr>
          <w:rFonts w:ascii="Arial" w:cs="Arial" w:eastAsia="Arial" w:hAnsi="Arial"/>
          <w:sz w:val="16"/>
          <w:szCs w:val="16"/>
          <w:b w:val="1"/>
          <w:bCs w:val="1"/>
          <w:color w:val="auto"/>
        </w:rPr>
        <w:t>ASSET/LIABILITY AND MARKET RISK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Cash Flow</w:t>
      </w:r>
    </w:p>
    <w:p>
      <w:pPr>
        <w:spacing w:after="0" w:line="184" w:lineRule="exact"/>
        <w:rPr>
          <w:sz w:val="20"/>
          <w:szCs w:val="20"/>
          <w:color w:val="auto"/>
        </w:rPr>
      </w:pPr>
    </w:p>
    <w:p>
      <w:pPr>
        <w:ind w:firstLine="432"/>
        <w:spacing w:after="0"/>
        <w:rPr>
          <w:sz w:val="20"/>
          <w:szCs w:val="20"/>
          <w:color w:val="auto"/>
        </w:rPr>
      </w:pPr>
      <w:r>
        <w:rPr>
          <w:rFonts w:ascii="Arial" w:cs="Arial" w:eastAsia="Arial" w:hAnsi="Arial"/>
          <w:sz w:val="16"/>
          <w:szCs w:val="16"/>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64" w:lineRule="exact"/>
        <w:rPr>
          <w:sz w:val="20"/>
          <w:szCs w:val="20"/>
          <w:color w:val="auto"/>
        </w:rPr>
      </w:pPr>
    </w:p>
    <w:p>
      <w:pPr>
        <w:ind w:firstLine="432"/>
        <w:spacing w:after="0" w:line="238" w:lineRule="auto"/>
        <w:rPr>
          <w:sz w:val="20"/>
          <w:szCs w:val="20"/>
          <w:color w:val="auto"/>
        </w:rPr>
      </w:pPr>
      <w:r>
        <w:rPr>
          <w:rFonts w:ascii="Arial" w:cs="Arial" w:eastAsia="Arial" w:hAnsi="Arial"/>
          <w:sz w:val="16"/>
          <w:szCs w:val="16"/>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63" w:lineRule="exact"/>
        <w:rPr>
          <w:sz w:val="20"/>
          <w:szCs w:val="20"/>
          <w:color w:val="auto"/>
        </w:rPr>
      </w:pPr>
    </w:p>
    <w:p>
      <w:pPr>
        <w:ind w:right="140" w:firstLine="432"/>
        <w:spacing w:after="0" w:line="236" w:lineRule="auto"/>
        <w:rPr>
          <w:sz w:val="20"/>
          <w:szCs w:val="20"/>
          <w:color w:val="auto"/>
        </w:rPr>
      </w:pPr>
      <w:r>
        <w:rPr>
          <w:rFonts w:ascii="Arial" w:cs="Arial" w:eastAsia="Arial" w:hAnsi="Arial"/>
          <w:sz w:val="16"/>
          <w:szCs w:val="16"/>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The Bank has available lines of credit totaling approximately $5.4 billion, of which $3.5 billion is secured by pledged loans and another $1.9 billion is secured by investment securities. In addition to having more than $600 million of cash on the balance sheet at June 30, 2023, we had substantial sources of off- balance sheet liquidity. These sources of available liquidity include $4.1 billion of secured and unused capacity with the Federal Home Loan Bank, $ 1.3 billion of secured unused borrowing capacity at the Fed’s discount window or Bank Term Funding Program, more than $550 million of unpledged AFS securities that could be pledged at the discount window or the Fed’s Bank Term Funding Program and $300 million of unsecured lines of credit. In addition to these borrowing sources, the Bank has not utilized any brokered deposits as of June 30, 2023. We can also obtain additional liquidity from deposit growth by utilizing state and national wholesale markets.</w:t>
      </w:r>
    </w:p>
    <w:p>
      <w:pPr>
        <w:spacing w:after="0" w:line="170"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Our primary sources and uses of funds for the Company are deposits, customer repurchase agreements and loans. Total deposits and customer repos of $12.85 billion at June 30, 2023 decreased $551.8 million, or 4.12%, over total deposits and customer repos of $13.40 billion at December 31, 2022. As a result of declining deposit balances, we borrowed on average $1.53 billion during the second quarter of 2023. We had no brokered deposits throughout the quarter. As of June 30, 2023, total short-term borrowings, consisted of $695 million of one-year advances from the Federal Reserve’s Bank Term Funding Program at a cost of 4.7%, which replaced higher cost borrowings from the FHLB, and $800 million of short-term FHLB advances, at an average cost of approximately 5%. These FHLB advances will mature over the next two quarters, with the final maturity at the end of November 2023. Our deposit levels and cost of deposits may fluctuate from period-to-period due to a variety of factors, including the stability of our deposit base, prevailing interest rates, and market conditions. At June 30, 2023, our deposits and customer repurchase agreements that are neither collateralized nor insured were $ 6.7 billion.</w:t>
      </w:r>
    </w:p>
    <w:p>
      <w:pPr>
        <w:spacing w:after="0" w:line="165" w:lineRule="exact"/>
        <w:rPr>
          <w:sz w:val="20"/>
          <w:szCs w:val="20"/>
          <w:color w:val="auto"/>
        </w:rPr>
      </w:pPr>
    </w:p>
    <w:p>
      <w:pPr>
        <w:ind w:right="60" w:firstLine="432"/>
        <w:spacing w:after="0"/>
        <w:rPr>
          <w:sz w:val="20"/>
          <w:szCs w:val="20"/>
          <w:color w:val="auto"/>
        </w:rPr>
      </w:pPr>
      <w:r>
        <w:rPr>
          <w:rFonts w:ascii="Arial" w:cs="Arial" w:eastAsia="Arial" w:hAnsi="Arial"/>
          <w:sz w:val="16"/>
          <w:szCs w:val="16"/>
          <w:color w:val="auto"/>
        </w:rPr>
        <w:t>In addition to the increase in short -term borrowing during the first half of 2023, we shrank our investment portfolio by not reinvesting the approximately $120 million of cashflows generated by our investments during the second quarter of 2023. Our total investment portfolio declined by $160 million from March 31, 2023 to $5.58 billion as of June 30, 2023. The decrease was primarily due to a $136.4 million decline in AFS investment securities. AFS securities totaled $3.07 billion at the end of the second quarter, inclusive of a pre-tax net unrealized loss of $497.7 million.</w:t>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2" w:right="640" w:bottom="1440" w:gutter="0" w:footer="0" w:header="0"/>
        </w:sectPr>
      </w:pPr>
    </w:p>
    <w:bookmarkStart w:id="70" w:name="page71"/>
    <w:bookmarkEnd w:id="70"/>
    <w:p>
      <w:pPr>
        <w:ind w:right="20"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Below is a summary of our average cash position and statement of cash flows for the six months ended June 30, 2023 and 2022. For further details see our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(Unaudited)” under Part I, Item 1 of this report.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ind w:left="620"/>
              <w:spacing w:after="0"/>
              <w:rPr>
                <w:sz w:val="20"/>
                <w:szCs w:val="20"/>
                <w:color w:val="auto"/>
              </w:rPr>
            </w:pPr>
            <w:r>
              <w:rPr>
                <w:rFonts w:ascii="Arial" w:cs="Arial" w:eastAsia="Arial" w:hAnsi="Arial"/>
                <w:sz w:val="16"/>
                <w:szCs w:val="16"/>
                <w:i w:val="1"/>
                <w:iCs w:val="1"/>
                <w:color w:val="auto"/>
              </w:rPr>
              <w:t>Consolidated Summary of Cash Flows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1"/>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7"/>
          </w:tcPr>
          <w:p>
            <w:pPr>
              <w:jc w:val="center"/>
              <w:ind w:right="420"/>
              <w:spacing w:after="0"/>
              <w:rPr>
                <w:sz w:val="20"/>
                <w:szCs w:val="20"/>
                <w:color w:val="auto"/>
              </w:rPr>
            </w:pPr>
            <w:r>
              <w:rPr>
                <w:rFonts w:ascii="Arial" w:cs="Arial" w:eastAsia="Arial" w:hAnsi="Arial"/>
                <w:sz w:val="16"/>
                <w:szCs w:val="16"/>
                <w:b w:val="1"/>
                <w:bCs w:val="1"/>
                <w:color w:val="auto"/>
                <w:w w:val="98"/>
              </w:rPr>
              <w:t>Six Months Ended</w:t>
            </w:r>
          </w:p>
        </w:tc>
      </w:tr>
      <w:tr>
        <w:trPr>
          <w:trHeight w:val="204"/>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4"/>
          </w:tcPr>
          <w:p>
            <w:pPr>
              <w:jc w:val="center"/>
              <w:ind w:left="623"/>
              <w:spacing w:after="0"/>
              <w:rPr>
                <w:sz w:val="20"/>
                <w:szCs w:val="20"/>
                <w:color w:val="auto"/>
              </w:rPr>
            </w:pPr>
            <w:r>
              <w:rPr>
                <w:rFonts w:ascii="Arial" w:cs="Arial" w:eastAsia="Arial" w:hAnsi="Arial"/>
                <w:sz w:val="16"/>
                <w:szCs w:val="16"/>
                <w:b w:val="1"/>
                <w:bCs w:val="1"/>
                <w:color w:val="auto"/>
                <w:w w:val="96"/>
              </w:rPr>
              <w:t>June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6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0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8"/>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7"/>
          </w:tcPr>
          <w:p>
            <w:pPr>
              <w:jc w:val="center"/>
              <w:ind w:right="380"/>
              <w:spacing w:after="0"/>
              <w:rPr>
                <w:sz w:val="20"/>
                <w:szCs w:val="20"/>
                <w:color w:val="auto"/>
              </w:rPr>
            </w:pPr>
            <w:r>
              <w:rPr>
                <w:rFonts w:ascii="Arial" w:cs="Arial" w:eastAsia="Arial" w:hAnsi="Arial"/>
                <w:sz w:val="14"/>
                <w:szCs w:val="14"/>
                <w:i w:val="1"/>
                <w:iCs w:val="1"/>
                <w:color w:val="auto"/>
              </w:rPr>
              <w:t>(Dollars in thousands)</w:t>
            </w:r>
          </w:p>
        </w:tc>
      </w:tr>
      <w:tr>
        <w:trPr>
          <w:trHeight w:val="210"/>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4"/>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Average cash and cash equivalents</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369,689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1,405,827</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6"/>
                <w:szCs w:val="16"/>
                <w:color w:val="auto"/>
              </w:rPr>
              <w:t>Percentage of total average assets</w:t>
            </w:r>
          </w:p>
        </w:tc>
        <w:tc>
          <w:tcPr>
            <w:tcW w:w="22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6"/>
                <w:szCs w:val="16"/>
                <w:color w:val="auto"/>
              </w:rPr>
              <w:t>2.26 %</w:t>
            </w:r>
          </w:p>
        </w:tc>
        <w:tc>
          <w:tcPr>
            <w:tcW w:w="36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8.18 %</w:t>
            </w:r>
          </w:p>
        </w:tc>
      </w:tr>
      <w:tr>
        <w:trPr>
          <w:trHeight w:val="20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162,103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128,388</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8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381,502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(776,221 )</w:t>
            </w:r>
          </w:p>
        </w:tc>
        <w:tc>
          <w:tcPr>
            <w:tcW w:w="60" w:type="dxa"/>
            <w:vAlign w:val="bottom"/>
          </w:tcPr>
          <w:p>
            <w:pPr>
              <w:spacing w:after="0"/>
              <w:rPr>
                <w:sz w:val="17"/>
                <w:szCs w:val="17"/>
                <w:color w:val="auto"/>
              </w:rPr>
            </w:pPr>
          </w:p>
        </w:tc>
      </w:tr>
      <w:tr>
        <w:trPr>
          <w:trHeight w:val="205"/>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(128,711 )</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(388,006 )</w:t>
            </w:r>
          </w:p>
        </w:tc>
        <w:tc>
          <w:tcPr>
            <w:tcW w:w="60" w:type="dxa"/>
            <w:vAlign w:val="bottom"/>
          </w:tcPr>
          <w:p>
            <w:pPr>
              <w:spacing w:after="0"/>
              <w:rPr>
                <w:sz w:val="17"/>
                <w:szCs w:val="17"/>
                <w:color w:val="auto"/>
              </w:rPr>
            </w:pPr>
          </w:p>
        </w:tc>
      </w:tr>
      <w:tr>
        <w:trPr>
          <w:trHeight w:val="204"/>
        </w:trPr>
        <w:tc>
          <w:tcPr>
            <w:tcW w:w="78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414,895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(1,035,839 )</w:t>
            </w:r>
          </w:p>
        </w:tc>
        <w:tc>
          <w:tcPr>
            <w:tcW w:w="6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right="80" w:firstLine="432"/>
        <w:spacing w:after="0" w:line="252" w:lineRule="auto"/>
        <w:rPr>
          <w:sz w:val="20"/>
          <w:szCs w:val="20"/>
          <w:color w:val="auto"/>
        </w:rPr>
      </w:pPr>
      <w:r>
        <w:rPr>
          <w:rFonts w:ascii="Arial" w:cs="Arial" w:eastAsia="Arial" w:hAnsi="Arial"/>
          <w:sz w:val="16"/>
          <w:szCs w:val="16"/>
          <w:color w:val="auto"/>
        </w:rPr>
        <w:t>Average cash and cash equivalents decreased by $1.04 million, or 73.70%, to $369.7 million for the six months ended June 30, 2023, compared to $1.41 billion for the same period of 2022.</w:t>
      </w:r>
    </w:p>
    <w:p>
      <w:pPr>
        <w:spacing w:after="0" w:line="154" w:lineRule="exact"/>
        <w:rPr>
          <w:sz w:val="20"/>
          <w:szCs w:val="20"/>
          <w:color w:val="auto"/>
        </w:rPr>
      </w:pPr>
    </w:p>
    <w:p>
      <w:pPr>
        <w:ind w:right="80" w:firstLine="432"/>
        <w:spacing w:after="0" w:line="252" w:lineRule="auto"/>
        <w:rPr>
          <w:sz w:val="20"/>
          <w:szCs w:val="20"/>
          <w:color w:val="auto"/>
        </w:rPr>
      </w:pPr>
      <w:r>
        <w:rPr>
          <w:rFonts w:ascii="Arial" w:cs="Arial" w:eastAsia="Arial" w:hAnsi="Arial"/>
          <w:sz w:val="16"/>
          <w:szCs w:val="16"/>
          <w:color w:val="auto"/>
        </w:rPr>
        <w:t>At June 30, 2023, cash and cash equivalents totaled $618.4 million. This represented a decrease of $78.4 million, or 11.25%, from $696.7 billion at June 30,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Sensitivity Management</w:t>
      </w:r>
    </w:p>
    <w:p>
      <w:pPr>
        <w:spacing w:after="0" w:line="184" w:lineRule="exact"/>
        <w:rPr>
          <w:sz w:val="20"/>
          <w:szCs w:val="20"/>
          <w:color w:val="auto"/>
        </w:rPr>
      </w:pPr>
    </w:p>
    <w:p>
      <w:pPr>
        <w:ind w:right="80" w:firstLine="432"/>
        <w:spacing w:after="0" w:line="275" w:lineRule="auto"/>
        <w:rPr>
          <w:sz w:val="20"/>
          <w:szCs w:val="20"/>
          <w:color w:val="auto"/>
        </w:rPr>
      </w:pPr>
      <w:r>
        <w:rPr>
          <w:rFonts w:ascii="Arial" w:cs="Arial" w:eastAsia="Arial" w:hAnsi="Arial"/>
          <w:sz w:val="14"/>
          <w:szCs w:val="14"/>
          <w:color w:val="auto"/>
        </w:rPr>
        <w:t>During periods of changing interest rates, the ability to re-price interest- 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40" w:lineRule="exact"/>
        <w:rPr>
          <w:sz w:val="20"/>
          <w:szCs w:val="20"/>
          <w:color w:val="auto"/>
        </w:rPr>
      </w:pPr>
    </w:p>
    <w:p>
      <w:pPr>
        <w:ind w:right="120" w:firstLine="432"/>
        <w:spacing w:after="0" w:line="238" w:lineRule="auto"/>
        <w:rPr>
          <w:sz w:val="20"/>
          <w:szCs w:val="20"/>
          <w:color w:val="auto"/>
        </w:rPr>
      </w:pPr>
      <w:r>
        <w:rPr>
          <w:rFonts w:ascii="Arial" w:cs="Arial" w:eastAsia="Arial" w:hAnsi="Arial"/>
          <w:sz w:val="16"/>
          <w:szCs w:val="16"/>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interest rate risk policy measures the sensitivity of our net interest income over both a one-year and two-year cumulative time horizon.</w:t>
      </w:r>
    </w:p>
    <w:p>
      <w:pPr>
        <w:spacing w:after="0" w:line="176" w:lineRule="exact"/>
        <w:rPr>
          <w:sz w:val="20"/>
          <w:szCs w:val="20"/>
          <w:color w:val="auto"/>
        </w:rPr>
      </w:pPr>
    </w:p>
    <w:p>
      <w:pPr>
        <w:ind w:right="100" w:firstLine="432"/>
        <w:spacing w:after="0" w:line="238" w:lineRule="auto"/>
        <w:rPr>
          <w:sz w:val="20"/>
          <w:szCs w:val="20"/>
          <w:color w:val="auto"/>
        </w:rPr>
      </w:pPr>
      <w:r>
        <w:rPr>
          <w:rFonts w:ascii="Arial" w:cs="Arial" w:eastAsia="Arial" w:hAnsi="Arial"/>
          <w:sz w:val="16"/>
          <w:szCs w:val="16"/>
          <w:color w:val="auto"/>
        </w:rPr>
        <w:t>The simulation model estimates the impact of changing interest rates on interest income from all interest- earning assets and interest expense paid on all interest-bearing liabilities reflected on our period end balance sheet. This sensitivity analysis is compared to policy limits, which specify a maximum tolerance level for net interest income exposure over a one-year horizon assuming no balance sheet growth, given a 200 basis point upward and a 200 basis point downward shift in interest</w:t>
      </w:r>
    </w:p>
    <w:p>
      <w:pPr>
        <w:jc w:val="center"/>
        <w:ind w:right="40"/>
        <w:spacing w:after="0"/>
        <w:rPr>
          <w:sz w:val="20"/>
          <w:szCs w:val="20"/>
          <w:color w:val="auto"/>
        </w:rPr>
      </w:pPr>
      <w:r>
        <w:rPr>
          <w:rFonts w:ascii="Arial" w:cs="Arial" w:eastAsia="Arial" w:hAnsi="Arial"/>
          <w:sz w:val="16"/>
          <w:szCs w:val="16"/>
          <w:color w:val="auto"/>
        </w:rPr>
        <w:t>71</w:t>
      </w:r>
    </w:p>
    <w:p>
      <w:pPr>
        <w:sectPr>
          <w:pgSz w:w="11900" w:h="16840" w:orient="portrait"/>
          <w:cols w:equalWidth="0" w:num="1">
            <w:col w:w="10620"/>
          </w:cols>
          <w:pgMar w:left="660" w:top="790" w:right="620" w:bottom="1440" w:gutter="0" w:footer="0" w:header="0"/>
        </w:sectPr>
      </w:pPr>
    </w:p>
    <w:bookmarkStart w:id="71" w:name="page72"/>
    <w:bookmarkEnd w:id="71"/>
    <w:p>
      <w:pPr>
        <w:ind w:right="300"/>
        <w:spacing w:after="0" w:line="252" w:lineRule="auto"/>
        <w:rPr>
          <w:sz w:val="20"/>
          <w:szCs w:val="20"/>
          <w:color w:val="auto"/>
        </w:rPr>
      </w:pPr>
      <w:r>
        <w:rPr>
          <w:rFonts w:ascii="Arial" w:cs="Arial" w:eastAsia="Arial" w:hAnsi="Arial"/>
          <w:sz w:val="16"/>
          <w:szCs w:val="16"/>
          <w:color w:val="auto"/>
        </w:rPr>
        <w:t>rates, depending on the level of current market rates. The simulation model uses a parallel yield curve shift that ramps rates up or down on a pro rata basis over the 12-month and 24-month time horizon.</w:t>
      </w:r>
    </w:p>
    <w:p>
      <w:pPr>
        <w:spacing w:after="0" w:line="154"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following depicts the Company’s net interest income sensitivity analysis for the periods presented below, when rates are ramped up 200bps or ramped down 200bps over a 12-month time horizon.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80" w:type="dxa"/>
            <w:vAlign w:val="bottom"/>
            <w:gridSpan w:val="2"/>
          </w:tcPr>
          <w:p>
            <w:pPr>
              <w:ind w:left="1200"/>
              <w:spacing w:after="0"/>
              <w:rPr>
                <w:sz w:val="20"/>
                <w:szCs w:val="20"/>
                <w:color w:val="auto"/>
              </w:rPr>
            </w:pPr>
            <w:r>
              <w:rPr>
                <w:rFonts w:ascii="Arial" w:cs="Arial" w:eastAsia="Arial" w:hAnsi="Arial"/>
                <w:sz w:val="16"/>
                <w:szCs w:val="16"/>
                <w:b w:val="1"/>
                <w:bCs w:val="1"/>
                <w:color w:val="auto"/>
                <w:w w:val="97"/>
              </w:rPr>
              <w:t>Estimated Net Interest Income Sensitivity</w:t>
            </w: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1940" w:type="dxa"/>
            <w:vAlign w:val="bottom"/>
          </w:tcPr>
          <w:p>
            <w:pPr>
              <w:spacing w:after="0"/>
              <w:rPr>
                <w:sz w:val="17"/>
                <w:szCs w:val="17"/>
                <w:color w:val="auto"/>
              </w:rPr>
            </w:pPr>
          </w:p>
        </w:tc>
        <w:tc>
          <w:tcPr>
            <w:tcW w:w="3340" w:type="dxa"/>
            <w:vAlign w:val="bottom"/>
            <w:gridSpan w:val="2"/>
          </w:tcPr>
          <w:p>
            <w:pPr>
              <w:ind w:left="1180"/>
              <w:spacing w:after="0"/>
              <w:rPr>
                <w:sz w:val="20"/>
                <w:szCs w:val="20"/>
                <w:color w:val="auto"/>
              </w:rPr>
            </w:pPr>
            <w:r>
              <w:rPr>
                <w:rFonts w:ascii="Arial" w:cs="Arial" w:eastAsia="Arial" w:hAnsi="Arial"/>
                <w:sz w:val="16"/>
                <w:szCs w:val="16"/>
                <w:b w:val="1"/>
                <w:bCs w:val="1"/>
                <w:color w:val="auto"/>
              </w:rPr>
              <w:t>June 30, 2023</w:t>
            </w:r>
          </w:p>
        </w:tc>
        <w:tc>
          <w:tcPr>
            <w:tcW w:w="2580" w:type="dxa"/>
            <w:vAlign w:val="bottom"/>
          </w:tcPr>
          <w:p>
            <w:pPr>
              <w:spacing w:after="0"/>
              <w:rPr>
                <w:sz w:val="17"/>
                <w:szCs w:val="17"/>
                <w:color w:val="auto"/>
              </w:rPr>
            </w:pPr>
          </w:p>
        </w:tc>
        <w:tc>
          <w:tcPr>
            <w:tcW w:w="2700" w:type="dxa"/>
            <w:vAlign w:val="bottom"/>
            <w:gridSpan w:val="2"/>
          </w:tcPr>
          <w:p>
            <w:pPr>
              <w:ind w:left="540"/>
              <w:spacing w:after="0"/>
              <w:rPr>
                <w:sz w:val="20"/>
                <w:szCs w:val="20"/>
                <w:color w:val="auto"/>
              </w:rPr>
            </w:pPr>
            <w:r>
              <w:rPr>
                <w:rFonts w:ascii="Arial" w:cs="Arial" w:eastAsia="Arial" w:hAnsi="Arial"/>
                <w:sz w:val="16"/>
                <w:szCs w:val="16"/>
                <w:b w:val="1"/>
                <w:bCs w:val="1"/>
                <w:color w:val="auto"/>
              </w:rPr>
              <w:t>December 31, 2022</w:t>
            </w:r>
          </w:p>
        </w:tc>
      </w:tr>
      <w:tr>
        <w:trPr>
          <w:trHeight w:val="180"/>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24-month Period</w:t>
            </w:r>
          </w:p>
        </w:tc>
        <w:tc>
          <w:tcPr>
            <w:tcW w:w="2580" w:type="dxa"/>
            <w:vAlign w:val="bottom"/>
          </w:tcPr>
          <w:p>
            <w:pPr>
              <w:spacing w:after="0"/>
              <w:rPr>
                <w:sz w:val="15"/>
                <w:szCs w:val="15"/>
                <w:color w:val="auto"/>
              </w:rPr>
            </w:pPr>
          </w:p>
        </w:tc>
        <w:tc>
          <w:tcPr>
            <w:tcW w:w="1020" w:type="dxa"/>
            <w:vAlign w:val="bottom"/>
          </w:tcPr>
          <w:p>
            <w:pPr>
              <w:jc w:val="center"/>
              <w:ind w:right="202"/>
              <w:spacing w:after="0" w:line="180" w:lineRule="exact"/>
              <w:rPr>
                <w:sz w:val="20"/>
                <w:szCs w:val="20"/>
                <w:color w:val="auto"/>
              </w:rPr>
            </w:pPr>
            <w:r>
              <w:rPr>
                <w:rFonts w:ascii="Arial" w:cs="Arial" w:eastAsia="Arial" w:hAnsi="Arial"/>
                <w:sz w:val="16"/>
                <w:szCs w:val="16"/>
                <w:b w:val="1"/>
                <w:bCs w:val="1"/>
                <w:color w:val="auto"/>
                <w:w w:val="97"/>
              </w:rPr>
              <w:t>12-month</w:t>
            </w:r>
          </w:p>
        </w:tc>
        <w:tc>
          <w:tcPr>
            <w:tcW w:w="1680" w:type="dxa"/>
            <w:vAlign w:val="bottom"/>
          </w:tcPr>
          <w:p>
            <w:pPr>
              <w:jc w:val="center"/>
              <w:ind w:left="62"/>
              <w:spacing w:after="0" w:line="180" w:lineRule="exact"/>
              <w:rPr>
                <w:sz w:val="20"/>
                <w:szCs w:val="20"/>
                <w:color w:val="auto"/>
              </w:rPr>
            </w:pPr>
            <w:r>
              <w:rPr>
                <w:rFonts w:ascii="Arial" w:cs="Arial" w:eastAsia="Arial" w:hAnsi="Arial"/>
                <w:sz w:val="16"/>
                <w:szCs w:val="16"/>
                <w:b w:val="1"/>
                <w:bCs w:val="1"/>
                <w:color w:val="auto"/>
                <w:w w:val="96"/>
              </w:rPr>
              <w:t>24-month Period</w:t>
            </w:r>
          </w:p>
        </w:tc>
      </w:tr>
      <w:tr>
        <w:trPr>
          <w:trHeight w:val="217"/>
        </w:trPr>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7"/>
              </w:rPr>
              <w:t>Interest Rate Scenario</w:t>
            </w:r>
          </w:p>
        </w:tc>
        <w:tc>
          <w:tcPr>
            <w:tcW w:w="1640" w:type="dxa"/>
            <w:vAlign w:val="bottom"/>
          </w:tcPr>
          <w:p>
            <w:pPr>
              <w:ind w:left="200"/>
              <w:spacing w:after="0"/>
              <w:rPr>
                <w:sz w:val="20"/>
                <w:szCs w:val="20"/>
                <w:color w:val="auto"/>
              </w:rPr>
            </w:pPr>
            <w:r>
              <w:rPr>
                <w:rFonts w:ascii="Arial" w:cs="Arial" w:eastAsia="Arial" w:hAnsi="Arial"/>
                <w:sz w:val="16"/>
                <w:szCs w:val="16"/>
                <w:b w:val="1"/>
                <w:bCs w:val="1"/>
                <w:color w:val="auto"/>
              </w:rPr>
              <w:t>12-month Period</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9"/>
              </w:rPr>
              <w:t>(Cumulative)</w:t>
            </w:r>
          </w:p>
        </w:tc>
        <w:tc>
          <w:tcPr>
            <w:tcW w:w="2580" w:type="dxa"/>
            <w:vAlign w:val="bottom"/>
          </w:tcPr>
          <w:p>
            <w:pPr>
              <w:jc w:val="center"/>
              <w:ind w:right="382"/>
              <w:spacing w:after="0"/>
              <w:rPr>
                <w:sz w:val="20"/>
                <w:szCs w:val="20"/>
                <w:color w:val="auto"/>
              </w:rPr>
            </w:pPr>
            <w:r>
              <w:rPr>
                <w:rFonts w:ascii="Arial" w:cs="Arial" w:eastAsia="Arial" w:hAnsi="Arial"/>
                <w:sz w:val="16"/>
                <w:szCs w:val="16"/>
                <w:b w:val="1"/>
                <w:bCs w:val="1"/>
                <w:color w:val="auto"/>
                <w:w w:val="97"/>
              </w:rPr>
              <w:t>Interest Rate Scenario</w:t>
            </w:r>
          </w:p>
        </w:tc>
        <w:tc>
          <w:tcPr>
            <w:tcW w:w="1020" w:type="dxa"/>
            <w:vAlign w:val="bottom"/>
          </w:tcPr>
          <w:p>
            <w:pPr>
              <w:jc w:val="center"/>
              <w:ind w:right="202"/>
              <w:spacing w:after="0"/>
              <w:rPr>
                <w:sz w:val="20"/>
                <w:szCs w:val="20"/>
                <w:color w:val="auto"/>
              </w:rPr>
            </w:pPr>
            <w:r>
              <w:rPr>
                <w:rFonts w:ascii="Arial" w:cs="Arial" w:eastAsia="Arial" w:hAnsi="Arial"/>
                <w:sz w:val="16"/>
                <w:szCs w:val="16"/>
                <w:b w:val="1"/>
                <w:bCs w:val="1"/>
                <w:color w:val="auto"/>
              </w:rPr>
              <w:t>Period</w:t>
            </w:r>
          </w:p>
        </w:tc>
        <w:tc>
          <w:tcPr>
            <w:tcW w:w="168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(Cumulative)</w:t>
            </w:r>
          </w:p>
        </w:tc>
      </w:tr>
      <w:tr>
        <w:trPr>
          <w:trHeight w:val="194"/>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40"/>
        </w:trPr>
        <w:tc>
          <w:tcPr>
            <w:tcW w:w="1940" w:type="dxa"/>
            <w:vAlign w:val="bottom"/>
            <w:shd w:val="clear" w:color="auto" w:fill="CFF0FC"/>
          </w:tcPr>
          <w:p>
            <w:pPr>
              <w:jc w:val="center"/>
              <w:ind w:right="2"/>
              <w:spacing w:after="0"/>
              <w:rPr>
                <w:sz w:val="20"/>
                <w:szCs w:val="20"/>
                <w:color w:val="auto"/>
              </w:rPr>
            </w:pPr>
            <w:r>
              <w:rPr>
                <w:rFonts w:ascii="Arial" w:cs="Arial" w:eastAsia="Arial" w:hAnsi="Arial"/>
                <w:sz w:val="16"/>
                <w:szCs w:val="16"/>
                <w:color w:val="auto"/>
                <w:w w:val="97"/>
              </w:rPr>
              <w:t>+ 200 basis points</w:t>
            </w:r>
          </w:p>
        </w:tc>
        <w:tc>
          <w:tcPr>
            <w:tcW w:w="164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rPr>
              <w:t>1.48%</w:t>
            </w:r>
          </w:p>
        </w:tc>
        <w:tc>
          <w:tcPr>
            <w:tcW w:w="1700" w:type="dxa"/>
            <w:vAlign w:val="bottom"/>
            <w:shd w:val="clear" w:color="auto" w:fill="CFF0FC"/>
          </w:tcPr>
          <w:p>
            <w:pPr>
              <w:jc w:val="right"/>
              <w:ind w:right="562"/>
              <w:spacing w:after="0"/>
              <w:rPr>
                <w:sz w:val="20"/>
                <w:szCs w:val="20"/>
                <w:color w:val="auto"/>
              </w:rPr>
            </w:pPr>
            <w:r>
              <w:rPr>
                <w:rFonts w:ascii="Arial" w:cs="Arial" w:eastAsia="Arial" w:hAnsi="Arial"/>
                <w:sz w:val="16"/>
                <w:szCs w:val="16"/>
                <w:color w:val="auto"/>
              </w:rPr>
              <w:t>2.69%</w:t>
            </w:r>
          </w:p>
        </w:tc>
        <w:tc>
          <w:tcPr>
            <w:tcW w:w="2580" w:type="dxa"/>
            <w:vAlign w:val="bottom"/>
            <w:shd w:val="clear" w:color="auto" w:fill="CFF0FC"/>
          </w:tcPr>
          <w:p>
            <w:pPr>
              <w:jc w:val="center"/>
              <w:ind w:right="402"/>
              <w:spacing w:after="0"/>
              <w:rPr>
                <w:sz w:val="20"/>
                <w:szCs w:val="20"/>
                <w:color w:val="auto"/>
              </w:rPr>
            </w:pPr>
            <w:r>
              <w:rPr>
                <w:rFonts w:ascii="Arial" w:cs="Arial" w:eastAsia="Arial" w:hAnsi="Arial"/>
                <w:sz w:val="16"/>
                <w:szCs w:val="16"/>
                <w:color w:val="auto"/>
                <w:w w:val="97"/>
              </w:rPr>
              <w:t>+ 200 basis points</w:t>
            </w:r>
          </w:p>
        </w:tc>
        <w:tc>
          <w:tcPr>
            <w:tcW w:w="1020" w:type="dxa"/>
            <w:vAlign w:val="bottom"/>
            <w:shd w:val="clear" w:color="auto" w:fill="CFF0FC"/>
          </w:tcPr>
          <w:p>
            <w:pPr>
              <w:jc w:val="right"/>
              <w:ind w:right="362"/>
              <w:spacing w:after="0"/>
              <w:rPr>
                <w:sz w:val="20"/>
                <w:szCs w:val="20"/>
                <w:color w:val="auto"/>
              </w:rPr>
            </w:pPr>
            <w:r>
              <w:rPr>
                <w:rFonts w:ascii="Arial" w:cs="Arial" w:eastAsia="Arial" w:hAnsi="Arial"/>
                <w:sz w:val="16"/>
                <w:szCs w:val="16"/>
                <w:color w:val="auto"/>
              </w:rPr>
              <w:t>2.32%</w:t>
            </w:r>
          </w:p>
        </w:tc>
        <w:tc>
          <w:tcPr>
            <w:tcW w:w="1680" w:type="dxa"/>
            <w:vAlign w:val="bottom"/>
            <w:shd w:val="clear" w:color="auto" w:fill="CFF0FC"/>
          </w:tcPr>
          <w:p>
            <w:pPr>
              <w:jc w:val="right"/>
              <w:ind w:right="482"/>
              <w:spacing w:after="0"/>
              <w:rPr>
                <w:sz w:val="20"/>
                <w:szCs w:val="20"/>
                <w:color w:val="auto"/>
              </w:rPr>
            </w:pPr>
            <w:r>
              <w:rPr>
                <w:rFonts w:ascii="Arial" w:cs="Arial" w:eastAsia="Arial" w:hAnsi="Arial"/>
                <w:sz w:val="16"/>
                <w:szCs w:val="16"/>
                <w:color w:val="auto"/>
              </w:rPr>
              <w:t>4.96%</w:t>
            </w:r>
          </w:p>
        </w:tc>
      </w:tr>
      <w:tr>
        <w:trPr>
          <w:trHeight w:val="202"/>
        </w:trPr>
        <w:tc>
          <w:tcPr>
            <w:tcW w:w="1940" w:type="dxa"/>
            <w:vAlign w:val="bottom"/>
          </w:tcPr>
          <w:p>
            <w:pPr>
              <w:jc w:val="center"/>
              <w:ind w:right="2"/>
              <w:spacing w:after="0"/>
              <w:rPr>
                <w:sz w:val="20"/>
                <w:szCs w:val="20"/>
                <w:color w:val="auto"/>
              </w:rPr>
            </w:pPr>
            <w:r>
              <w:rPr>
                <w:rFonts w:ascii="Arial" w:cs="Arial" w:eastAsia="Arial" w:hAnsi="Arial"/>
                <w:sz w:val="16"/>
                <w:szCs w:val="16"/>
                <w:color w:val="auto"/>
                <w:w w:val="97"/>
              </w:rPr>
              <w:t>- 200 basis points</w:t>
            </w:r>
          </w:p>
        </w:tc>
        <w:tc>
          <w:tcPr>
            <w:tcW w:w="1640" w:type="dxa"/>
            <w:vAlign w:val="bottom"/>
          </w:tcPr>
          <w:p>
            <w:pPr>
              <w:jc w:val="right"/>
              <w:ind w:right="502"/>
              <w:spacing w:after="0"/>
              <w:rPr>
                <w:sz w:val="20"/>
                <w:szCs w:val="20"/>
                <w:color w:val="auto"/>
              </w:rPr>
            </w:pPr>
            <w:r>
              <w:rPr>
                <w:rFonts w:ascii="Arial" w:cs="Arial" w:eastAsia="Arial" w:hAnsi="Arial"/>
                <w:sz w:val="16"/>
                <w:szCs w:val="16"/>
                <w:color w:val="auto"/>
              </w:rPr>
              <w:t>-0.98%</w:t>
            </w:r>
          </w:p>
        </w:tc>
        <w:tc>
          <w:tcPr>
            <w:tcW w:w="1700" w:type="dxa"/>
            <w:vAlign w:val="bottom"/>
          </w:tcPr>
          <w:p>
            <w:pPr>
              <w:jc w:val="right"/>
              <w:ind w:right="522"/>
              <w:spacing w:after="0"/>
              <w:rPr>
                <w:sz w:val="20"/>
                <w:szCs w:val="20"/>
                <w:color w:val="auto"/>
              </w:rPr>
            </w:pPr>
            <w:r>
              <w:rPr>
                <w:rFonts w:ascii="Arial" w:cs="Arial" w:eastAsia="Arial" w:hAnsi="Arial"/>
                <w:sz w:val="16"/>
                <w:szCs w:val="16"/>
                <w:color w:val="auto"/>
              </w:rPr>
              <w:t>-3.07%</w:t>
            </w:r>
          </w:p>
        </w:tc>
        <w:tc>
          <w:tcPr>
            <w:tcW w:w="2580" w:type="dxa"/>
            <w:vAlign w:val="bottom"/>
          </w:tcPr>
          <w:p>
            <w:pPr>
              <w:jc w:val="center"/>
              <w:ind w:right="402"/>
              <w:spacing w:after="0"/>
              <w:rPr>
                <w:sz w:val="20"/>
                <w:szCs w:val="20"/>
                <w:color w:val="auto"/>
              </w:rPr>
            </w:pPr>
            <w:r>
              <w:rPr>
                <w:rFonts w:ascii="Arial" w:cs="Arial" w:eastAsia="Arial" w:hAnsi="Arial"/>
                <w:sz w:val="16"/>
                <w:szCs w:val="16"/>
                <w:color w:val="auto"/>
                <w:w w:val="97"/>
              </w:rPr>
              <w:t>- 200 basis points</w:t>
            </w:r>
          </w:p>
        </w:tc>
        <w:tc>
          <w:tcPr>
            <w:tcW w:w="1020" w:type="dxa"/>
            <w:vAlign w:val="bottom"/>
          </w:tcPr>
          <w:p>
            <w:pPr>
              <w:jc w:val="right"/>
              <w:ind w:right="322"/>
              <w:spacing w:after="0"/>
              <w:rPr>
                <w:sz w:val="20"/>
                <w:szCs w:val="20"/>
                <w:color w:val="auto"/>
              </w:rPr>
            </w:pPr>
            <w:r>
              <w:rPr>
                <w:rFonts w:ascii="Arial" w:cs="Arial" w:eastAsia="Arial" w:hAnsi="Arial"/>
                <w:sz w:val="16"/>
                <w:szCs w:val="16"/>
                <w:color w:val="auto"/>
              </w:rPr>
              <w:t>-2.28%</w:t>
            </w:r>
          </w:p>
        </w:tc>
        <w:tc>
          <w:tcPr>
            <w:tcW w:w="1680" w:type="dxa"/>
            <w:vAlign w:val="bottom"/>
          </w:tcPr>
          <w:p>
            <w:pPr>
              <w:jc w:val="right"/>
              <w:ind w:right="462"/>
              <w:spacing w:after="0"/>
              <w:rPr>
                <w:sz w:val="20"/>
                <w:szCs w:val="20"/>
                <w:color w:val="auto"/>
              </w:rPr>
            </w:pPr>
            <w:r>
              <w:rPr>
                <w:rFonts w:ascii="Arial" w:cs="Arial" w:eastAsia="Arial" w:hAnsi="Arial"/>
                <w:sz w:val="16"/>
                <w:szCs w:val="16"/>
                <w:color w:val="auto"/>
              </w:rPr>
              <w:t>-6.83%</w:t>
            </w:r>
          </w:p>
        </w:tc>
      </w:tr>
    </w:tbl>
    <w:p>
      <w:pPr>
        <w:spacing w:after="0" w:line="175" w:lineRule="exact"/>
        <w:rPr>
          <w:sz w:val="20"/>
          <w:szCs w:val="20"/>
          <w:color w:val="auto"/>
        </w:rPr>
      </w:pPr>
    </w:p>
    <w:p>
      <w:pPr>
        <w:ind w:right="60" w:firstLine="432"/>
        <w:spacing w:after="0" w:line="237" w:lineRule="auto"/>
        <w:rPr>
          <w:sz w:val="20"/>
          <w:szCs w:val="20"/>
          <w:color w:val="auto"/>
        </w:rPr>
      </w:pPr>
      <w:r>
        <w:rPr>
          <w:rFonts w:ascii="Arial" w:cs="Arial" w:eastAsia="Arial" w:hAnsi="Arial"/>
          <w:sz w:val="16"/>
          <w:szCs w:val="16"/>
          <w:color w:val="auto"/>
        </w:rPr>
        <w:t>Based on our current simulation models, we believe that the interest rate risk profile of the June 30, 2023 balance sheet is slightly asset sensitive over both a one -year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 pricing characteristics and rate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Continued near term declines in deposits due to higher interest rates, that result in higher levels of borrowings, will increase the probability that net interest income decreases in future periods.</w:t>
      </w:r>
    </w:p>
    <w:p>
      <w:pPr>
        <w:spacing w:after="0" w:line="167"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 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June 30, 2023 and December 31, 2022, the EVE profile indicates a larger decline in net balance sheet value due to instantaneous downward changes in rates, compared to an increase in rates.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20"/>
                <w:szCs w:val="20"/>
                <w:color w:val="auto"/>
              </w:rPr>
            </w:pPr>
            <w:r>
              <w:rPr>
                <w:rFonts w:ascii="Arial" w:cs="Arial" w:eastAsia="Arial" w:hAnsi="Arial"/>
                <w:sz w:val="16"/>
                <w:szCs w:val="16"/>
                <w:b w:val="1"/>
                <w:bCs w:val="1"/>
                <w:i w:val="1"/>
                <w:iCs w:val="1"/>
                <w:color w:val="auto"/>
              </w:rPr>
              <w:t>Economic Value of Equity Sensitivity</w:t>
            </w:r>
          </w:p>
        </w:tc>
        <w:tc>
          <w:tcPr>
            <w:tcW w:w="336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396"/>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Instantaneous Rate Change</w:t>
            </w:r>
          </w:p>
        </w:tc>
        <w:tc>
          <w:tcPr>
            <w:tcW w:w="3360" w:type="dxa"/>
            <w:vAlign w:val="bottom"/>
          </w:tcPr>
          <w:p>
            <w:pPr>
              <w:ind w:left="1440"/>
              <w:spacing w:after="0"/>
              <w:rPr>
                <w:sz w:val="20"/>
                <w:szCs w:val="20"/>
                <w:color w:val="auto"/>
              </w:rPr>
            </w:pPr>
            <w:r>
              <w:rPr>
                <w:rFonts w:ascii="Arial" w:cs="Arial" w:eastAsia="Arial" w:hAnsi="Arial"/>
                <w:sz w:val="16"/>
                <w:szCs w:val="16"/>
                <w:b w:val="1"/>
                <w:bCs w:val="1"/>
                <w:color w:val="auto"/>
              </w:rPr>
              <w:t>June 30, 2023</w:t>
            </w:r>
          </w:p>
        </w:tc>
        <w:tc>
          <w:tcPr>
            <w:tcW w:w="3020" w:type="dxa"/>
            <w:vAlign w:val="bottom"/>
          </w:tcPr>
          <w:p>
            <w:pPr>
              <w:jc w:val="center"/>
              <w:ind w:left="142"/>
              <w:spacing w:after="0"/>
              <w:rPr>
                <w:sz w:val="20"/>
                <w:szCs w:val="20"/>
                <w:color w:val="auto"/>
              </w:rPr>
            </w:pPr>
            <w:r>
              <w:rPr>
                <w:rFonts w:ascii="Arial" w:cs="Arial" w:eastAsia="Arial" w:hAnsi="Arial"/>
                <w:sz w:val="16"/>
                <w:szCs w:val="16"/>
                <w:b w:val="1"/>
                <w:bCs w:val="1"/>
                <w:color w:val="auto"/>
                <w:w w:val="97"/>
              </w:rPr>
              <w:t>December 31, 2022</w:t>
            </w:r>
          </w:p>
        </w:tc>
      </w:tr>
      <w:tr>
        <w:trPr>
          <w:trHeight w:val="194"/>
        </w:trPr>
        <w:tc>
          <w:tcPr>
            <w:tcW w:w="41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04"/>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300 bp decrease in interest rates</w:t>
            </w:r>
          </w:p>
        </w:tc>
        <w:tc>
          <w:tcPr>
            <w:tcW w:w="3360" w:type="dxa"/>
            <w:vAlign w:val="bottom"/>
            <w:shd w:val="clear" w:color="auto" w:fill="CFF0FC"/>
          </w:tcPr>
          <w:p>
            <w:pPr>
              <w:jc w:val="center"/>
              <w:ind w:left="442"/>
              <w:spacing w:after="0"/>
              <w:rPr>
                <w:sz w:val="20"/>
                <w:szCs w:val="20"/>
                <w:color w:val="auto"/>
              </w:rPr>
            </w:pPr>
            <w:r>
              <w:rPr>
                <w:rFonts w:ascii="Arial" w:cs="Arial" w:eastAsia="Arial" w:hAnsi="Arial"/>
                <w:sz w:val="16"/>
                <w:szCs w:val="16"/>
                <w:color w:val="auto"/>
                <w:w w:val="94"/>
              </w:rPr>
              <w:t>-26.2%</w:t>
            </w:r>
          </w:p>
        </w:tc>
        <w:tc>
          <w:tcPr>
            <w:tcW w:w="3020" w:type="dxa"/>
            <w:vAlign w:val="bottom"/>
            <w:shd w:val="clear" w:color="auto" w:fill="CFF0FC"/>
          </w:tcPr>
          <w:p>
            <w:pPr>
              <w:jc w:val="center"/>
              <w:ind w:left="162"/>
              <w:spacing w:after="0"/>
              <w:rPr>
                <w:sz w:val="20"/>
                <w:szCs w:val="20"/>
                <w:color w:val="auto"/>
              </w:rPr>
            </w:pPr>
            <w:r>
              <w:rPr>
                <w:rFonts w:ascii="Arial" w:cs="Arial" w:eastAsia="Arial" w:hAnsi="Arial"/>
                <w:sz w:val="16"/>
                <w:szCs w:val="16"/>
                <w:color w:val="auto"/>
                <w:w w:val="97"/>
              </w:rPr>
              <w:t>N/A</w:t>
            </w:r>
          </w:p>
        </w:tc>
      </w:tr>
      <w:tr>
        <w:trPr>
          <w:trHeight w:val="203"/>
        </w:trPr>
        <w:tc>
          <w:tcPr>
            <w:tcW w:w="4180" w:type="dxa"/>
            <w:vAlign w:val="bottom"/>
          </w:tcPr>
          <w:p>
            <w:pPr>
              <w:ind w:left="20"/>
              <w:spacing w:after="0"/>
              <w:rPr>
                <w:sz w:val="20"/>
                <w:szCs w:val="20"/>
                <w:color w:val="auto"/>
              </w:rPr>
            </w:pPr>
            <w:r>
              <w:rPr>
                <w:rFonts w:ascii="Arial" w:cs="Arial" w:eastAsia="Arial" w:hAnsi="Arial"/>
                <w:sz w:val="16"/>
                <w:szCs w:val="16"/>
                <w:color w:val="auto"/>
              </w:rPr>
              <w:t>200 bp decrease in interest rates</w:t>
            </w:r>
          </w:p>
        </w:tc>
        <w:tc>
          <w:tcPr>
            <w:tcW w:w="3360" w:type="dxa"/>
            <w:vAlign w:val="bottom"/>
          </w:tcPr>
          <w:p>
            <w:pPr>
              <w:jc w:val="center"/>
              <w:ind w:left="442"/>
              <w:spacing w:after="0"/>
              <w:rPr>
                <w:sz w:val="20"/>
                <w:szCs w:val="20"/>
                <w:color w:val="auto"/>
              </w:rPr>
            </w:pPr>
            <w:r>
              <w:rPr>
                <w:rFonts w:ascii="Arial" w:cs="Arial" w:eastAsia="Arial" w:hAnsi="Arial"/>
                <w:sz w:val="16"/>
                <w:szCs w:val="16"/>
                <w:color w:val="auto"/>
                <w:w w:val="95"/>
              </w:rPr>
              <w:t>-9.0%</w:t>
            </w:r>
          </w:p>
        </w:tc>
        <w:tc>
          <w:tcPr>
            <w:tcW w:w="3020" w:type="dxa"/>
            <w:vAlign w:val="bottom"/>
          </w:tcPr>
          <w:p>
            <w:pPr>
              <w:jc w:val="center"/>
              <w:ind w:left="162"/>
              <w:spacing w:after="0"/>
              <w:rPr>
                <w:sz w:val="20"/>
                <w:szCs w:val="20"/>
                <w:color w:val="auto"/>
              </w:rPr>
            </w:pPr>
            <w:r>
              <w:rPr>
                <w:rFonts w:ascii="Arial" w:cs="Arial" w:eastAsia="Arial" w:hAnsi="Arial"/>
                <w:sz w:val="16"/>
                <w:szCs w:val="16"/>
                <w:color w:val="auto"/>
                <w:w w:val="98"/>
              </w:rPr>
              <w:t>-12.8%</w:t>
            </w:r>
          </w:p>
        </w:tc>
      </w:tr>
      <w:tr>
        <w:trPr>
          <w:trHeight w:val="205"/>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100 bp decrease in interest rates</w:t>
            </w:r>
          </w:p>
        </w:tc>
        <w:tc>
          <w:tcPr>
            <w:tcW w:w="3360" w:type="dxa"/>
            <w:vAlign w:val="bottom"/>
            <w:shd w:val="clear" w:color="auto" w:fill="CFF0FC"/>
          </w:tcPr>
          <w:p>
            <w:pPr>
              <w:jc w:val="center"/>
              <w:ind w:left="442"/>
              <w:spacing w:after="0"/>
              <w:rPr>
                <w:sz w:val="20"/>
                <w:szCs w:val="20"/>
                <w:color w:val="auto"/>
              </w:rPr>
            </w:pPr>
            <w:r>
              <w:rPr>
                <w:rFonts w:ascii="Arial" w:cs="Arial" w:eastAsia="Arial" w:hAnsi="Arial"/>
                <w:sz w:val="16"/>
                <w:szCs w:val="16"/>
                <w:color w:val="auto"/>
                <w:w w:val="95"/>
              </w:rPr>
              <w:t>-2.5%</w:t>
            </w:r>
          </w:p>
        </w:tc>
        <w:tc>
          <w:tcPr>
            <w:tcW w:w="3020" w:type="dxa"/>
            <w:vAlign w:val="bottom"/>
            <w:shd w:val="clear" w:color="auto" w:fill="CFF0FC"/>
          </w:tcPr>
          <w:p>
            <w:pPr>
              <w:jc w:val="center"/>
              <w:ind w:left="142"/>
              <w:spacing w:after="0"/>
              <w:rPr>
                <w:sz w:val="20"/>
                <w:szCs w:val="20"/>
                <w:color w:val="auto"/>
              </w:rPr>
            </w:pPr>
            <w:r>
              <w:rPr>
                <w:rFonts w:ascii="Arial" w:cs="Arial" w:eastAsia="Arial" w:hAnsi="Arial"/>
                <w:sz w:val="16"/>
                <w:szCs w:val="16"/>
                <w:color w:val="auto"/>
                <w:w w:val="95"/>
              </w:rPr>
              <w:t>-4.4%</w:t>
            </w:r>
          </w:p>
        </w:tc>
      </w:tr>
      <w:tr>
        <w:trPr>
          <w:trHeight w:val="203"/>
        </w:trPr>
        <w:tc>
          <w:tcPr>
            <w:tcW w:w="4180" w:type="dxa"/>
            <w:vAlign w:val="bottom"/>
          </w:tcPr>
          <w:p>
            <w:pPr>
              <w:ind w:left="20"/>
              <w:spacing w:after="0"/>
              <w:rPr>
                <w:sz w:val="20"/>
                <w:szCs w:val="20"/>
                <w:color w:val="auto"/>
              </w:rPr>
            </w:pPr>
            <w:r>
              <w:rPr>
                <w:rFonts w:ascii="Arial" w:cs="Arial" w:eastAsia="Arial" w:hAnsi="Arial"/>
                <w:sz w:val="16"/>
                <w:szCs w:val="16"/>
                <w:color w:val="auto"/>
              </w:rPr>
              <w:t>100 bp increase in interest rates</w:t>
            </w:r>
          </w:p>
        </w:tc>
        <w:tc>
          <w:tcPr>
            <w:tcW w:w="3360" w:type="dxa"/>
            <w:vAlign w:val="bottom"/>
          </w:tcPr>
          <w:p>
            <w:pPr>
              <w:jc w:val="center"/>
              <w:ind w:left="442"/>
              <w:spacing w:after="0"/>
              <w:rPr>
                <w:sz w:val="20"/>
                <w:szCs w:val="20"/>
                <w:color w:val="auto"/>
              </w:rPr>
            </w:pPr>
            <w:r>
              <w:rPr>
                <w:rFonts w:ascii="Arial" w:cs="Arial" w:eastAsia="Arial" w:hAnsi="Arial"/>
                <w:sz w:val="16"/>
                <w:szCs w:val="16"/>
                <w:color w:val="auto"/>
                <w:w w:val="98"/>
              </w:rPr>
              <w:t>0.9%</w:t>
            </w:r>
          </w:p>
        </w:tc>
        <w:tc>
          <w:tcPr>
            <w:tcW w:w="3020" w:type="dxa"/>
            <w:vAlign w:val="bottom"/>
          </w:tcPr>
          <w:p>
            <w:pPr>
              <w:jc w:val="center"/>
              <w:ind w:left="142"/>
              <w:spacing w:after="0"/>
              <w:rPr>
                <w:sz w:val="20"/>
                <w:szCs w:val="20"/>
                <w:color w:val="auto"/>
              </w:rPr>
            </w:pPr>
            <w:r>
              <w:rPr>
                <w:rFonts w:ascii="Arial" w:cs="Arial" w:eastAsia="Arial" w:hAnsi="Arial"/>
                <w:sz w:val="16"/>
                <w:szCs w:val="16"/>
                <w:color w:val="auto"/>
                <w:w w:val="98"/>
              </w:rPr>
              <w:t>1.2%</w:t>
            </w:r>
          </w:p>
        </w:tc>
      </w:tr>
      <w:tr>
        <w:trPr>
          <w:trHeight w:val="205"/>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200 bp increase in interest rates</w:t>
            </w:r>
          </w:p>
        </w:tc>
        <w:tc>
          <w:tcPr>
            <w:tcW w:w="3360" w:type="dxa"/>
            <w:vAlign w:val="bottom"/>
            <w:shd w:val="clear" w:color="auto" w:fill="CFF0FC"/>
          </w:tcPr>
          <w:p>
            <w:pPr>
              <w:jc w:val="center"/>
              <w:ind w:left="442"/>
              <w:spacing w:after="0"/>
              <w:rPr>
                <w:sz w:val="20"/>
                <w:szCs w:val="20"/>
                <w:color w:val="auto"/>
              </w:rPr>
            </w:pPr>
            <w:r>
              <w:rPr>
                <w:rFonts w:ascii="Arial" w:cs="Arial" w:eastAsia="Arial" w:hAnsi="Arial"/>
                <w:sz w:val="16"/>
                <w:szCs w:val="16"/>
                <w:color w:val="auto"/>
                <w:w w:val="98"/>
              </w:rPr>
              <w:t>1.1%</w:t>
            </w:r>
          </w:p>
        </w:tc>
        <w:tc>
          <w:tcPr>
            <w:tcW w:w="3020" w:type="dxa"/>
            <w:vAlign w:val="bottom"/>
            <w:shd w:val="clear" w:color="auto" w:fill="CFF0FC"/>
          </w:tcPr>
          <w:p>
            <w:pPr>
              <w:jc w:val="center"/>
              <w:ind w:left="142"/>
              <w:spacing w:after="0"/>
              <w:rPr>
                <w:sz w:val="20"/>
                <w:szCs w:val="20"/>
                <w:color w:val="auto"/>
              </w:rPr>
            </w:pPr>
            <w:r>
              <w:rPr>
                <w:rFonts w:ascii="Arial" w:cs="Arial" w:eastAsia="Arial" w:hAnsi="Arial"/>
                <w:sz w:val="16"/>
                <w:szCs w:val="16"/>
                <w:color w:val="auto"/>
                <w:w w:val="98"/>
              </w:rPr>
              <w:t>2.2%</w:t>
            </w:r>
          </w:p>
        </w:tc>
      </w:tr>
      <w:tr>
        <w:trPr>
          <w:trHeight w:val="203"/>
        </w:trPr>
        <w:tc>
          <w:tcPr>
            <w:tcW w:w="4180" w:type="dxa"/>
            <w:vAlign w:val="bottom"/>
          </w:tcPr>
          <w:p>
            <w:pPr>
              <w:ind w:left="20"/>
              <w:spacing w:after="0"/>
              <w:rPr>
                <w:sz w:val="20"/>
                <w:szCs w:val="20"/>
                <w:color w:val="auto"/>
              </w:rPr>
            </w:pPr>
            <w:r>
              <w:rPr>
                <w:rFonts w:ascii="Arial" w:cs="Arial" w:eastAsia="Arial" w:hAnsi="Arial"/>
                <w:sz w:val="16"/>
                <w:szCs w:val="16"/>
                <w:color w:val="auto"/>
              </w:rPr>
              <w:t>300 bp increase in interest rates</w:t>
            </w:r>
          </w:p>
        </w:tc>
        <w:tc>
          <w:tcPr>
            <w:tcW w:w="3360" w:type="dxa"/>
            <w:vAlign w:val="bottom"/>
          </w:tcPr>
          <w:p>
            <w:pPr>
              <w:jc w:val="center"/>
              <w:ind w:left="442"/>
              <w:spacing w:after="0"/>
              <w:rPr>
                <w:sz w:val="20"/>
                <w:szCs w:val="20"/>
                <w:color w:val="auto"/>
              </w:rPr>
            </w:pPr>
            <w:r>
              <w:rPr>
                <w:rFonts w:ascii="Arial" w:cs="Arial" w:eastAsia="Arial" w:hAnsi="Arial"/>
                <w:sz w:val="16"/>
                <w:szCs w:val="16"/>
                <w:color w:val="auto"/>
                <w:w w:val="98"/>
              </w:rPr>
              <w:t>1.5%</w:t>
            </w:r>
          </w:p>
        </w:tc>
        <w:tc>
          <w:tcPr>
            <w:tcW w:w="3020" w:type="dxa"/>
            <w:vAlign w:val="bottom"/>
          </w:tcPr>
          <w:p>
            <w:pPr>
              <w:jc w:val="center"/>
              <w:ind w:left="142"/>
              <w:spacing w:after="0"/>
              <w:rPr>
                <w:sz w:val="20"/>
                <w:szCs w:val="20"/>
                <w:color w:val="auto"/>
              </w:rPr>
            </w:pPr>
            <w:r>
              <w:rPr>
                <w:rFonts w:ascii="Arial" w:cs="Arial" w:eastAsia="Arial" w:hAnsi="Arial"/>
                <w:sz w:val="16"/>
                <w:szCs w:val="16"/>
                <w:color w:val="auto"/>
                <w:w w:val="98"/>
              </w:rPr>
              <w:t>3.8%</w:t>
            </w:r>
          </w:p>
        </w:tc>
      </w:tr>
      <w:tr>
        <w:trPr>
          <w:trHeight w:val="205"/>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400 bp increase in interest rates</w:t>
            </w:r>
          </w:p>
        </w:tc>
        <w:tc>
          <w:tcPr>
            <w:tcW w:w="3360" w:type="dxa"/>
            <w:vAlign w:val="bottom"/>
            <w:shd w:val="clear" w:color="auto" w:fill="CFF0FC"/>
          </w:tcPr>
          <w:p>
            <w:pPr>
              <w:jc w:val="center"/>
              <w:ind w:left="442"/>
              <w:spacing w:after="0"/>
              <w:rPr>
                <w:sz w:val="20"/>
                <w:szCs w:val="20"/>
                <w:color w:val="auto"/>
              </w:rPr>
            </w:pPr>
            <w:r>
              <w:rPr>
                <w:rFonts w:ascii="Arial" w:cs="Arial" w:eastAsia="Arial" w:hAnsi="Arial"/>
                <w:sz w:val="16"/>
                <w:szCs w:val="16"/>
                <w:color w:val="auto"/>
                <w:w w:val="98"/>
              </w:rPr>
              <w:t>2.7%</w:t>
            </w:r>
          </w:p>
        </w:tc>
        <w:tc>
          <w:tcPr>
            <w:tcW w:w="3020" w:type="dxa"/>
            <w:vAlign w:val="bottom"/>
            <w:shd w:val="clear" w:color="auto" w:fill="CFF0FC"/>
          </w:tcPr>
          <w:p>
            <w:pPr>
              <w:jc w:val="center"/>
              <w:ind w:left="142"/>
              <w:spacing w:after="0"/>
              <w:rPr>
                <w:sz w:val="20"/>
                <w:szCs w:val="20"/>
                <w:color w:val="auto"/>
              </w:rPr>
            </w:pPr>
            <w:r>
              <w:rPr>
                <w:rFonts w:ascii="Arial" w:cs="Arial" w:eastAsia="Arial" w:hAnsi="Arial"/>
                <w:sz w:val="16"/>
                <w:szCs w:val="16"/>
                <w:color w:val="auto"/>
                <w:w w:val="98"/>
              </w:rPr>
              <w:t>5.3%</w:t>
            </w:r>
          </w:p>
        </w:tc>
      </w:tr>
    </w:tbl>
    <w:p>
      <w:pPr>
        <w:spacing w:after="0" w:line="173" w:lineRule="exact"/>
        <w:rPr>
          <w:sz w:val="20"/>
          <w:szCs w:val="20"/>
          <w:color w:val="auto"/>
        </w:rPr>
      </w:pPr>
    </w:p>
    <w:p>
      <w:pPr>
        <w:ind w:right="140" w:firstLine="432"/>
        <w:spacing w:after="0"/>
        <w:rPr>
          <w:sz w:val="20"/>
          <w:szCs w:val="20"/>
          <w:color w:val="auto"/>
        </w:rPr>
      </w:pPr>
      <w:r>
        <w:rPr>
          <w:rFonts w:ascii="Arial" w:cs="Arial" w:eastAsia="Arial" w:hAnsi="Arial"/>
          <w:sz w:val="16"/>
          <w:szCs w:val="16"/>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4" w:lineRule="exact"/>
        <w:rPr>
          <w:sz w:val="20"/>
          <w:szCs w:val="20"/>
          <w:color w:val="auto"/>
        </w:rPr>
      </w:pPr>
    </w:p>
    <w:p>
      <w:pPr>
        <w:ind w:left="80" w:firstLine="432"/>
        <w:spacing w:after="0" w:line="237" w:lineRule="auto"/>
        <w:rPr>
          <w:sz w:val="20"/>
          <w:szCs w:val="20"/>
          <w:color w:val="auto"/>
        </w:rPr>
      </w:pPr>
      <w:r>
        <w:rPr>
          <w:rFonts w:ascii="Arial" w:cs="Arial" w:eastAsia="Arial" w:hAnsi="Arial"/>
          <w:sz w:val="16"/>
          <w:szCs w:val="16"/>
          <w:color w:val="auto"/>
        </w:rPr>
        <w:t xml:space="preserve">We do not currently have futures, forwards, or option contracts. As a result of the phase out of LIBOR, our interest rate swap derivatives and the associated loans that were indexed to LIBOR, have been replaced with one month CME Term SOFR. The Bank will continue to use multiple alternative indices as replacements for LIBOR for newly originated instruments. All remaining financial instruments indexed to LIBOR have been transitioned to a replacement index, as of June 30, 2023. For further quantitative and qualitative disclosures about market risks in our portfolio, see </w:t>
      </w:r>
      <w:r>
        <w:rPr>
          <w:rFonts w:ascii="Arial" w:cs="Arial" w:eastAsia="Arial" w:hAnsi="Arial"/>
          <w:sz w:val="16"/>
          <w:szCs w:val="16"/>
          <w:i w:val="1"/>
          <w:iCs w:val="1"/>
          <w:color w:val="auto"/>
        </w:rPr>
        <w:t>Asset/Liability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 and Interest Rate Sensitivity Management</w:t>
      </w:r>
      <w:r>
        <w:rPr>
          <w:rFonts w:ascii="Arial" w:cs="Arial" w:eastAsia="Arial" w:hAnsi="Arial"/>
          <w:sz w:val="16"/>
          <w:szCs w:val="16"/>
          <w:color w:val="auto"/>
        </w:rPr>
        <w:t>” included in Item 2 “</w:t>
      </w: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 presented elsewhere in this report. This analysis should be read in conjunction with our Annual Report on Form 10- K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2022. Our analysis of market risk and market-sensitive financial information contains forward-looking statements and is subject to the disclosure at the beginning of Part I regarding such forward-looking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4" w:lineRule="exact"/>
        <w:rPr>
          <w:sz w:val="20"/>
          <w:szCs w:val="20"/>
          <w:color w:val="auto"/>
        </w:rPr>
      </w:pPr>
    </w:p>
    <w:p>
      <w:pPr>
        <w:ind w:left="80" w:right="200" w:firstLine="432"/>
        <w:spacing w:after="0"/>
        <w:rPr>
          <w:sz w:val="20"/>
          <w:szCs w:val="20"/>
          <w:color w:val="auto"/>
        </w:rPr>
      </w:pPr>
      <w:r>
        <w:rPr>
          <w:rFonts w:ascii="Arial" w:cs="Arial" w:eastAsia="Arial" w:hAnsi="Arial"/>
          <w:sz w:val="16"/>
          <w:szCs w:val="16"/>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64" w:lineRule="exact"/>
        <w:rPr>
          <w:sz w:val="20"/>
          <w:szCs w:val="20"/>
          <w:color w:val="auto"/>
        </w:rPr>
      </w:pPr>
    </w:p>
    <w:p>
      <w:pPr>
        <w:ind w:left="80" w:right="140" w:firstLine="432"/>
        <w:spacing w:after="0" w:line="252" w:lineRule="auto"/>
        <w:rPr>
          <w:sz w:val="20"/>
          <w:szCs w:val="20"/>
          <w:color w:val="auto"/>
        </w:rPr>
      </w:pPr>
      <w:r>
        <w:rPr>
          <w:rFonts w:ascii="Arial" w:cs="Arial" w:eastAsia="Arial" w:hAnsi="Arial"/>
          <w:sz w:val="16"/>
          <w:szCs w:val="16"/>
          <w:color w:val="auto"/>
        </w:rPr>
        <w:t>During the quarter ended June 30, 2023, there have been no changes in our internal controls over financial reporting that have materially affected or are reasonably likely to materially affect our internal controls over financial reporting.</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164465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938" w:right="640"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16"/>
          <w:szCs w:val="16"/>
          <w:b w:val="1"/>
          <w:bCs w:val="1"/>
          <w:color w:val="auto"/>
        </w:rPr>
        <w:t>PART II – OTHER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4" w:lineRule="exact"/>
        <w:rPr>
          <w:sz w:val="20"/>
          <w:szCs w:val="20"/>
          <w:color w:val="auto"/>
        </w:rPr>
      </w:pPr>
    </w:p>
    <w:p>
      <w:pPr>
        <w:ind w:left="80" w:right="200" w:firstLine="468"/>
        <w:spacing w:after="0" w:line="239" w:lineRule="auto"/>
        <w:rPr>
          <w:sz w:val="20"/>
          <w:szCs w:val="20"/>
          <w:color w:val="auto"/>
        </w:rPr>
      </w:pPr>
      <w:r>
        <w:rPr>
          <w:rFonts w:ascii="Arial" w:cs="Arial" w:eastAsia="Arial" w:hAnsi="Arial"/>
          <w:sz w:val="16"/>
          <w:szCs w:val="16"/>
          <w:color w:val="auto"/>
        </w:rPr>
        <w:t>The Company and its subsidiaries are parties to various lawsuits and threatened lawsuits in the ordinary and non -ordinary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bankruptcy claims and negligence claims, some of which may be styled as “class action” or representative cases. Some of these lawsuits may be similar in nature to other lawsuits pending against the Company’s competitors.</w:t>
      </w:r>
    </w:p>
    <w:p>
      <w:pPr>
        <w:spacing w:after="0" w:line="140" w:lineRule="exact"/>
        <w:rPr>
          <w:sz w:val="20"/>
          <w:szCs w:val="20"/>
          <w:color w:val="auto"/>
        </w:rPr>
      </w:pPr>
    </w:p>
    <w:p>
      <w:pPr>
        <w:ind w:left="80" w:firstLine="468"/>
        <w:spacing w:after="0" w:line="237" w:lineRule="auto"/>
        <w:rPr>
          <w:sz w:val="20"/>
          <w:szCs w:val="20"/>
          <w:color w:val="auto"/>
        </w:rPr>
      </w:pPr>
      <w:r>
        <w:rPr>
          <w:rFonts w:ascii="Arial" w:cs="Arial" w:eastAsia="Arial" w:hAnsi="Arial"/>
          <w:sz w:val="16"/>
          <w:szCs w:val="16"/>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40" w:lineRule="exact"/>
        <w:rPr>
          <w:sz w:val="20"/>
          <w:szCs w:val="20"/>
          <w:color w:val="auto"/>
        </w:rPr>
      </w:pPr>
    </w:p>
    <w:p>
      <w:pPr>
        <w:ind w:left="80" w:right="40" w:firstLine="468"/>
        <w:spacing w:after="0" w:line="239" w:lineRule="auto"/>
        <w:rPr>
          <w:sz w:val="20"/>
          <w:szCs w:val="20"/>
          <w:color w:val="auto"/>
        </w:rPr>
      </w:pPr>
      <w:r>
        <w:rPr>
          <w:rFonts w:ascii="Arial" w:cs="Arial" w:eastAsia="Arial" w:hAnsi="Arial"/>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40" w:lineRule="exact"/>
        <w:rPr>
          <w:sz w:val="20"/>
          <w:szCs w:val="20"/>
          <w:color w:val="auto"/>
        </w:rPr>
      </w:pPr>
    </w:p>
    <w:p>
      <w:pPr>
        <w:ind w:left="80" w:right="100" w:firstLine="468"/>
        <w:spacing w:after="0"/>
        <w:rPr>
          <w:sz w:val="20"/>
          <w:szCs w:val="20"/>
          <w:color w:val="auto"/>
        </w:rPr>
      </w:pPr>
      <w:r>
        <w:rPr>
          <w:rFonts w:ascii="Arial" w:cs="Arial" w:eastAsia="Arial" w:hAnsi="Arial"/>
          <w:sz w:val="16"/>
          <w:szCs w:val="16"/>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4" w:lineRule="exact"/>
        <w:rPr>
          <w:sz w:val="20"/>
          <w:szCs w:val="20"/>
          <w:color w:val="auto"/>
        </w:rPr>
      </w:pPr>
    </w:p>
    <w:p>
      <w:pPr>
        <w:ind w:left="80" w:right="80" w:firstLine="432"/>
        <w:spacing w:after="0" w:line="239" w:lineRule="auto"/>
        <w:rPr>
          <w:sz w:val="20"/>
          <w:szCs w:val="20"/>
          <w:color w:val="auto"/>
        </w:rPr>
      </w:pPr>
      <w:r>
        <w:rPr>
          <w:rFonts w:ascii="Arial" w:cs="Arial" w:eastAsia="Arial" w:hAnsi="Arial"/>
          <w:sz w:val="16"/>
          <w:szCs w:val="16"/>
          <w:color w:val="auto"/>
        </w:rPr>
        <w:t>Except as discussed below there have been no material changes to the risk factors as previously disclosed in Item 1A. to Part I of our Annual Report on Form 10-K for the year ended December 31, 2022. The materiality of any risks and uncertainties identified in our Forward Looking Statements contained in this report together with those previously disclosed in the Form 10-K and any subsequent Form 10-Q or those that are presently unforeseen could result in significant adverse effects on our financial condition, results of operations and cash flows. See Item 2.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w:t>
      </w:r>
      <w:r>
        <w:rPr>
          <w:rFonts w:ascii="Arial" w:cs="Arial" w:eastAsia="Arial" w:hAnsi="Arial"/>
          <w:sz w:val="16"/>
          <w:szCs w:val="16"/>
          <w:color w:val="auto"/>
        </w:rPr>
        <w:t>” in this Quarterly Report on Form 10-Q.</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Recent negative developments affecting the banking industry could adversely impact our liquidity.</w:t>
      </w:r>
    </w:p>
    <w:p>
      <w:pPr>
        <w:spacing w:after="0" w:line="184" w:lineRule="exact"/>
        <w:rPr>
          <w:sz w:val="20"/>
          <w:szCs w:val="20"/>
          <w:color w:val="auto"/>
        </w:rPr>
      </w:pPr>
    </w:p>
    <w:p>
      <w:pPr>
        <w:ind w:left="80" w:right="80" w:firstLine="432"/>
        <w:spacing w:after="0" w:line="236" w:lineRule="auto"/>
        <w:rPr>
          <w:sz w:val="20"/>
          <w:szCs w:val="20"/>
          <w:color w:val="auto"/>
        </w:rPr>
      </w:pPr>
      <w:r>
        <w:rPr>
          <w:rFonts w:ascii="Arial" w:cs="Arial" w:eastAsia="Arial" w:hAnsi="Arial"/>
          <w:sz w:val="16"/>
          <w:szCs w:val="16"/>
          <w:color w:val="auto"/>
        </w:rPr>
        <w:t>The recent high-profile bank failures have generated significant market volatility among publicly traded bank holding companies and, in particular, regional community banks like CBB. These market developments have negatively impacted customer confidence in the safety and soundness of smaller regional and community banks. As a result, customers may choose to maintain deposits with larger more systematically important financial institutions or invest in higher yielding short-term fixed income securities, all of which could materially adversely impact CBB’s liquidity, loan funding capacity, net interest margin, capital and results of operations. While CBB currently has access to substantial borrowing capacity from the Federal Reserve Bank, the Federal Home Loan Bank and credit facilities established with larger banks, there can be no assurance that customer confidence in regional banks and the banking system more broadly will be fully restored or that potential liquidity concerns will recede.</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158115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782" w:right="660" w:bottom="1440" w:gutter="0" w:footer="0" w:header="0"/>
        </w:sectPr>
      </w:pPr>
    </w:p>
    <w:bookmarkStart w:id="74" w:name="page75"/>
    <w:bookmarkEnd w:id="74"/>
    <w:p>
      <w:pPr>
        <w:ind w:right="260" w:firstLine="432"/>
        <w:spacing w:after="0" w:line="278" w:lineRule="auto"/>
        <w:rPr>
          <w:sz w:val="20"/>
          <w:szCs w:val="20"/>
          <w:color w:val="auto"/>
        </w:rPr>
      </w:pPr>
      <w:r>
        <w:rPr>
          <w:rFonts w:ascii="Arial" w:cs="Arial" w:eastAsia="Arial" w:hAnsi="Arial"/>
          <w:sz w:val="16"/>
          <w:szCs w:val="16"/>
          <w:b w:val="1"/>
          <w:bCs w:val="1"/>
          <w:i w:val="1"/>
          <w:iCs w:val="1"/>
          <w:color w:val="auto"/>
        </w:rPr>
        <w:t>Rising interest rates have decreased the value of the Company’s available for sale and held-to-maturity securities and loan portfolios, and the Company would realize losses if it were required to sell such securities or loans to meet liquidity needs.</w:t>
      </w:r>
    </w:p>
    <w:p>
      <w:pPr>
        <w:spacing w:after="0" w:line="122" w:lineRule="exact"/>
        <w:rPr>
          <w:sz w:val="20"/>
          <w:szCs w:val="20"/>
          <w:color w:val="auto"/>
        </w:rPr>
      </w:pPr>
    </w:p>
    <w:p>
      <w:pPr>
        <w:ind w:right="100" w:firstLine="432"/>
        <w:spacing w:after="0" w:line="274" w:lineRule="auto"/>
        <w:rPr>
          <w:sz w:val="20"/>
          <w:szCs w:val="20"/>
          <w:color w:val="auto"/>
        </w:rPr>
      </w:pPr>
      <w:r>
        <w:rPr>
          <w:rFonts w:ascii="Arial" w:cs="Arial" w:eastAsia="Arial" w:hAnsi="Arial"/>
          <w:sz w:val="14"/>
          <w:szCs w:val="14"/>
          <w:color w:val="auto"/>
        </w:rPr>
        <w:t>As a result of inflationary pressures and the resulting rapid increases in interest rates initiated by the Federal Reserve over the last year, the mark-to-market values of previously issued government and other fixed income securities have declined significantly. These securities make up a majority of the securities portfolio of most banks in the U.S., including the Company’s, resulting in unrealized losses embedded in the available- for-sale and held-to-maturity portion of U.S. banks’ securities and loan portfolios. While the Company does not currently intend to sell these securities or loans, if the Company were required to sell such securities or loans to meet liquidity needs, it could incur losses, which could impair the Company’s capital, financial condition, and results of operations, thereby negatively impacting our profitability. While the Company has taken actions to maximize its funding sources, there is no guarantee that such actions will be successful or sufficient in the event of sudden liquidity needs. Furthermore, while the Federal Reserve Board has announced a Bank Term Funding Program available to eligible depository institutions secured by U.S. treasuries, agency debt and mortgage-backed securities, and other qualifying assets as collateral at par, to mitigate the risk of potential losses on the sale of such instruments, there is no guarantee that such programs will be effective in addressing the Company's liquidity needs as they arise.</w:t>
      </w:r>
    </w:p>
    <w:p>
      <w:pPr>
        <w:spacing w:after="0" w:line="318" w:lineRule="exact"/>
        <w:rPr>
          <w:sz w:val="20"/>
          <w:szCs w:val="20"/>
          <w:color w:val="auto"/>
        </w:rPr>
      </w:pPr>
    </w:p>
    <w:p>
      <w:pPr>
        <w:ind w:right="60" w:firstLine="432"/>
        <w:spacing w:after="0" w:line="278" w:lineRule="auto"/>
        <w:rPr>
          <w:sz w:val="20"/>
          <w:szCs w:val="20"/>
          <w:color w:val="auto"/>
        </w:rPr>
      </w:pPr>
      <w:r>
        <w:rPr>
          <w:rFonts w:ascii="Arial" w:cs="Arial" w:eastAsia="Arial" w:hAnsi="Arial"/>
          <w:sz w:val="16"/>
          <w:szCs w:val="16"/>
          <w:b w:val="1"/>
          <w:bCs w:val="1"/>
          <w:i w:val="1"/>
          <w:iCs w:val="1"/>
          <w:color w:val="auto"/>
        </w:rPr>
        <w:t>If the goodwill that we recorded in connection with business acquisitions becomes impaired, it could require charges to earnings, which would have a negative impact on our financial condition and results of operations.</w:t>
      </w:r>
    </w:p>
    <w:p>
      <w:pPr>
        <w:spacing w:after="0" w:line="122"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Goodwill resulting from business combinations represents the excess of the purchase price over the fair value of the net assets of the businesses we acquired. Goodwill has an indefinite useful life and is not amortized, however, it is tested for impairment at least annually, or more frequently, if events and circumstances exist that indicate that the carrying value of the asset might be impaired, including as a result of a decline in our stock price and market capitalization below our stated book value. We determine impairment by comparing the implied fair value of the reporting unit’s goodwill with the carrying amount of that goodwill. Estimates of fair value are determined based on a complex model using, among other things, discounted cash flows, the fair value of our Company as determined by our stock price, and peer company comparisons. Adverse events in the banking sector have caused market volatility and declines in the stock market prices for many community and regional banks, including the Company’s, resulting in a recent decline in the Company’s market capitalization. If management’s estimates of future cash flows are rendered inaccurate, fair value determined could likewise become inaccurate and impairment may not be recognized in a timely manner. If the carrying amount of the reporting unit’s goodwill exceeds the implied fair value of that goodwill, an impairment loss is recognized in an amount equal to that excess. Any such adjustments are reflected in our results of operations in the periods in which they become known. There can be no assurance that our future evaluations of goodwill will not result in findings of impairment and related write-downs, which may have a material adverse effect on our financial condition and results of operations.</w:t>
      </w:r>
    </w:p>
    <w:p>
      <w:pPr>
        <w:spacing w:after="0" w:line="318" w:lineRule="exact"/>
        <w:rPr>
          <w:sz w:val="20"/>
          <w:szCs w:val="20"/>
          <w:color w:val="auto"/>
        </w:rPr>
      </w:pPr>
    </w:p>
    <w:p>
      <w:pPr>
        <w:ind w:right="280" w:firstLine="432"/>
        <w:spacing w:after="0" w:line="278" w:lineRule="auto"/>
        <w:rPr>
          <w:sz w:val="20"/>
          <w:szCs w:val="20"/>
          <w:color w:val="auto"/>
        </w:rPr>
      </w:pPr>
      <w:r>
        <w:rPr>
          <w:rFonts w:ascii="Arial" w:cs="Arial" w:eastAsia="Arial" w:hAnsi="Arial"/>
          <w:sz w:val="16"/>
          <w:szCs w:val="16"/>
          <w:b w:val="1"/>
          <w:bCs w:val="1"/>
          <w:i w:val="1"/>
          <w:iCs w:val="1"/>
          <w:color w:val="auto"/>
        </w:rPr>
        <w:t>Any enhanced regulatory examination scrutiny or new regulatory requirements arising from the recent events in the banking industry could increase the Company’s expenses and affect the Company’s operations and acquisition opportunities.</w:t>
      </w:r>
    </w:p>
    <w:p>
      <w:pPr>
        <w:spacing w:after="0" w:line="122" w:lineRule="exact"/>
        <w:rPr>
          <w:sz w:val="20"/>
          <w:szCs w:val="20"/>
          <w:color w:val="auto"/>
        </w:rPr>
      </w:pPr>
    </w:p>
    <w:p>
      <w:pPr>
        <w:ind w:right="180" w:firstLine="432"/>
        <w:spacing w:after="0" w:line="238" w:lineRule="auto"/>
        <w:rPr>
          <w:sz w:val="20"/>
          <w:szCs w:val="20"/>
          <w:color w:val="auto"/>
        </w:rPr>
      </w:pPr>
      <w:r>
        <w:rPr>
          <w:rFonts w:ascii="Arial" w:cs="Arial" w:eastAsia="Arial" w:hAnsi="Arial"/>
          <w:sz w:val="16"/>
          <w:szCs w:val="16"/>
          <w:color w:val="auto"/>
        </w:rPr>
        <w:t>Recent events in the banking industry could result in increased regulatory scrutiny in the course of routine examinations and otherwise, and new regulations directed towards regional banks, designed to address the recent negative developments in the banking industry, could increase the Company’s costs of doing business, result in decreased regulatory support for merger and acquisition activity, and reduce our profitability. Among other things, there may be an increased focus by both regulators and investors on deposit composition, levels of uninsured deposits, and embedded interest rate risk on bank balance sheets. As a primarily commercial bank, CBB has a relatively higher percentage of uninsured deposits compared to larger national banks or smaller community banks with a stronger focus on retail deposits. As a result, CBB could face increased scrutiny or be viewed as higher risk by regulators and the investor community.</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Changes in economic, market and political conditions can adversely affect our operating results and financial condition.</w:t>
      </w:r>
    </w:p>
    <w:p>
      <w:pPr>
        <w:spacing w:after="0" w:line="184"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We are subject to macroeconomic and interest rate risk due to domestic and global economic instability that has resulted in higher inflation than the United States has experienced in more than 40 years. The global economic impact from the geopolitical events in Europe that is contributing to rising energy and commodity prices, as well as the on-going supply chain disruptions have resulted in inflationary pressures and increases to prevailing interest rates. The Federal Reserve’s Open Market Committee (“FOMC”) raised the target range for the federal funds rate to 5.00% to 5.25% in May 2023, resulting in a cumulative increase of 5.00% from March of 2022. These recent increases in prevailing interest rates and the</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62" w:right="640" w:bottom="1440" w:gutter="0" w:footer="0" w:header="0"/>
        </w:sectPr>
      </w:pPr>
    </w:p>
    <w:bookmarkStart w:id="75" w:name="page76"/>
    <w:bookmarkEnd w:id="75"/>
    <w:p>
      <w:pPr>
        <w:ind w:left="80" w:right="2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expectation that further increases are likely will impact both our customers and many aspects of our business. Higher interest rates will not only impact the interest we receive on loans and investment securities and the amount of interest we pay our depositors, but could also impact our ability to grow loans and deposits. Rising interest rates, higher commodity prices, and supply chain issues and an overall slowdown in economic growth could also impact the fair value of our assets and adversely impact our asset quality.</w:t>
      </w:r>
    </w:p>
    <w:p>
      <w:pPr>
        <w:spacing w:after="0" w:line="156" w:lineRule="exact"/>
        <w:rPr>
          <w:sz w:val="20"/>
          <w:szCs w:val="20"/>
          <w:color w:val="auto"/>
        </w:rPr>
      </w:pPr>
    </w:p>
    <w:p>
      <w:pPr>
        <w:ind w:left="80" w:right="260" w:firstLine="432"/>
        <w:spacing w:after="0" w:line="256" w:lineRule="auto"/>
        <w:rPr>
          <w:sz w:val="20"/>
          <w:szCs w:val="20"/>
          <w:color w:val="auto"/>
        </w:rPr>
      </w:pPr>
      <w:r>
        <w:rPr>
          <w:rFonts w:ascii="Arial" w:cs="Arial" w:eastAsia="Arial" w:hAnsi="Arial"/>
          <w:sz w:val="16"/>
          <w:szCs w:val="16"/>
          <w:b w:val="1"/>
          <w:bCs w:val="1"/>
          <w:i w:val="1"/>
          <w:iCs w:val="1"/>
          <w:color w:val="auto"/>
        </w:rPr>
        <w:t>The occurrence of fraudulent activity, breaches or failures of information security controls or cybersecurity-related incidents to either our information systems or information systems provided by third party vendors could have a material adverse effect on our business, financial condition and results of operations.</w:t>
      </w:r>
    </w:p>
    <w:p>
      <w:pPr>
        <w:spacing w:after="0" w:line="139" w:lineRule="exact"/>
        <w:rPr>
          <w:sz w:val="20"/>
          <w:szCs w:val="20"/>
          <w:color w:val="auto"/>
        </w:rPr>
      </w:pPr>
    </w:p>
    <w:p>
      <w:pPr>
        <w:ind w:left="80" w:firstLine="432"/>
        <w:spacing w:after="0" w:line="237" w:lineRule="auto"/>
        <w:rPr>
          <w:sz w:val="20"/>
          <w:szCs w:val="20"/>
          <w:color w:val="auto"/>
        </w:rPr>
      </w:pPr>
      <w:r>
        <w:rPr>
          <w:rFonts w:ascii="Arial" w:cs="Arial" w:eastAsia="Arial" w:hAnsi="Arial"/>
          <w:sz w:val="16"/>
          <w:szCs w:val="16"/>
          <w:color w:val="auto"/>
        </w:rPr>
        <w:t>As a financial institution, we are susceptible to fraudulent activity, information security breaches and other cybersecurity-related incidents and attacks that may be committed against us, our customers or our key vendors and business partners, which in turn may result in financial losses or increased costs to us, our customers, or our key vendors and business partners, disclosure or misuse of our information or our customer information, theft or misappropriation of assets (including bank or customer funds), privacy breaches against us or our customers, litigation, regulatory enforcement action, and damage to our reputation. The U.S. government has warned financial institutions of the potential increase in the frequency and severity of malicious cyber-attacks and other activities involving critical infrastructure, specifically including the financial sector, and has encouraged the banking sector to enhance cyber-defenses, and these risks have increased in connection with the current conflict in Europe initiated by Russia against Ukraine. While CBB has taken measures to protect its own and customer funds and confidential information against cyber-attacks, as well as other malicious activities, there can be no assurance that such measures will be successful in thwarting such attacks and activities.</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4" w:lineRule="exact"/>
        <w:rPr>
          <w:sz w:val="20"/>
          <w:szCs w:val="20"/>
          <w:color w:val="auto"/>
        </w:rPr>
      </w:pPr>
    </w:p>
    <w:p>
      <w:pPr>
        <w:ind w:left="80" w:right="100" w:firstLine="432"/>
        <w:spacing w:after="0" w:line="239" w:lineRule="auto"/>
        <w:rPr>
          <w:sz w:val="20"/>
          <w:szCs w:val="20"/>
          <w:color w:val="auto"/>
        </w:rPr>
      </w:pPr>
      <w:r>
        <w:rPr>
          <w:rFonts w:ascii="Arial" w:cs="Arial" w:eastAsia="Arial" w:hAnsi="Arial"/>
          <w:sz w:val="16"/>
          <w:szCs w:val="16"/>
          <w:color w:val="auto"/>
        </w:rPr>
        <w:t>On February 1, 2022, we announced that our Board of Directors authorized a share repurchase plan to repurchase up to 10,000,000 shares of the Company’s common stock ("2022 Repurchase Program"). We did not repurchase any shares of our common stock during the quarter ended June 30, 2023. As of June 30, 2023, an aggregate of 4,300,059 shares remained available for repurchase under our 2022 Repurchase Program. The only shares repurchased during the second quarter of 2023 were shares repurchased pursuant to net settlement by employees in satisfaction of income tax withholding obligations incurred through the vesting of Company stock awards.</w:t>
      </w:r>
    </w:p>
    <w:p>
      <w:pPr>
        <w:spacing w:after="0" w:line="164" w:lineRule="exact"/>
        <w:rPr>
          <w:sz w:val="20"/>
          <w:szCs w:val="20"/>
          <w:color w:val="auto"/>
        </w:rPr>
      </w:pPr>
    </w:p>
    <w:p>
      <w:pPr>
        <w:ind w:left="80" w:right="160" w:firstLine="432"/>
        <w:spacing w:after="0" w:line="252" w:lineRule="auto"/>
        <w:rPr>
          <w:sz w:val="20"/>
          <w:szCs w:val="20"/>
          <w:color w:val="auto"/>
        </w:rPr>
      </w:pPr>
      <w:r>
        <w:rPr>
          <w:rFonts w:ascii="Arial" w:cs="Arial" w:eastAsia="Arial" w:hAnsi="Arial"/>
          <w:sz w:val="16"/>
          <w:szCs w:val="16"/>
          <w:color w:val="auto"/>
        </w:rPr>
        <w:t>None of the Company’s directors or officers adopted or terminated a Rule 10b5-1 trading arrangement or a non-Rule 10b5-1 trading arrangement during the Company’s fiscal quarter ended June 30, 2023.</w:t>
      </w: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Total Number of Shares</w:t>
            </w: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14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Total 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2"/>
          </w:tcPr>
          <w:p>
            <w:pPr>
              <w:jc w:val="center"/>
              <w:ind w:right="100"/>
              <w:spacing w:after="0" w:line="180" w:lineRule="exact"/>
              <w:rPr>
                <w:sz w:val="20"/>
                <w:szCs w:val="20"/>
                <w:color w:val="auto"/>
              </w:rPr>
            </w:pPr>
            <w:r>
              <w:rPr>
                <w:rFonts w:ascii="Arial" w:cs="Arial" w:eastAsia="Arial" w:hAnsi="Arial"/>
                <w:sz w:val="16"/>
                <w:szCs w:val="16"/>
                <w:b w:val="1"/>
                <w:bCs w:val="1"/>
                <w:color w:val="auto"/>
                <w:w w:val="97"/>
              </w:rPr>
              <w:t>Purchased as Part of</w:t>
            </w:r>
          </w:p>
        </w:tc>
        <w:tc>
          <w:tcPr>
            <w:tcW w:w="120" w:type="dxa"/>
            <w:vAlign w:val="bottom"/>
          </w:tcPr>
          <w:p>
            <w:pPr>
              <w:spacing w:after="0"/>
              <w:rPr>
                <w:sz w:val="15"/>
                <w:szCs w:val="15"/>
                <w:color w:val="auto"/>
              </w:rPr>
            </w:pPr>
          </w:p>
        </w:tc>
        <w:tc>
          <w:tcPr>
            <w:tcW w:w="2680" w:type="dxa"/>
            <w:vAlign w:val="bottom"/>
            <w:gridSpan w:val="2"/>
          </w:tcPr>
          <w:p>
            <w:pPr>
              <w:jc w:val="center"/>
              <w:ind w:right="80"/>
              <w:spacing w:after="0" w:line="180" w:lineRule="exact"/>
              <w:rPr>
                <w:sz w:val="20"/>
                <w:szCs w:val="20"/>
                <w:color w:val="auto"/>
              </w:rPr>
            </w:pPr>
            <w:r>
              <w:rPr>
                <w:rFonts w:ascii="Arial" w:cs="Arial" w:eastAsia="Arial" w:hAnsi="Arial"/>
                <w:sz w:val="16"/>
                <w:szCs w:val="16"/>
                <w:b w:val="1"/>
                <w:bCs w:val="1"/>
                <w:color w:val="auto"/>
                <w:w w:val="98"/>
              </w:rPr>
              <w:t>Maximum Number of Shares</w:t>
            </w:r>
          </w:p>
        </w:tc>
        <w:tc>
          <w:tcPr>
            <w:tcW w:w="0" w:type="dxa"/>
            <w:vAlign w:val="bottom"/>
          </w:tcPr>
          <w:p>
            <w:pPr>
              <w:spacing w:after="0"/>
              <w:rPr>
                <w:sz w:val="1"/>
                <w:szCs w:val="1"/>
                <w:color w:val="auto"/>
              </w:rPr>
            </w:pPr>
          </w:p>
        </w:tc>
      </w:tr>
      <w:tr>
        <w:trPr>
          <w:trHeight w:val="180"/>
        </w:trPr>
        <w:tc>
          <w:tcPr>
            <w:tcW w:w="2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4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Shares Purchased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ind w:left="80"/>
              <w:spacing w:after="0" w:line="180" w:lineRule="exact"/>
              <w:rPr>
                <w:sz w:val="20"/>
                <w:szCs w:val="20"/>
                <w:color w:val="auto"/>
              </w:rPr>
            </w:pPr>
            <w:r>
              <w:rPr>
                <w:rFonts w:ascii="Arial" w:cs="Arial" w:eastAsia="Arial" w:hAnsi="Arial"/>
                <w:sz w:val="16"/>
                <w:szCs w:val="16"/>
                <w:b w:val="1"/>
                <w:bCs w:val="1"/>
                <w:color w:val="auto"/>
              </w:rPr>
              <w:t>Average Price</w:t>
            </w:r>
          </w:p>
        </w:tc>
        <w:tc>
          <w:tcPr>
            <w:tcW w:w="2140" w:type="dxa"/>
            <w:vAlign w:val="bottom"/>
            <w:gridSpan w:val="2"/>
          </w:tcPr>
          <w:p>
            <w:pPr>
              <w:jc w:val="center"/>
              <w:ind w:right="100"/>
              <w:spacing w:after="0" w:line="180" w:lineRule="exact"/>
              <w:rPr>
                <w:sz w:val="20"/>
                <w:szCs w:val="20"/>
                <w:color w:val="auto"/>
              </w:rPr>
            </w:pPr>
            <w:r>
              <w:rPr>
                <w:rFonts w:ascii="Arial" w:cs="Arial" w:eastAsia="Arial" w:hAnsi="Arial"/>
                <w:sz w:val="16"/>
                <w:szCs w:val="16"/>
                <w:b w:val="1"/>
                <w:bCs w:val="1"/>
                <w:color w:val="auto"/>
                <w:w w:val="97"/>
              </w:rPr>
              <w:t>Publicly Announced Plans</w:t>
            </w:r>
          </w:p>
        </w:tc>
        <w:tc>
          <w:tcPr>
            <w:tcW w:w="120" w:type="dxa"/>
            <w:vAlign w:val="bottom"/>
          </w:tcPr>
          <w:p>
            <w:pPr>
              <w:spacing w:after="0"/>
              <w:rPr>
                <w:sz w:val="15"/>
                <w:szCs w:val="15"/>
                <w:color w:val="auto"/>
              </w:rPr>
            </w:pPr>
          </w:p>
        </w:tc>
        <w:tc>
          <w:tcPr>
            <w:tcW w:w="2680" w:type="dxa"/>
            <w:vAlign w:val="bottom"/>
            <w:gridSpan w:val="2"/>
          </w:tcPr>
          <w:p>
            <w:pPr>
              <w:jc w:val="center"/>
              <w:ind w:right="80"/>
              <w:spacing w:after="0" w:line="180" w:lineRule="exact"/>
              <w:rPr>
                <w:sz w:val="20"/>
                <w:szCs w:val="20"/>
                <w:color w:val="auto"/>
              </w:rPr>
            </w:pPr>
            <w:r>
              <w:rPr>
                <w:rFonts w:ascii="Arial" w:cs="Arial" w:eastAsia="Arial" w:hAnsi="Arial"/>
                <w:sz w:val="16"/>
                <w:szCs w:val="16"/>
                <w:b w:val="1"/>
                <w:bCs w:val="1"/>
                <w:color w:val="auto"/>
                <w:w w:val="97"/>
              </w:rPr>
              <w:t>Available for Repurchase Under</w:t>
            </w:r>
          </w:p>
        </w:tc>
        <w:tc>
          <w:tcPr>
            <w:tcW w:w="0" w:type="dxa"/>
            <w:vAlign w:val="bottom"/>
          </w:tcPr>
          <w:p>
            <w:pPr>
              <w:spacing w:after="0"/>
              <w:rPr>
                <w:sz w:val="1"/>
                <w:szCs w:val="1"/>
                <w:color w:val="auto"/>
              </w:rPr>
            </w:pPr>
          </w:p>
        </w:tc>
      </w:tr>
      <w:tr>
        <w:trPr>
          <w:trHeight w:val="217"/>
        </w:trPr>
        <w:tc>
          <w:tcPr>
            <w:tcW w:w="2400" w:type="dxa"/>
            <w:vAlign w:val="bottom"/>
            <w:vMerge w:val="continue"/>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 Per Share</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or Programs</w:t>
            </w:r>
          </w:p>
        </w:tc>
        <w:tc>
          <w:tcPr>
            <w:tcW w:w="1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the Plans or Programs</w:t>
            </w:r>
          </w:p>
        </w:tc>
        <w:tc>
          <w:tcPr>
            <w:tcW w:w="0" w:type="dxa"/>
            <w:vAlign w:val="bottom"/>
          </w:tcPr>
          <w:p>
            <w:pPr>
              <w:spacing w:after="0"/>
              <w:rPr>
                <w:sz w:val="1"/>
                <w:szCs w:val="1"/>
                <w:color w:val="auto"/>
              </w:rPr>
            </w:pPr>
          </w:p>
        </w:tc>
      </w:tr>
      <w:tr>
        <w:trPr>
          <w:trHeight w:val="194"/>
        </w:trPr>
        <w:tc>
          <w:tcPr>
            <w:tcW w:w="2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April 1 - 30, 2023</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760" w:type="dxa"/>
            <w:vAlign w:val="bottom"/>
            <w:gridSpan w:val="3"/>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15.52</w:t>
            </w:r>
          </w:p>
        </w:tc>
        <w:tc>
          <w:tcPr>
            <w:tcW w:w="24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ind w:left="1880"/>
              <w:spacing w:after="0"/>
              <w:rPr>
                <w:sz w:val="20"/>
                <w:szCs w:val="20"/>
                <w:color w:val="auto"/>
              </w:rPr>
            </w:pPr>
            <w:r>
              <w:rPr>
                <w:rFonts w:ascii="Arial" w:cs="Arial" w:eastAsia="Arial" w:hAnsi="Arial"/>
                <w:sz w:val="16"/>
                <w:szCs w:val="16"/>
                <w:color w:val="auto"/>
              </w:rPr>
              <w:t>—</w:t>
            </w:r>
          </w:p>
        </w:tc>
        <w:tc>
          <w:tcPr>
            <w:tcW w:w="2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4,300,059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May 1 - 31, 2023</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302"/>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140" w:type="dxa"/>
            <w:vAlign w:val="bottom"/>
            <w:gridSpan w:val="2"/>
          </w:tcPr>
          <w:p>
            <w:pPr>
              <w:ind w:left="1880"/>
              <w:spacing w:after="0"/>
              <w:rPr>
                <w:sz w:val="20"/>
                <w:szCs w:val="20"/>
                <w:color w:val="auto"/>
              </w:rPr>
            </w:pPr>
            <w:r>
              <w:rPr>
                <w:rFonts w:ascii="Arial" w:cs="Arial" w:eastAsia="Arial" w:hAnsi="Arial"/>
                <w:sz w:val="16"/>
                <w:szCs w:val="16"/>
                <w:color w:val="auto"/>
              </w:rPr>
              <w:t>—</w:t>
            </w:r>
          </w:p>
        </w:tc>
        <w:tc>
          <w:tcPr>
            <w:tcW w:w="2720" w:type="dxa"/>
            <w:vAlign w:val="bottom"/>
            <w:gridSpan w:val="2"/>
          </w:tcPr>
          <w:p>
            <w:pPr>
              <w:jc w:val="right"/>
              <w:spacing w:after="0"/>
              <w:rPr>
                <w:sz w:val="20"/>
                <w:szCs w:val="20"/>
                <w:color w:val="auto"/>
              </w:rPr>
            </w:pPr>
            <w:r>
              <w:rPr>
                <w:rFonts w:ascii="Arial" w:cs="Arial" w:eastAsia="Arial" w:hAnsi="Arial"/>
                <w:sz w:val="16"/>
                <w:szCs w:val="16"/>
                <w:color w:val="auto"/>
              </w:rPr>
              <w:t>4,300,059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June 1 - 30, 2023</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760" w:type="dxa"/>
            <w:vAlign w:val="bottom"/>
            <w:gridSpan w:val="3"/>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w:t>
            </w:r>
          </w:p>
        </w:tc>
        <w:tc>
          <w:tcPr>
            <w:tcW w:w="24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ind w:left="1880"/>
              <w:spacing w:after="0"/>
              <w:rPr>
                <w:sz w:val="20"/>
                <w:szCs w:val="20"/>
                <w:color w:val="auto"/>
              </w:rPr>
            </w:pPr>
            <w:r>
              <w:rPr>
                <w:rFonts w:ascii="Arial" w:cs="Arial" w:eastAsia="Arial" w:hAnsi="Arial"/>
                <w:sz w:val="16"/>
                <w:szCs w:val="16"/>
                <w:color w:val="auto"/>
              </w:rPr>
              <w:t>—</w:t>
            </w:r>
          </w:p>
        </w:tc>
        <w:tc>
          <w:tcPr>
            <w:tcW w:w="2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4,300,059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0" w:type="dxa"/>
            <w:vAlign w:val="bottom"/>
          </w:tcPr>
          <w:p>
            <w:pPr>
              <w:ind w:left="100"/>
              <w:spacing w:after="0"/>
              <w:rPr>
                <w:sz w:val="20"/>
                <w:szCs w:val="20"/>
                <w:color w:val="auto"/>
              </w:rPr>
            </w:pPr>
            <w:r>
              <w:rPr>
                <w:rFonts w:ascii="Arial" w:cs="Arial" w:eastAsia="Arial" w:hAnsi="Arial"/>
                <w:sz w:val="16"/>
                <w:szCs w:val="16"/>
                <w:color w:val="auto"/>
              </w:rPr>
              <w:t>Total</w:t>
            </w:r>
          </w:p>
        </w:tc>
        <w:tc>
          <w:tcPr>
            <w:tcW w:w="146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7"/>
                <w:szCs w:val="17"/>
                <w:color w:val="auto"/>
              </w:rPr>
            </w:pPr>
          </w:p>
        </w:tc>
        <w:tc>
          <w:tcPr>
            <w:tcW w:w="66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15.10</w:t>
            </w:r>
          </w:p>
        </w:tc>
        <w:tc>
          <w:tcPr>
            <w:tcW w:w="240" w:type="dxa"/>
            <w:vAlign w:val="bottom"/>
          </w:tcPr>
          <w:p>
            <w:pPr>
              <w:spacing w:after="0"/>
              <w:rPr>
                <w:sz w:val="17"/>
                <w:szCs w:val="17"/>
                <w:color w:val="auto"/>
              </w:rPr>
            </w:pPr>
          </w:p>
        </w:tc>
        <w:tc>
          <w:tcPr>
            <w:tcW w:w="2140" w:type="dxa"/>
            <w:vAlign w:val="bottom"/>
            <w:gridSpan w:val="2"/>
          </w:tcPr>
          <w:p>
            <w:pPr>
              <w:ind w:left="1880"/>
              <w:spacing w:after="0"/>
              <w:rPr>
                <w:sz w:val="20"/>
                <w:szCs w:val="20"/>
                <w:color w:val="auto"/>
              </w:rPr>
            </w:pPr>
            <w:r>
              <w:rPr>
                <w:rFonts w:ascii="Arial" w:cs="Arial" w:eastAsia="Arial" w:hAnsi="Arial"/>
                <w:sz w:val="16"/>
                <w:szCs w:val="16"/>
                <w:color w:val="auto"/>
              </w:rPr>
              <w:t>—</w:t>
            </w:r>
          </w:p>
        </w:tc>
        <w:tc>
          <w:tcPr>
            <w:tcW w:w="2720" w:type="dxa"/>
            <w:vAlign w:val="bottom"/>
            <w:gridSpan w:val="2"/>
          </w:tcPr>
          <w:p>
            <w:pPr>
              <w:jc w:val="right"/>
              <w:spacing w:after="0"/>
              <w:rPr>
                <w:sz w:val="20"/>
                <w:szCs w:val="20"/>
                <w:color w:val="auto"/>
              </w:rPr>
            </w:pPr>
            <w:r>
              <w:rPr>
                <w:rFonts w:ascii="Arial" w:cs="Arial" w:eastAsia="Arial" w:hAnsi="Arial"/>
                <w:sz w:val="16"/>
                <w:szCs w:val="16"/>
                <w:color w:val="auto"/>
              </w:rPr>
              <w:t>4,300,059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00" w:right="1820" w:hanging="214"/>
        <w:spacing w:after="0" w:line="285" w:lineRule="auto"/>
        <w:tabs>
          <w:tab w:leader="none" w:pos="299"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Shares repurchased pursuant to net settlement by employees in satisfaction of income tax withholding obligations incurred through the </w:t>
      </w:r>
      <w:r>
        <w:rPr>
          <w:rFonts w:ascii="Arial" w:cs="Arial" w:eastAsia="Arial" w:hAnsi="Arial"/>
          <w:sz w:val="15"/>
          <w:szCs w:val="15"/>
          <w:color w:val="auto"/>
        </w:rPr>
        <w:t>vesting of Company stock awards.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ectPr>
          <w:pgSz w:w="11900" w:h="16840" w:orient="portrait"/>
          <w:cols w:equalWidth="0" w:num="1">
            <w:col w:w="10680"/>
          </w:cols>
          <w:pgMar w:left="580" w:top="790" w:right="640"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ITEM 5. OTHER INFORMATION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6" w:lineRule="exact"/>
        <w:rPr>
          <w:sz w:val="20"/>
          <w:szCs w:val="20"/>
          <w:color w:val="auto"/>
        </w:rPr>
      </w:pPr>
    </w:p>
    <w:p>
      <w:pPr>
        <w:jc w:val="right"/>
        <w:ind w:right="442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158115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580" w:top="782"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7"/>
        </w:trPr>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ITEM 6. EXHIBITS</w:t>
            </w:r>
          </w:p>
        </w:tc>
        <w:tc>
          <w:tcPr>
            <w:tcW w:w="668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578"/>
        </w:trPr>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Exhibit No.</w:t>
            </w:r>
          </w:p>
        </w:tc>
        <w:tc>
          <w:tcPr>
            <w:tcW w:w="240" w:type="dxa"/>
            <w:vAlign w:val="bottom"/>
          </w:tcPr>
          <w:p>
            <w:pPr>
              <w:spacing w:after="0"/>
              <w:rPr>
                <w:sz w:val="24"/>
                <w:szCs w:val="24"/>
                <w:color w:val="auto"/>
              </w:rPr>
            </w:pPr>
          </w:p>
        </w:tc>
        <w:tc>
          <w:tcPr>
            <w:tcW w:w="9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56"/>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31.1</w:t>
            </w:r>
          </w:p>
        </w:tc>
        <w:tc>
          <w:tcPr>
            <w:tcW w:w="240" w:type="dxa"/>
            <w:vAlign w:val="bottom"/>
          </w:tcPr>
          <w:p>
            <w:pPr>
              <w:spacing w:after="0"/>
              <w:rPr>
                <w:sz w:val="22"/>
                <w:szCs w:val="22"/>
                <w:color w:val="auto"/>
              </w:rPr>
            </w:pPr>
          </w:p>
        </w:tc>
        <w:tc>
          <w:tcPr>
            <w:tcW w:w="92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Executive Officer pursuant to Section 302 of the Sarbanes-Oxley Act of 2002</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tcPr>
          <w:p>
            <w:pPr>
              <w:spacing w:after="0" w:line="20" w:lineRule="exact"/>
              <w:rPr>
                <w:sz w:val="1"/>
                <w:szCs w:val="1"/>
                <w:color w:val="auto"/>
              </w:rPr>
            </w:pPr>
          </w:p>
        </w:tc>
      </w:tr>
      <w:tr>
        <w:trPr>
          <w:trHeight w:val="184"/>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31.2</w:t>
            </w:r>
          </w:p>
        </w:tc>
        <w:tc>
          <w:tcPr>
            <w:tcW w:w="240" w:type="dxa"/>
            <w:vAlign w:val="bottom"/>
          </w:tcPr>
          <w:p>
            <w:pPr>
              <w:spacing w:after="0"/>
              <w:rPr>
                <w:sz w:val="16"/>
                <w:szCs w:val="16"/>
                <w:color w:val="auto"/>
              </w:rPr>
            </w:pPr>
          </w:p>
        </w:tc>
        <w:tc>
          <w:tcPr>
            <w:tcW w:w="92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Financial Officer pursuant to Section 302 of the Sarbanes-Oxley Act of 2002</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4"/>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32.1</w:t>
            </w:r>
          </w:p>
        </w:tc>
        <w:tc>
          <w:tcPr>
            <w:tcW w:w="240" w:type="dxa"/>
            <w:vAlign w:val="bottom"/>
          </w:tcPr>
          <w:p>
            <w:pPr>
              <w:spacing w:after="0"/>
              <w:rPr>
                <w:sz w:val="16"/>
                <w:szCs w:val="16"/>
                <w:color w:val="auto"/>
              </w:rPr>
            </w:pPr>
          </w:p>
        </w:tc>
        <w:tc>
          <w:tcPr>
            <w:tcW w:w="92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Executive Officer pursuant to Section 906 of the Sarbanes-Oxley Act of 2002</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tcPr>
          <w:p>
            <w:pPr>
              <w:spacing w:after="0" w:line="20" w:lineRule="exact"/>
              <w:rPr>
                <w:sz w:val="1"/>
                <w:szCs w:val="1"/>
                <w:color w:val="auto"/>
              </w:rPr>
            </w:pPr>
          </w:p>
        </w:tc>
      </w:tr>
      <w:tr>
        <w:trPr>
          <w:trHeight w:val="184"/>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32.2</w:t>
            </w:r>
          </w:p>
        </w:tc>
        <w:tc>
          <w:tcPr>
            <w:tcW w:w="240" w:type="dxa"/>
            <w:vAlign w:val="bottom"/>
          </w:tcPr>
          <w:p>
            <w:pPr>
              <w:spacing w:after="0"/>
              <w:rPr>
                <w:sz w:val="16"/>
                <w:szCs w:val="16"/>
                <w:color w:val="auto"/>
              </w:rPr>
            </w:pPr>
          </w:p>
        </w:tc>
        <w:tc>
          <w:tcPr>
            <w:tcW w:w="92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Financial Officer pursuant to Section 906 of the Sarbanes-Oxley Act of 2002</w:t>
              </w:r>
            </w:hyperlink>
            <w:r>
              <w:rPr>
                <w:rFonts w:ascii="Arial" w:cs="Arial" w:eastAsia="Arial" w:hAnsi="Arial"/>
                <w:sz w:val="16"/>
                <w:szCs w:val="16"/>
                <w:color w:val="000000"/>
              </w:rPr>
              <w:t>**</w:t>
            </w:r>
          </w:p>
        </w:tc>
      </w:tr>
      <w:tr>
        <w:trPr>
          <w:trHeight w:val="20"/>
        </w:trPr>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8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01"/>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rPr>
              <w:t>101.INS</w:t>
            </w:r>
          </w:p>
        </w:tc>
        <w:tc>
          <w:tcPr>
            <w:tcW w:w="9200" w:type="dxa"/>
            <w:vAlign w:val="bottom"/>
            <w:gridSpan w:val="2"/>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197"/>
        </w:trPr>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0" w:type="dxa"/>
            <w:vAlign w:val="bottom"/>
            <w:gridSpan w:val="2"/>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101.SCH</w:t>
            </w:r>
          </w:p>
        </w:tc>
        <w:tc>
          <w:tcPr>
            <w:tcW w:w="9200" w:type="dxa"/>
            <w:vAlign w:val="bottom"/>
            <w:gridSpan w:val="2"/>
          </w:tcPr>
          <w:p>
            <w:pPr>
              <w:spacing w:after="0"/>
              <w:rPr>
                <w:sz w:val="20"/>
                <w:szCs w:val="20"/>
                <w:color w:val="auto"/>
              </w:rPr>
            </w:pPr>
            <w:r>
              <w:rPr>
                <w:rFonts w:ascii="Arial" w:cs="Arial" w:eastAsia="Arial" w:hAnsi="Arial"/>
                <w:sz w:val="16"/>
                <w:szCs w:val="16"/>
                <w:color w:val="auto"/>
              </w:rPr>
              <w:t>XBRL Taxonomy Extension Schema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101.CAL</w:t>
            </w:r>
          </w:p>
        </w:tc>
        <w:tc>
          <w:tcPr>
            <w:tcW w:w="9200" w:type="dxa"/>
            <w:vAlign w:val="bottom"/>
            <w:gridSpan w:val="2"/>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101.DEF</w:t>
            </w:r>
          </w:p>
        </w:tc>
        <w:tc>
          <w:tcPr>
            <w:tcW w:w="9200" w:type="dxa"/>
            <w:vAlign w:val="bottom"/>
            <w:gridSpan w:val="2"/>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101.LAB</w:t>
            </w:r>
          </w:p>
        </w:tc>
        <w:tc>
          <w:tcPr>
            <w:tcW w:w="9200" w:type="dxa"/>
            <w:vAlign w:val="bottom"/>
            <w:gridSpan w:val="2"/>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101.PRE</w:t>
            </w:r>
          </w:p>
        </w:tc>
        <w:tc>
          <w:tcPr>
            <w:tcW w:w="9200" w:type="dxa"/>
            <w:vAlign w:val="bottom"/>
            <w:gridSpan w:val="2"/>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7" w:lineRule="exact"/>
        <w:rPr>
          <w:sz w:val="20"/>
          <w:szCs w:val="20"/>
          <w:color w:val="auto"/>
        </w:rPr>
      </w:pPr>
    </w:p>
    <w:p>
      <w:pPr>
        <w:ind w:left="1440" w:right="340" w:hanging="922"/>
        <w:spacing w:after="0" w:line="252" w:lineRule="auto"/>
        <w:tabs>
          <w:tab w:leader="none" w:pos="14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June 30, 2023, has been formatted in Inline XBRL.</w:t>
      </w:r>
    </w:p>
    <w:p>
      <w:pPr>
        <w:spacing w:after="0" w:line="272"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Filed herewith</w:t>
      </w:r>
    </w:p>
    <w:p>
      <w:pPr>
        <w:spacing w:after="0" w:line="18" w:lineRule="exact"/>
        <w:rPr>
          <w:rFonts w:ascii="Arial" w:cs="Arial" w:eastAsia="Arial" w:hAnsi="Arial"/>
          <w:sz w:val="16"/>
          <w:szCs w:val="16"/>
          <w:color w:val="auto"/>
        </w:rPr>
      </w:pPr>
    </w:p>
    <w:p>
      <w:pPr>
        <w:ind w:left="1660" w:hanging="1259"/>
        <w:spacing w:after="0"/>
        <w:tabs>
          <w:tab w:leader="none" w:pos="16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-300355</wp:posOffset>
            </wp:positionV>
            <wp:extent cx="224091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40915" cy="7620"/>
                    </a:xfrm>
                    <a:prstGeom prst="rect">
                      <a:avLst/>
                    </a:prstGeom>
                    <a:noFill/>
                  </pic:spPr>
                </pic:pic>
              </a:graphicData>
            </a:graphic>
          </wp:anchor>
        </w:drawing>
      </w:r>
    </w:p>
    <w:p>
      <w:pPr>
        <w:ind w:left="1660" w:hanging="1259"/>
        <w:spacing w:after="0"/>
        <w:tabs>
          <w:tab w:leader="none" w:pos="1660" w:val="left"/>
        </w:tabs>
        <w:numPr>
          <w:ilvl w:val="0"/>
          <w:numId w:val="15"/>
        </w:numPr>
        <w:rPr>
          <w:rFonts w:ascii="Arial" w:cs="Arial" w:eastAsia="Arial" w:hAnsi="Arial"/>
          <w:sz w:val="16"/>
          <w:szCs w:val="16"/>
          <w:color w:val="auto"/>
        </w:rPr>
      </w:pPr>
      <w:r>
        <w:rPr>
          <w:rFonts w:ascii="Arial" w:cs="Arial" w:eastAsia="Arial" w:hAnsi="Arial"/>
          <w:sz w:val="14"/>
          <w:szCs w:val="14"/>
          <w:color w:val="auto"/>
        </w:rPr>
        <w:t>Indicates a management contract or compensation plan.</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164465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782" w:right="680"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SIGNATURES</w:t>
      </w:r>
    </w:p>
    <w:p>
      <w:pPr>
        <w:spacing w:after="0" w:line="364" w:lineRule="exact"/>
        <w:rPr>
          <w:sz w:val="20"/>
          <w:szCs w:val="20"/>
          <w:color w:val="auto"/>
        </w:rPr>
      </w:pPr>
    </w:p>
    <w:p>
      <w:pPr>
        <w:ind w:left="80" w:firstLine="432"/>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34" w:lineRule="exact"/>
        <w:rPr>
          <w:sz w:val="20"/>
          <w:szCs w:val="20"/>
          <w:color w:val="auto"/>
        </w:rPr>
      </w:pPr>
    </w:p>
    <w:p>
      <w:pPr>
        <w:ind w:left="5540"/>
        <w:spacing w:after="0"/>
        <w:rPr>
          <w:sz w:val="20"/>
          <w:szCs w:val="20"/>
          <w:color w:val="auto"/>
        </w:rPr>
      </w:pPr>
      <w:r>
        <w:rPr>
          <w:rFonts w:ascii="Arial" w:cs="Arial" w:eastAsia="Arial" w:hAnsi="Arial"/>
          <w:sz w:val="16"/>
          <w:szCs w:val="16"/>
          <w:u w:val="single" w:color="auto"/>
          <w:color w:val="auto"/>
        </w:rPr>
        <w:t>CVB FINANCIAL CORP.</w:t>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(Registrant)</w:t>
      </w:r>
    </w:p>
    <w:p>
      <w:pPr>
        <w:ind w:left="80"/>
        <w:spacing w:after="0"/>
        <w:rPr>
          <w:sz w:val="20"/>
          <w:szCs w:val="20"/>
          <w:color w:val="auto"/>
        </w:rPr>
      </w:pPr>
      <w:r>
        <w:rPr>
          <w:rFonts w:ascii="Arial" w:cs="Arial" w:eastAsia="Arial" w:hAnsi="Arial"/>
          <w:sz w:val="16"/>
          <w:szCs w:val="16"/>
          <w:color w:val="auto"/>
        </w:rPr>
        <w:t>Date: August 9, 2023</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6"/>
          <w:szCs w:val="16"/>
          <w:u w:val="single" w:color="auto"/>
          <w:color w:val="auto"/>
        </w:rPr>
        <w:t>/s/ E. Allen Nicholson</w:t>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E. Allen Nicholson</w:t>
      </w:r>
    </w:p>
    <w:p>
      <w:pPr>
        <w:ind w:left="5540"/>
        <w:spacing w:after="0" w:line="234" w:lineRule="auto"/>
        <w:rPr>
          <w:sz w:val="20"/>
          <w:szCs w:val="20"/>
          <w:color w:val="auto"/>
        </w:rPr>
      </w:pPr>
      <w:r>
        <w:rPr>
          <w:rFonts w:ascii="Arial" w:cs="Arial" w:eastAsia="Arial" w:hAnsi="Arial"/>
          <w:sz w:val="16"/>
          <w:szCs w:val="16"/>
          <w:color w:val="auto"/>
        </w:rPr>
        <w:t>Executive Vice President and Chief Financial Officer</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164465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580" w:top="782" w:right="860"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Exhibit 31.1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 David A. Brager, certify that: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1.I have reviewed this quarterly report on Form 10-Q of CVB Financial Corp.;</w:t>
      </w:r>
    </w:p>
    <w:p>
      <w:pPr>
        <w:spacing w:after="0" w:line="188" w:lineRule="exact"/>
        <w:rPr>
          <w:sz w:val="20"/>
          <w:szCs w:val="20"/>
          <w:color w:val="auto"/>
        </w:rPr>
      </w:pPr>
    </w:p>
    <w:p>
      <w:pPr>
        <w:jc w:val="both"/>
        <w:ind w:left="360" w:right="18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left="360" w:right="12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jc w:val="both"/>
        <w:ind w:left="360" w:right="260"/>
        <w:spacing w:after="0" w:line="243"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sz w:val="20"/>
          <w:szCs w:val="20"/>
          <w:color w:val="auto"/>
        </w:rPr>
      </w:pPr>
    </w:p>
    <w:p>
      <w:pPr>
        <w:ind w:left="1060" w:right="180"/>
        <w:spacing w:after="0" w:line="243"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sz w:val="20"/>
          <w:szCs w:val="20"/>
          <w:color w:val="auto"/>
        </w:rPr>
      </w:pPr>
    </w:p>
    <w:p>
      <w:pPr>
        <w:jc w:val="both"/>
        <w:ind w:left="1060" w:right="40"/>
        <w:spacing w:after="0" w:line="243"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sz w:val="20"/>
          <w:szCs w:val="20"/>
          <w:color w:val="auto"/>
        </w:rPr>
      </w:pPr>
    </w:p>
    <w:p>
      <w:pPr>
        <w:ind w:left="1060"/>
        <w:spacing w:after="0" w:line="322" w:lineRule="auto"/>
        <w:rPr>
          <w:sz w:val="20"/>
          <w:szCs w:val="20"/>
          <w:color w:val="auto"/>
        </w:rPr>
      </w:pPr>
      <w:r>
        <w:rPr>
          <w:rFonts w:ascii="Arial" w:cs="Arial" w:eastAsia="Arial" w:hAnsi="Arial"/>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sz w:val="20"/>
          <w:szCs w:val="20"/>
          <w:color w:val="auto"/>
        </w:rPr>
      </w:pPr>
    </w:p>
    <w:p>
      <w:pPr>
        <w:ind w:left="1060" w:right="140"/>
        <w:spacing w:after="0" w:line="243"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sz w:val="20"/>
          <w:szCs w:val="20"/>
          <w:color w:val="auto"/>
        </w:rPr>
      </w:pPr>
    </w:p>
    <w:p>
      <w:pPr>
        <w:ind w:left="1060" w:right="420"/>
        <w:spacing w:after="0" w:line="322" w:lineRule="auto"/>
        <w:rPr>
          <w:sz w:val="20"/>
          <w:szCs w:val="20"/>
          <w:color w:val="auto"/>
        </w:rPr>
      </w:pPr>
      <w:r>
        <w:rPr>
          <w:rFonts w:ascii="Arial" w:cs="Arial" w:eastAsia="Arial" w:hAnsi="Arial"/>
          <w:sz w:val="14"/>
          <w:szCs w:val="14"/>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sz w:val="20"/>
          <w:szCs w:val="20"/>
          <w:color w:val="auto"/>
        </w:rPr>
      </w:pPr>
    </w:p>
    <w:p>
      <w:pPr>
        <w:ind w:left="1060" w:right="60"/>
        <w:spacing w:after="0" w:line="252"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p>
      <w:pPr>
        <w:ind w:left="640" w:right="2880" w:hanging="6361"/>
        <w:spacing w:after="0" w:line="249" w:lineRule="auto"/>
        <w:tabs>
          <w:tab w:leader="none" w:pos="620" w:val="left"/>
        </w:tabs>
        <w:rPr>
          <w:sz w:val="20"/>
          <w:szCs w:val="20"/>
          <w:color w:val="auto"/>
        </w:rPr>
      </w:pPr>
      <w:r>
        <w:rPr>
          <w:rFonts w:ascii="Arial" w:cs="Arial" w:eastAsia="Arial" w:hAnsi="Arial"/>
          <w:sz w:val="16"/>
          <w:szCs w:val="16"/>
          <w:color w:val="auto"/>
        </w:rPr>
        <w:t>Date:</w:t>
        <w:tab/>
        <w:t xml:space="preserve">August 9, 2023 By: </w:t>
      </w:r>
      <w:r>
        <w:rPr>
          <w:rFonts w:ascii="Arial" w:cs="Arial" w:eastAsia="Arial" w:hAnsi="Arial"/>
          <w:sz w:val="16"/>
          <w:szCs w:val="16"/>
          <w:u w:val="single" w:color="auto"/>
          <w:color w:val="auto"/>
        </w:rPr>
        <w:t>/s/ David A. Brager</w:t>
      </w:r>
      <w:r>
        <w:rPr>
          <w:rFonts w:ascii="Arial" w:cs="Arial" w:eastAsia="Arial" w:hAnsi="Arial"/>
          <w:sz w:val="16"/>
          <w:szCs w:val="16"/>
          <w:color w:val="auto"/>
        </w:rPr>
        <w:t xml:space="preserve"> David A. Brager</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Exhibit 31.2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 E. Allen Nicholson, certify that: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1.I have reviewed this quarterly report on Form 10-Q of CVB Financial Corp.;</w:t>
      </w:r>
    </w:p>
    <w:p>
      <w:pPr>
        <w:spacing w:after="0" w:line="188" w:lineRule="exact"/>
        <w:rPr>
          <w:sz w:val="20"/>
          <w:szCs w:val="20"/>
          <w:color w:val="auto"/>
        </w:rPr>
      </w:pPr>
    </w:p>
    <w:p>
      <w:pPr>
        <w:jc w:val="both"/>
        <w:ind w:left="360" w:right="18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left="360" w:right="12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jc w:val="both"/>
        <w:ind w:left="360" w:right="260"/>
        <w:spacing w:after="0" w:line="243"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sz w:val="20"/>
          <w:szCs w:val="20"/>
          <w:color w:val="auto"/>
        </w:rPr>
      </w:pPr>
    </w:p>
    <w:p>
      <w:pPr>
        <w:ind w:left="1060" w:right="180"/>
        <w:spacing w:after="0" w:line="243"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sz w:val="20"/>
          <w:szCs w:val="20"/>
          <w:color w:val="auto"/>
        </w:rPr>
      </w:pPr>
    </w:p>
    <w:p>
      <w:pPr>
        <w:jc w:val="both"/>
        <w:ind w:left="1060" w:right="40"/>
        <w:spacing w:after="0" w:line="243"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sz w:val="20"/>
          <w:szCs w:val="20"/>
          <w:color w:val="auto"/>
        </w:rPr>
      </w:pPr>
    </w:p>
    <w:p>
      <w:pPr>
        <w:ind w:left="1060"/>
        <w:spacing w:after="0" w:line="322" w:lineRule="auto"/>
        <w:rPr>
          <w:sz w:val="20"/>
          <w:szCs w:val="20"/>
          <w:color w:val="auto"/>
        </w:rPr>
      </w:pPr>
      <w:r>
        <w:rPr>
          <w:rFonts w:ascii="Arial" w:cs="Arial" w:eastAsia="Arial" w:hAnsi="Arial"/>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sz w:val="20"/>
          <w:szCs w:val="20"/>
          <w:color w:val="auto"/>
        </w:rPr>
      </w:pPr>
    </w:p>
    <w:p>
      <w:pPr>
        <w:ind w:left="1060" w:right="140"/>
        <w:spacing w:after="0" w:line="243"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060" w:right="420"/>
        <w:spacing w:after="0" w:line="322" w:lineRule="auto"/>
        <w:rPr>
          <w:sz w:val="20"/>
          <w:szCs w:val="20"/>
          <w:color w:val="auto"/>
        </w:rPr>
      </w:pPr>
      <w:r>
        <w:rPr>
          <w:rFonts w:ascii="Arial" w:cs="Arial" w:eastAsia="Arial" w:hAnsi="Arial"/>
          <w:sz w:val="14"/>
          <w:szCs w:val="14"/>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sz w:val="20"/>
          <w:szCs w:val="20"/>
          <w:color w:val="auto"/>
        </w:rPr>
      </w:pPr>
    </w:p>
    <w:p>
      <w:pPr>
        <w:ind w:left="1060" w:right="60"/>
        <w:spacing w:after="0" w:line="252"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620" w:val="left"/>
          <w:tab w:leader="none" w:pos="5840" w:val="left"/>
          <w:tab w:leader="none" w:pos="6360" w:val="left"/>
        </w:tabs>
        <w:rPr>
          <w:sz w:val="20"/>
          <w:szCs w:val="20"/>
          <w:color w:val="auto"/>
        </w:rPr>
      </w:pPr>
      <w:r>
        <w:rPr>
          <w:rFonts w:ascii="Arial" w:cs="Arial" w:eastAsia="Arial" w:hAnsi="Arial"/>
          <w:sz w:val="16"/>
          <w:szCs w:val="16"/>
          <w:color w:val="auto"/>
        </w:rPr>
        <w:t>Date:</w:t>
        <w:tab/>
        <w:t>August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/s/ E. Allen Nicholson</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E. Allen Nicholson</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Exhibit 32.1</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18 U.S.C. SECTION 1350,</w:t>
      </w:r>
    </w:p>
    <w:p>
      <w:pPr>
        <w:spacing w:after="0" w:line="234"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w:t>
      </w:r>
    </w:p>
    <w:p>
      <w:pPr>
        <w:spacing w:after="0" w:line="166" w:lineRule="exact"/>
        <w:rPr>
          <w:sz w:val="20"/>
          <w:szCs w:val="20"/>
          <w:color w:val="auto"/>
        </w:rPr>
      </w:pPr>
    </w:p>
    <w:p>
      <w:pPr>
        <w:ind w:firstLine="348"/>
        <w:spacing w:after="0" w:line="243" w:lineRule="auto"/>
        <w:rPr>
          <w:sz w:val="20"/>
          <w:szCs w:val="20"/>
          <w:color w:val="auto"/>
        </w:rPr>
      </w:pPr>
      <w:r>
        <w:rPr>
          <w:rFonts w:ascii="Arial" w:cs="Arial" w:eastAsia="Arial" w:hAnsi="Arial"/>
          <w:sz w:val="16"/>
          <w:szCs w:val="16"/>
          <w:color w:val="auto"/>
        </w:rPr>
        <w:t>In connection with the Quarterly Report of CVB Financial Corp. (the “Company”) on Form 10 -Q for the period ended June 30, 2023,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5" w:lineRule="exact"/>
        <w:rPr>
          <w:sz w:val="20"/>
          <w:szCs w:val="20"/>
          <w:color w:val="auto"/>
        </w:rPr>
      </w:pPr>
    </w:p>
    <w:p>
      <w:pPr>
        <w:ind w:left="640" w:right="2820" w:hanging="6361"/>
        <w:spacing w:after="0" w:line="249" w:lineRule="auto"/>
        <w:tabs>
          <w:tab w:leader="none" w:pos="620" w:val="left"/>
        </w:tabs>
        <w:rPr>
          <w:sz w:val="20"/>
          <w:szCs w:val="20"/>
          <w:color w:val="auto"/>
        </w:rPr>
      </w:pPr>
      <w:r>
        <w:rPr>
          <w:rFonts w:ascii="Arial" w:cs="Arial" w:eastAsia="Arial" w:hAnsi="Arial"/>
          <w:sz w:val="16"/>
          <w:szCs w:val="16"/>
          <w:color w:val="auto"/>
        </w:rPr>
        <w:t>Date:</w:t>
        <w:tab/>
        <w:t xml:space="preserve">August 9, 2023 By: </w:t>
      </w:r>
      <w:r>
        <w:rPr>
          <w:rFonts w:ascii="Arial" w:cs="Arial" w:eastAsia="Arial" w:hAnsi="Arial"/>
          <w:sz w:val="16"/>
          <w:szCs w:val="16"/>
          <w:u w:val="single" w:color="auto"/>
          <w:color w:val="auto"/>
        </w:rPr>
        <w:t>/s/ David A. Brager</w:t>
      </w:r>
      <w:r>
        <w:rPr>
          <w:rFonts w:ascii="Arial" w:cs="Arial" w:eastAsia="Arial" w:hAnsi="Arial"/>
          <w:sz w:val="16"/>
          <w:szCs w:val="16"/>
          <w:color w:val="auto"/>
        </w:rPr>
        <w:t xml:space="preserve"> David A. Brager</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734" w:right="740"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Exhibit 32.2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18 U.S.C. SECTION 1350,</w:t>
      </w:r>
    </w:p>
    <w:p>
      <w:pPr>
        <w:spacing w:after="0" w:line="234"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w:t>
      </w:r>
    </w:p>
    <w:p>
      <w:pPr>
        <w:spacing w:after="0" w:line="166" w:lineRule="exact"/>
        <w:rPr>
          <w:sz w:val="20"/>
          <w:szCs w:val="20"/>
          <w:color w:val="auto"/>
        </w:rPr>
      </w:pPr>
    </w:p>
    <w:p>
      <w:pPr>
        <w:jc w:val="both"/>
        <w:ind w:firstLine="348"/>
        <w:spacing w:after="0" w:line="243" w:lineRule="auto"/>
        <w:rPr>
          <w:sz w:val="20"/>
          <w:szCs w:val="20"/>
          <w:color w:val="auto"/>
        </w:rPr>
      </w:pPr>
      <w:r>
        <w:rPr>
          <w:rFonts w:ascii="Arial" w:cs="Arial" w:eastAsia="Arial" w:hAnsi="Arial"/>
          <w:sz w:val="16"/>
          <w:szCs w:val="16"/>
          <w:color w:val="auto"/>
        </w:rPr>
        <w:t>In connection with the Quarterly Report of CVB Financial Corp. (the “Company”) on Form 10-Q for the period ended June 30, 2023,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20" w:val="left"/>
          <w:tab w:leader="none" w:pos="5840" w:val="left"/>
          <w:tab w:leader="none" w:pos="6360" w:val="left"/>
        </w:tabs>
        <w:rPr>
          <w:sz w:val="20"/>
          <w:szCs w:val="20"/>
          <w:color w:val="auto"/>
        </w:rPr>
      </w:pPr>
      <w:r>
        <w:rPr>
          <w:rFonts w:ascii="Arial" w:cs="Arial" w:eastAsia="Arial" w:hAnsi="Arial"/>
          <w:sz w:val="16"/>
          <w:szCs w:val="16"/>
          <w:color w:val="auto"/>
        </w:rPr>
        <w:t>Date:</w:t>
        <w:tab/>
        <w:t>August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/s/ E. Allen Nicholson</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E. Allen Nicholson</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83" w:name="page84"/>
    <w:bookmarkEnd w:id="8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decimal"/>
      <w:start w:val="8"/>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decimal"/>
      <w:start w:val="10"/>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lvl w:ilvl="1">
      <w:lvlJc w:val="left"/>
      <w:lvlText w:val="%2"/>
      <w:numFmt w:val="decimal"/>
      <w:start w:val="104"/>
    </w:lvl>
  </w:abstractNum>
  <w:abstractNum w:abstractNumId="13">
    <w:nsid w:val="7FDCC233"/>
    <w:multiLevelType w:val="hybridMultilevel"/>
    <w:lvl w:ilvl="0">
      <w:lvlJc w:val="left"/>
      <w:lvlText w:val="**"/>
      <w:numFmt w:val="bullet"/>
      <w:start w:val="1"/>
    </w:lvl>
    <w:lvl w:ilvl="1">
      <w:lvlJc w:val="left"/>
      <w:lvlText w:val="%2"/>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2023-08-09T11:42:25Z</dcterms:created>
  <dcterms:modified xsi:type="dcterms:W3CDTF">2023-08-09T11:42:25Z</dcterms:modified>
</cp:coreProperties>
</file>