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(Mark One)</w:t>
      </w:r>
    </w:p>
    <w:p>
      <w:pPr>
        <w:spacing w:after="0" w:line="10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quarterly period ended March 31, 2024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38" w:lineRule="exact"/>
        <w:rPr>
          <w:sz w:val="24"/>
          <w:szCs w:val="24"/>
          <w:color w:val="auto"/>
        </w:rPr>
      </w:pPr>
    </w:p>
    <w:p>
      <w:pPr>
        <w:ind w:left="3480" w:right="2780" w:hanging="3472"/>
        <w:spacing w:after="0" w:line="271" w:lineRule="auto"/>
        <w:tabs>
          <w:tab w:leader="none" w:pos="232"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 to _____</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auto"/>
              </w:rPr>
              <w:t>Commission File Number: 000-10140</w:t>
            </w:r>
          </w:p>
        </w:tc>
        <w:tc>
          <w:tcPr>
            <w:tcW w:w="4120" w:type="dxa"/>
            <w:vAlign w:val="bottom"/>
          </w:tcPr>
          <w:p>
            <w:pPr>
              <w:spacing w:after="0"/>
              <w:rPr>
                <w:sz w:val="16"/>
                <w:szCs w:val="16"/>
                <w:color w:val="auto"/>
              </w:rPr>
            </w:pPr>
          </w:p>
        </w:tc>
      </w:tr>
      <w:tr>
        <w:trPr>
          <w:trHeight w:val="481"/>
        </w:trPr>
        <w:tc>
          <w:tcPr>
            <w:tcW w:w="3360" w:type="dxa"/>
            <w:vAlign w:val="bottom"/>
          </w:tcPr>
          <w:p>
            <w:pPr>
              <w:spacing w:after="0"/>
              <w:rPr>
                <w:sz w:val="24"/>
                <w:szCs w:val="24"/>
                <w:color w:val="auto"/>
              </w:rPr>
            </w:pPr>
          </w:p>
        </w:tc>
        <w:tc>
          <w:tcPr>
            <w:tcW w:w="7880" w:type="dxa"/>
            <w:vAlign w:val="bottom"/>
            <w:gridSpan w:val="4"/>
          </w:tcPr>
          <w:p>
            <w:pPr>
              <w:jc w:val="center"/>
              <w:ind w:right="3259"/>
              <w:spacing w:after="0"/>
              <w:rPr>
                <w:sz w:val="20"/>
                <w:szCs w:val="20"/>
                <w:color w:val="auto"/>
              </w:rPr>
            </w:pPr>
            <w:r>
              <w:rPr>
                <w:rFonts w:ascii="Times New Roman" w:cs="Times New Roman" w:eastAsia="Times New Roman" w:hAnsi="Times New Roman"/>
                <w:sz w:val="40"/>
                <w:szCs w:val="40"/>
                <w:b w:val="1"/>
                <w:bCs w:val="1"/>
                <w:color w:val="auto"/>
                <w:w w:val="98"/>
              </w:rPr>
              <w:t>CVB FINANCIAL CORP.</w:t>
            </w:r>
          </w:p>
        </w:tc>
      </w:tr>
      <w:tr>
        <w:trPr>
          <w:trHeight w:val="234"/>
        </w:trPr>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3"/>
          </w:tcPr>
          <w:p>
            <w:pPr>
              <w:jc w:val="center"/>
              <w:ind w:right="36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3"/>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w w:val="99"/>
              </w:rPr>
              <w:t>California</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rPr>
              <w:t>95-3629339</w:t>
            </w:r>
          </w:p>
        </w:tc>
      </w:tr>
      <w:tr>
        <w:trPr>
          <w:trHeight w:val="222"/>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59"/>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701 North Haven Ave., Suite 350</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29"/>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Ontario, California</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right"/>
              <w:ind w:right="1719"/>
              <w:spacing w:after="0"/>
              <w:rPr>
                <w:sz w:val="20"/>
                <w:szCs w:val="20"/>
                <w:color w:val="auto"/>
              </w:rPr>
            </w:pPr>
            <w:r>
              <w:rPr>
                <w:rFonts w:ascii="Times New Roman" w:cs="Times New Roman" w:eastAsia="Times New Roman" w:hAnsi="Times New Roman"/>
                <w:sz w:val="16"/>
                <w:szCs w:val="16"/>
                <w:b w:val="1"/>
                <w:bCs w:val="1"/>
                <w:color w:val="auto"/>
              </w:rPr>
              <w:t>91764</w:t>
            </w:r>
          </w:p>
        </w:tc>
      </w:tr>
      <w:tr>
        <w:trPr>
          <w:trHeight w:val="230"/>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459"/>
        </w:trPr>
        <w:tc>
          <w:tcPr>
            <w:tcW w:w="3360" w:type="dxa"/>
            <w:vAlign w:val="bottom"/>
          </w:tcPr>
          <w:p>
            <w:pPr>
              <w:spacing w:after="0"/>
              <w:rPr>
                <w:sz w:val="24"/>
                <w:szCs w:val="24"/>
                <w:color w:val="auto"/>
              </w:rPr>
            </w:pPr>
          </w:p>
        </w:tc>
        <w:tc>
          <w:tcPr>
            <w:tcW w:w="3080" w:type="dxa"/>
            <w:vAlign w:val="bottom"/>
            <w:gridSpan w:val="2"/>
          </w:tcPr>
          <w:p>
            <w:pPr>
              <w:jc w:val="center"/>
              <w:ind w:left="1321"/>
              <w:spacing w:after="0"/>
              <w:rPr>
                <w:sz w:val="20"/>
                <w:szCs w:val="20"/>
                <w:color w:val="auto"/>
              </w:rPr>
            </w:pPr>
            <w:r>
              <w:rPr>
                <w:rFonts w:ascii="Times New Roman" w:cs="Times New Roman" w:eastAsia="Times New Roman" w:hAnsi="Times New Roman"/>
                <w:sz w:val="16"/>
                <w:szCs w:val="16"/>
                <w:b w:val="1"/>
                <w:bCs w:val="1"/>
                <w:color w:val="auto"/>
              </w:rPr>
              <w:t>(909) 980-4030</w:t>
            </w: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22"/>
        </w:trPr>
        <w:tc>
          <w:tcPr>
            <w:tcW w:w="3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60" w:type="dxa"/>
            <w:vAlign w:val="bottom"/>
            <w:gridSpan w:val="2"/>
          </w:tcPr>
          <w:p>
            <w:pPr>
              <w:jc w:val="center"/>
              <w:ind w:left="298"/>
              <w:spacing w:after="0"/>
              <w:rPr>
                <w:sz w:val="20"/>
                <w:szCs w:val="20"/>
                <w:color w:val="auto"/>
              </w:rPr>
            </w:pPr>
            <w:r>
              <w:rPr>
                <w:rFonts w:ascii="Times New Roman" w:cs="Times New Roman" w:eastAsia="Times New Roman" w:hAnsi="Times New Roman"/>
                <w:sz w:val="16"/>
                <w:szCs w:val="16"/>
                <w:color w:val="auto"/>
              </w:rPr>
              <w:t>(Registrant's telephone number,</w:t>
            </w:r>
          </w:p>
        </w:tc>
        <w:tc>
          <w:tcPr>
            <w:tcW w:w="4120" w:type="dxa"/>
            <w:vAlign w:val="bottom"/>
          </w:tcPr>
          <w:p>
            <w:pPr>
              <w:spacing w:after="0"/>
              <w:rPr>
                <w:sz w:val="19"/>
                <w:szCs w:val="19"/>
                <w:color w:val="auto"/>
              </w:rPr>
            </w:pPr>
          </w:p>
        </w:tc>
      </w:tr>
      <w:tr>
        <w:trPr>
          <w:trHeight w:val="210"/>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60" w:type="dxa"/>
            <w:vAlign w:val="bottom"/>
            <w:gridSpan w:val="2"/>
          </w:tcPr>
          <w:p>
            <w:pPr>
              <w:jc w:val="center"/>
              <w:ind w:left="298"/>
              <w:spacing w:after="0"/>
              <w:rPr>
                <w:sz w:val="20"/>
                <w:szCs w:val="20"/>
                <w:color w:val="auto"/>
              </w:rPr>
            </w:pPr>
            <w:r>
              <w:rPr>
                <w:rFonts w:ascii="Times New Roman" w:cs="Times New Roman" w:eastAsia="Times New Roman" w:hAnsi="Times New Roman"/>
                <w:sz w:val="16"/>
                <w:szCs w:val="16"/>
                <w:color w:val="auto"/>
              </w:rPr>
              <w:t>including area code)</w:t>
            </w:r>
          </w:p>
        </w:tc>
        <w:tc>
          <w:tcPr>
            <w:tcW w:w="4120" w:type="dxa"/>
            <w:vAlign w:val="bottom"/>
          </w:tcPr>
          <w:p>
            <w:pPr>
              <w:spacing w:after="0"/>
              <w:rPr>
                <w:sz w:val="18"/>
                <w:szCs w:val="18"/>
                <w:color w:val="auto"/>
              </w:rPr>
            </w:pPr>
          </w:p>
        </w:tc>
      </w:tr>
      <w:tr>
        <w:trPr>
          <w:trHeight w:val="440"/>
        </w:trPr>
        <w:tc>
          <w:tcPr>
            <w:tcW w:w="7120" w:type="dxa"/>
            <w:vAlign w:val="bottom"/>
            <w:tcBorders>
              <w:bottom w:val="single" w:sz="8" w:color="auto"/>
            </w:tcBorders>
            <w:gridSpan w:val="4"/>
          </w:tcPr>
          <w:p>
            <w:pPr>
              <w:jc w:val="center"/>
              <w:ind w:right="3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120" w:type="dxa"/>
            <w:vAlign w:val="bottom"/>
            <w:tcBorders>
              <w:bottom w:val="single" w:sz="8" w:color="auto"/>
            </w:tcBorders>
          </w:tcPr>
          <w:p>
            <w:pPr>
              <w:spacing w:after="0"/>
              <w:rPr>
                <w:sz w:val="24"/>
                <w:szCs w:val="24"/>
                <w:color w:val="auto"/>
              </w:rPr>
            </w:pPr>
          </w:p>
        </w:tc>
      </w:tr>
      <w:tr>
        <w:trPr>
          <w:trHeight w:val="221"/>
        </w:trPr>
        <w:tc>
          <w:tcPr>
            <w:tcW w:w="3360" w:type="dxa"/>
            <w:vAlign w:val="bottom"/>
            <w:tcBorders>
              <w:left w:val="single" w:sz="8" w:color="auto"/>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40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680" w:type="dxa"/>
            <w:vAlign w:val="bottom"/>
            <w:tcBorders>
              <w:bottom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jc w:val="center"/>
              <w:ind w:right="61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3360" w:type="dxa"/>
            <w:vAlign w:val="bottom"/>
            <w:tcBorders>
              <w:left w:val="single" w:sz="8" w:color="auto"/>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CVBF</w:t>
            </w:r>
          </w:p>
        </w:tc>
        <w:tc>
          <w:tcPr>
            <w:tcW w:w="68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jc w:val="center"/>
              <w:ind w:right="619"/>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9"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161" w:lineRule="exact"/>
        <w:rPr>
          <w:sz w:val="24"/>
          <w:szCs w:val="24"/>
          <w:color w:val="auto"/>
        </w:rPr>
      </w:pPr>
    </w:p>
    <w:p>
      <w:pPr>
        <w:jc w:val="both"/>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pacing w:after="0" w:line="335"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182"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of the registrant: 139,639,680 outstanding as of April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12"/>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 –</w:t>
            </w:r>
          </w:p>
        </w:tc>
        <w:tc>
          <w:tcPr>
            <w:tcW w:w="3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FINANCIAL INFORMATION (UNAUDITED)</w:t>
            </w:r>
          </w:p>
        </w:tc>
        <w:tc>
          <w:tcPr>
            <w:tcW w:w="20" w:type="dxa"/>
            <w:vAlign w:val="bottom"/>
            <w:tcBorders>
              <w:bottom w:val="single" w:sz="8" w:color="0000EE"/>
            </w:tcBorders>
          </w:tcPr>
          <w:p>
            <w:pPr>
              <w:spacing w:after="0"/>
              <w:rPr>
                <w:sz w:val="24"/>
                <w:szCs w:val="24"/>
                <w:color w:val="auto"/>
              </w:rPr>
            </w:pPr>
          </w:p>
        </w:tc>
        <w:tc>
          <w:tcPr>
            <w:tcW w:w="568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7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CONDENSED CONSOLIDATED FINANCIAL STATEMENTS</w:t>
            </w:r>
          </w:p>
        </w:tc>
        <w:tc>
          <w:tcPr>
            <w:tcW w:w="20" w:type="dxa"/>
            <w:vAlign w:val="bottom"/>
            <w:tcBorders>
              <w:bottom w:val="single" w:sz="8" w:color="0000EE"/>
            </w:tcBorders>
          </w:tcPr>
          <w:p>
            <w:pPr>
              <w:spacing w:after="0"/>
              <w:rPr>
                <w:sz w:val="18"/>
                <w:szCs w:val="18"/>
                <w:color w:val="auto"/>
              </w:rPr>
            </w:pPr>
          </w:p>
        </w:tc>
        <w:tc>
          <w:tcPr>
            <w:tcW w:w="446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8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CRITICAL ACCOUNTING POLICIES</w:t>
            </w:r>
          </w:p>
        </w:tc>
        <w:tc>
          <w:tcPr>
            <w:tcW w:w="628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OVERVIEW</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ANALYSIS OF THE RESULTS OF OPERATIONS</w:t>
            </w:r>
          </w:p>
        </w:tc>
        <w:tc>
          <w:tcPr>
            <w:tcW w:w="5400" w:type="dxa"/>
            <w:vAlign w:val="bottom"/>
            <w:gridSpan w:val="8"/>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ANALYSIS OF FINANCIAL CONDITION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ASSET/LIABILITY AND MARKET RISK MANAGEMENT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4"/>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61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3040" w:type="dxa"/>
            <w:vAlign w:val="bottom"/>
            <w:gridSpan w:val="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 –</w:t>
            </w:r>
          </w:p>
        </w:tc>
        <w:tc>
          <w:tcPr>
            <w:tcW w:w="1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00" w:type="dxa"/>
            <w:vAlign w:val="bottom"/>
            <w:tcBorders>
              <w:top w:val="single" w:sz="8" w:color="0000FF"/>
            </w:tcBorders>
            <w:gridSpan w:val="2"/>
          </w:tcPr>
          <w:p>
            <w:pPr>
              <w:spacing w:after="0"/>
              <w:rPr>
                <w:sz w:val="18"/>
                <w:szCs w:val="18"/>
                <w:color w:val="auto"/>
              </w:rPr>
            </w:pPr>
          </w:p>
        </w:tc>
        <w:tc>
          <w:tcPr>
            <w:tcW w:w="6580" w:type="dxa"/>
            <w:vAlign w:val="bottom"/>
            <w:gridSpan w:val="13"/>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LEGAL PROCEEDINGS</w:t>
            </w:r>
          </w:p>
        </w:tc>
        <w:tc>
          <w:tcPr>
            <w:tcW w:w="7300" w:type="dxa"/>
            <w:vAlign w:val="bottom"/>
            <w:gridSpan w:val="16"/>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60" w:type="dxa"/>
            <w:vAlign w:val="bottom"/>
            <w:gridSpan w:val="8"/>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0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120" w:type="dxa"/>
            <w:vAlign w:val="bottom"/>
            <w:gridSpan w:val="3"/>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32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980" w:type="dxa"/>
            <w:vAlign w:val="bottom"/>
            <w:gridSpan w:val="11"/>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9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540" w:type="dxa"/>
            <w:vAlign w:val="bottom"/>
            <w:tcBorders>
              <w:top w:val="single" w:sz="8" w:color="0000FF"/>
            </w:tcBorders>
          </w:tcPr>
          <w:p>
            <w:pPr>
              <w:spacing w:after="0"/>
              <w:rPr>
                <w:sz w:val="18"/>
                <w:szCs w:val="18"/>
                <w:color w:val="auto"/>
              </w:rPr>
            </w:pPr>
          </w:p>
        </w:tc>
        <w:tc>
          <w:tcPr>
            <w:tcW w:w="6740" w:type="dxa"/>
            <w:vAlign w:val="bottom"/>
            <w:gridSpan w:val="1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9"/>
        </w:trPr>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2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4540" w:type="dxa"/>
            <w:vAlign w:val="bottom"/>
            <w:gridSpan w:val="13"/>
          </w:tcPr>
          <w:p>
            <w:pPr>
              <w:ind w:left="39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PART I –</w:t>
      </w:r>
      <w:r>
        <w:rPr>
          <w:sz w:val="20"/>
          <w:szCs w:val="20"/>
          <w:color w:val="auto"/>
        </w:rPr>
        <w:tab/>
      </w:r>
      <w:r>
        <w:rPr>
          <w:rFonts w:ascii="Times New Roman" w:cs="Times New Roman" w:eastAsia="Times New Roman" w:hAnsi="Times New Roman"/>
          <w:sz w:val="17"/>
          <w:szCs w:val="17"/>
          <w:b w:val="1"/>
          <w:bCs w:val="1"/>
          <w:color w:val="auto"/>
        </w:rPr>
        <w:t>FINANCIAL INFORMATION (UNAUDITED)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14" w:lineRule="exact"/>
        <w:rPr>
          <w:sz w:val="20"/>
          <w:szCs w:val="20"/>
          <w:color w:val="auto"/>
        </w:rPr>
      </w:pPr>
    </w:p>
    <w:p>
      <w:pPr>
        <w:ind w:right="60" w:firstLine="469"/>
        <w:spacing w:after="0" w:line="252" w:lineRule="auto"/>
        <w:rPr>
          <w:sz w:val="20"/>
          <w:szCs w:val="20"/>
          <w:color w:val="auto"/>
        </w:rPr>
      </w:pPr>
      <w:r>
        <w:rPr>
          <w:rFonts w:ascii="Times New Roman" w:cs="Times New Roman" w:eastAsia="Times New Roman" w:hAnsi="Times New Roman"/>
          <w:sz w:val="17"/>
          <w:szCs w:val="17"/>
          <w:i w:val="1"/>
          <w:iCs w:val="1"/>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growth and retention, yields and returns, loan diversification and credit management, stockholder value creation, tax rates, the impact of economic developments, and the impact of acquisitions we have made or may make.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172" w:lineRule="exact"/>
        <w:rPr>
          <w:sz w:val="20"/>
          <w:szCs w:val="20"/>
          <w:color w:val="auto"/>
        </w:rPr>
      </w:pPr>
    </w:p>
    <w:p>
      <w:pPr>
        <w:ind w:firstLine="469"/>
        <w:spacing w:after="0" w:line="250" w:lineRule="auto"/>
        <w:rPr>
          <w:sz w:val="20"/>
          <w:szCs w:val="20"/>
          <w:color w:val="auto"/>
        </w:rPr>
      </w:pPr>
      <w:r>
        <w:rPr>
          <w:rFonts w:ascii="Times New Roman" w:cs="Times New Roman" w:eastAsia="Times New Roman" w:hAnsi="Times New Roman"/>
          <w:sz w:val="17"/>
          <w:szCs w:val="17"/>
          <w:i w:val="1"/>
          <w:iCs w:val="1"/>
          <w:color w:val="auto"/>
        </w:rPr>
        <w:t>General risks and uncertainties include, but are not limited to, the following: the strength of the United States economy in general and the strength of the local economies in which we conduct business; the effects of, and changes in, trade, 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 acquisition target, customers and key personnel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and insurance, and the application thereof by regulatory bodies; the effectiveness of our risk management framework and quantitative models; changes in the levels of our nonperforming assets and charge-offs;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spending, borrowing, and savings habits; the effects of our lack of a diversified loan portfolio, including the risks of geographic and industry concentrations; periodic fluctuations in commercial or residential real estate prices or values; our ability to attract and retain deposits or to access government or private lending facilities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the economic and business environments in which we operate, including on our credit quality, business operations and employees, as well as the impact on general economic and financial market conditions; cybersecurity and fraud threats and the cost of defending against them, including the costs of compliance with potential legislation to combat cybersecurity and fraud threats at a state, national, or global level; our ability to recruit and retain key executives, board members and other employees, and changes in employment laws and regulations; unanticipated regulatory or legal proceedings or outcomes; and our ability to manage the risks involved in the foregoing.</w:t>
      </w:r>
    </w:p>
    <w:p>
      <w:pPr>
        <w:spacing w:after="0" w:line="175" w:lineRule="exact"/>
        <w:rPr>
          <w:sz w:val="20"/>
          <w:szCs w:val="20"/>
          <w:color w:val="auto"/>
        </w:rPr>
      </w:pPr>
    </w:p>
    <w:p>
      <w:pPr>
        <w:ind w:right="40" w:firstLine="469"/>
        <w:spacing w:after="0" w:line="286" w:lineRule="auto"/>
        <w:rPr>
          <w:sz w:val="20"/>
          <w:szCs w:val="20"/>
          <w:color w:val="auto"/>
        </w:rPr>
      </w:pPr>
      <w:r>
        <w:rPr>
          <w:rFonts w:ascii="Times New Roman" w:cs="Times New Roman" w:eastAsia="Times New Roman" w:hAnsi="Times New Roman"/>
          <w:sz w:val="17"/>
          <w:szCs w:val="17"/>
          <w:i w:val="1"/>
          <w:iCs w:val="1"/>
          <w:color w:val="auto"/>
        </w:rPr>
        <w:t>Additional factors that could cause actual results to differ materially from those expressed in the forward-looking statements are discussed in the Company's 2023 Annual Report on Form 10-K filed with the SEC and available at the SEC’s Internet site (http://www.sec.gov).</w:t>
      </w:r>
    </w:p>
    <w:p>
      <w:pPr>
        <w:spacing w:after="0" w:line="142" w:lineRule="exact"/>
        <w:rPr>
          <w:sz w:val="20"/>
          <w:szCs w:val="20"/>
          <w:color w:val="auto"/>
        </w:rPr>
      </w:pPr>
    </w:p>
    <w:p>
      <w:pPr>
        <w:ind w:right="300" w:firstLine="469"/>
        <w:spacing w:after="0" w:line="274" w:lineRule="auto"/>
        <w:rPr>
          <w:sz w:val="20"/>
          <w:szCs w:val="20"/>
          <w:color w:val="auto"/>
        </w:rPr>
      </w:pPr>
      <w:r>
        <w:rPr>
          <w:rFonts w:ascii="Times New Roman" w:cs="Times New Roman" w:eastAsia="Times New Roman" w:hAnsi="Times New Roman"/>
          <w:sz w:val="16"/>
          <w:szCs w:val="16"/>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 except share amounts)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7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due from banks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131,955</w:t>
            </w:r>
          </w:p>
        </w:tc>
        <w:tc>
          <w:tcPr>
            <w:tcW w:w="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 Federal Reserve</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817,634</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949,589</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 depository institutions</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 at fair value (with amortized cost of</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$3,333,603 at March 31, 2024, and $3,398,942 at December 31, 2023)</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2,837,100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 (with fair value of $2,044,031 at March 31, 2024, and</w:t>
            </w:r>
          </w:p>
        </w:tc>
        <w:tc>
          <w:tcPr>
            <w:tcW w:w="24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2,454,586</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2,464,610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$2,082,881 at December 31, 2023)</w:t>
            </w: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5,291,686</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5,420,735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stock of Federal Home Loan Bank (FHLB)</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and lease finance receivables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8,770,713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(82,817 )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(86,842 )</w:t>
            </w:r>
          </w:p>
        </w:tc>
        <w:tc>
          <w:tcPr>
            <w:tcW w:w="0" w:type="dxa"/>
            <w:vAlign w:val="bottom"/>
          </w:tcPr>
          <w:p>
            <w:pPr>
              <w:spacing w:after="0"/>
              <w:rPr>
                <w:sz w:val="1"/>
                <w:szCs w:val="1"/>
                <w:color w:val="auto"/>
              </w:rPr>
            </w:pPr>
          </w:p>
        </w:tc>
      </w:tr>
      <w:tr>
        <w:trPr>
          <w:trHeight w:val="237"/>
        </w:trPr>
        <w:tc>
          <w:tcPr>
            <w:tcW w:w="772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loans and lease finance receivables</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8,687,896</w:t>
            </w:r>
          </w:p>
        </w:tc>
        <w:tc>
          <w:tcPr>
            <w:tcW w:w="3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8,818,068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43,448</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owned life insurance (BOLI)</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310,744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47,891</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765,822</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180,750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145,823</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127,187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16,468,146</w:t>
            </w:r>
          </w:p>
        </w:tc>
        <w:tc>
          <w:tcPr>
            <w:tcW w:w="3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16,020,993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Noninterest-bearing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7,112,789</w:t>
            </w:r>
          </w:p>
        </w:tc>
        <w:tc>
          <w:tcPr>
            <w:tcW w:w="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Interest-bearing</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4,782,132</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4,227,467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11,894,921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Customer repurchase agreements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275,720</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borrowings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1,995,000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23,082</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147,194</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14,381,321</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13,943,021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Common stock, authorized, 225,000,000 shares without par; issued and outstanding 139,641,884 at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March 31, 2024, and 139,344,981 at December 31, 2023</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1,288,755</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1,288,899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1,133,355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(loss) income, net of tax</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(335,285 )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(323,569 )</w:t>
            </w:r>
          </w:p>
        </w:tc>
        <w:tc>
          <w:tcPr>
            <w:tcW w:w="0" w:type="dxa"/>
            <w:vAlign w:val="bottom"/>
          </w:tcPr>
          <w:p>
            <w:pPr>
              <w:spacing w:after="0"/>
              <w:rPr>
                <w:sz w:val="1"/>
                <w:szCs w:val="1"/>
                <w:color w:val="auto"/>
              </w:rPr>
            </w:pPr>
          </w:p>
        </w:tc>
      </w:tr>
      <w:tr>
        <w:trPr>
          <w:trHeight w:val="236"/>
        </w:trPr>
        <w:tc>
          <w:tcPr>
            <w:tcW w:w="772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2,086,825</w:t>
            </w:r>
          </w:p>
        </w:tc>
        <w:tc>
          <w:tcPr>
            <w:tcW w:w="3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2,077,972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2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16,468,146</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16,020,993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-6419850</wp:posOffset>
            </wp:positionV>
            <wp:extent cx="77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-5520055</wp:posOffset>
            </wp:positionV>
            <wp:extent cx="7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-5520055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-4885690</wp:posOffset>
            </wp:positionV>
            <wp:extent cx="7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-4885690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-3634105</wp:posOffset>
            </wp:positionV>
            <wp:extent cx="77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-2519680</wp:posOffset>
            </wp:positionV>
            <wp:extent cx="77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-1585595</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-351155</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ind w:left="520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Loans and leases, including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116,349</w:t>
            </w:r>
          </w:p>
        </w:tc>
        <w:tc>
          <w:tcPr>
            <w:tcW w:w="2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from FHLB stock</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Interest-earning deposits with other institutions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interest income</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157,689</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142,786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Borrowings and customer repurchase agreements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2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interest income before provision for credit losses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credit losses</w:t>
            </w: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112,461</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Trust and investment services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Bankcard services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BOLI income</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 and equipment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Computer software expense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Marketing and promotion</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unfunded loan commitments</w:t>
            </w:r>
          </w:p>
        </w:tc>
        <w:tc>
          <w:tcPr>
            <w:tcW w:w="2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noninterest expense</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59,771</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48,599</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gain on securities arising during the period, before tax</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(17,073 )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Income tax benefit (expense) related to items of other</w:t>
            </w:r>
          </w:p>
        </w:tc>
        <w:tc>
          <w:tcPr>
            <w:tcW w:w="26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(12,033 )</w:t>
            </w:r>
          </w:p>
        </w:tc>
        <w:tc>
          <w:tcPr>
            <w:tcW w:w="0" w:type="dxa"/>
            <w:vAlign w:val="bottom"/>
          </w:tcPr>
          <w:p>
            <w:pPr>
              <w:spacing w:after="0"/>
              <w:rPr>
                <w:sz w:val="1"/>
                <w:szCs w:val="1"/>
                <w:color w:val="auto"/>
              </w:rPr>
            </w:pPr>
          </w:p>
        </w:tc>
      </w:tr>
      <w:tr>
        <w:trPr>
          <w:trHeight w:val="234"/>
        </w:trPr>
        <w:tc>
          <w:tcPr>
            <w:tcW w:w="83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(11,716 )</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36,883</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87,939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-6480175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-6480175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-5836920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-5836920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-5378450</wp:posOffset>
            </wp:positionV>
            <wp:extent cx="9398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-5378450</wp:posOffset>
            </wp:positionV>
            <wp:extent cx="9398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-4885690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-4885690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-3625215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-2065020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-1748155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-814070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-487680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-471170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(Dollars and shares in thousands)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4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300" w:type="dxa"/>
            <w:vAlign w:val="bottom"/>
          </w:tcPr>
          <w:p>
            <w:pPr>
              <w:spacing w:after="0"/>
              <w:rPr>
                <w:sz w:val="12"/>
                <w:szCs w:val="12"/>
                <w:color w:val="auto"/>
              </w:rPr>
            </w:pPr>
          </w:p>
        </w:tc>
        <w:tc>
          <w:tcPr>
            <w:tcW w:w="10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20" w:type="dxa"/>
            <w:vAlign w:val="bottom"/>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139,345</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1,288,899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1,112,642</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(323,569 )</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2,077,972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(146 )</w:t>
            </w:r>
          </w:p>
        </w:tc>
        <w:tc>
          <w:tcPr>
            <w:tcW w:w="16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(2,573 )</w:t>
            </w:r>
          </w:p>
        </w:tc>
        <w:tc>
          <w:tcPr>
            <w:tcW w:w="100" w:type="dxa"/>
            <w:vAlign w:val="bottom"/>
          </w:tcPr>
          <w:p>
            <w:pPr>
              <w:spacing w:after="0"/>
              <w:rPr>
                <w:sz w:val="15"/>
                <w:szCs w:val="15"/>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(2,573 )</w:t>
            </w: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20" w:type="dxa"/>
            <w:vAlign w:val="bottom"/>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compensation plan</w:t>
            </w:r>
          </w:p>
        </w:tc>
        <w:tc>
          <w:tcPr>
            <w:tcW w:w="1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20" w:type="dxa"/>
            <w:vAlign w:val="bottom"/>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4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(27,886 )</w:t>
            </w:r>
          </w:p>
        </w:tc>
        <w:tc>
          <w:tcPr>
            <w:tcW w:w="14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(27,886 )</w:t>
            </w:r>
          </w:p>
        </w:tc>
        <w:tc>
          <w:tcPr>
            <w:tcW w:w="0" w:type="dxa"/>
            <w:vAlign w:val="bottom"/>
          </w:tcPr>
          <w:p>
            <w:pPr>
              <w:spacing w:after="0"/>
              <w:rPr>
                <w:sz w:val="1"/>
                <w:szCs w:val="1"/>
                <w:color w:val="auto"/>
              </w:rPr>
            </w:pPr>
          </w:p>
        </w:tc>
      </w:tr>
      <w:tr>
        <w:trPr>
          <w:trHeight w:val="185"/>
        </w:trPr>
        <w:tc>
          <w:tcPr>
            <w:tcW w:w="3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($0.20 per share)</w:t>
            </w:r>
          </w:p>
        </w:tc>
        <w:tc>
          <w:tcPr>
            <w:tcW w:w="14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earnings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48,599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(11,716 )</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(11,716 )</w:t>
            </w:r>
          </w:p>
        </w:tc>
        <w:tc>
          <w:tcPr>
            <w:tcW w:w="0" w:type="dxa"/>
            <w:vAlign w:val="bottom"/>
          </w:tcPr>
          <w:p>
            <w:pPr>
              <w:spacing w:after="0"/>
              <w:rPr>
                <w:sz w:val="1"/>
                <w:szCs w:val="1"/>
                <w:color w:val="auto"/>
              </w:rPr>
            </w:pPr>
          </w:p>
        </w:tc>
      </w:tr>
      <w:tr>
        <w:trPr>
          <w:trHeight w:val="20"/>
        </w:trPr>
        <w:tc>
          <w:tcPr>
            <w:tcW w:w="35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March 31, 2024</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139,642</w:t>
            </w:r>
          </w:p>
        </w:tc>
        <w:tc>
          <w:tcPr>
            <w:tcW w:w="280" w:type="dxa"/>
            <w:vAlign w:val="bottom"/>
          </w:tcPr>
          <w:p>
            <w:pPr>
              <w:spacing w:after="0"/>
              <w:rPr>
                <w:sz w:val="14"/>
                <w:szCs w:val="14"/>
                <w:color w:val="auto"/>
              </w:rPr>
            </w:pP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1,288,755</w:t>
            </w:r>
          </w:p>
        </w:tc>
        <w:tc>
          <w:tcPr>
            <w:tcW w:w="26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1,133,355</w:t>
            </w:r>
          </w:p>
        </w:tc>
        <w:tc>
          <w:tcPr>
            <w:tcW w:w="26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(335,285 )</w:t>
            </w:r>
          </w:p>
        </w:tc>
        <w:tc>
          <w:tcPr>
            <w:tcW w:w="3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2,086,825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139,819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1,300,466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1,002,847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(354,796 )</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1,948,517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(918 )</w:t>
            </w:r>
          </w:p>
        </w:tc>
        <w:tc>
          <w:tcPr>
            <w:tcW w:w="16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(21,036 )</w:t>
            </w:r>
          </w:p>
        </w:tc>
        <w:tc>
          <w:tcPr>
            <w:tcW w:w="100" w:type="dxa"/>
            <w:vAlign w:val="bottom"/>
          </w:tcPr>
          <w:p>
            <w:pPr>
              <w:spacing w:after="0"/>
              <w:rPr>
                <w:sz w:val="15"/>
                <w:szCs w:val="15"/>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(21,036 )</w:t>
            </w: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520" w:type="dxa"/>
            <w:vAlign w:val="bottom"/>
          </w:tcPr>
          <w:p>
            <w:pPr>
              <w:ind w:left="30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compensation plan</w:t>
            </w:r>
          </w:p>
        </w:tc>
        <w:tc>
          <w:tcPr>
            <w:tcW w:w="1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20" w:type="dxa"/>
            <w:vAlign w:val="bottom"/>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4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(28,007 )</w:t>
            </w:r>
          </w:p>
        </w:tc>
        <w:tc>
          <w:tcPr>
            <w:tcW w:w="14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(28,007 )</w:t>
            </w:r>
          </w:p>
        </w:tc>
        <w:tc>
          <w:tcPr>
            <w:tcW w:w="0" w:type="dxa"/>
            <w:vAlign w:val="bottom"/>
          </w:tcPr>
          <w:p>
            <w:pPr>
              <w:spacing w:after="0"/>
              <w:rPr>
                <w:sz w:val="1"/>
                <w:szCs w:val="1"/>
                <w:color w:val="auto"/>
              </w:rPr>
            </w:pPr>
          </w:p>
        </w:tc>
      </w:tr>
      <w:tr>
        <w:trPr>
          <w:trHeight w:val="185"/>
        </w:trPr>
        <w:tc>
          <w:tcPr>
            <w:tcW w:w="35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($0.20 per share)</w:t>
            </w:r>
          </w:p>
        </w:tc>
        <w:tc>
          <w:tcPr>
            <w:tcW w:w="14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earnings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59,270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28,669</w:t>
            </w:r>
          </w:p>
        </w:tc>
        <w:tc>
          <w:tcPr>
            <w:tcW w:w="2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28,669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March 31, 2023</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139,302</w:t>
            </w:r>
          </w:p>
        </w:tc>
        <w:tc>
          <w:tcPr>
            <w:tcW w:w="280" w:type="dxa"/>
            <w:vAlign w:val="bottom"/>
          </w:tcPr>
          <w:p>
            <w:pPr>
              <w:spacing w:after="0"/>
              <w:rPr>
                <w:sz w:val="14"/>
                <w:szCs w:val="14"/>
                <w:color w:val="auto"/>
              </w:rPr>
            </w:pP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1,281,786</w:t>
            </w:r>
          </w:p>
        </w:tc>
        <w:tc>
          <w:tcPr>
            <w:tcW w:w="26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1,034,110</w:t>
            </w:r>
          </w:p>
        </w:tc>
        <w:tc>
          <w:tcPr>
            <w:tcW w:w="26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(326,127 )</w:t>
            </w:r>
          </w:p>
        </w:tc>
        <w:tc>
          <w:tcPr>
            <w:tcW w:w="3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1,989,769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-1370965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-1370965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-1370965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-1370965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-144780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-144780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-144780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-144780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20" w:type="dxa"/>
            <w:vAlign w:val="bottom"/>
          </w:tcPr>
          <w:p>
            <w:pPr>
              <w:ind w:left="520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8"/>
        </w:trPr>
        <w:tc>
          <w:tcPr>
            <w:tcW w:w="8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0"/>
        </w:trPr>
        <w:tc>
          <w:tcPr>
            <w:tcW w:w="8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8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and dividends received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161,187</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148,044</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Service charges and other fees received</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(23,092 )</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(17,239 )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paid to vendors, employees and others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(71,181 )</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(72,445 )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36"/>
        </w:trPr>
        <w:tc>
          <w:tcPr>
            <w:tcW w:w="8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77,474</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(purchases) of FHLB stock, net</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(11,070 )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change in interest-earning balances from depository institutions</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(4,416 )</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(2,391 )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repayment of investment securities available-for-sale</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82,060</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89,465</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maturity of investment securities available-for-sale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repayment and maturity of investment securities held-to-maturity</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investment securities held-to-maturity</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(11,455 )</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(2,026 )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(increase) decrease in equity investments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(1,599 )</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decrease in loan and lease finance receivables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132,281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138,709</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 of premises and equipment</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(166 )</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(343 )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BOLI death benefit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2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231,033</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increase (decrease) in other deposits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182,120</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(553,692 )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increase (decrease) in time deposits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279,159</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(10,683 )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(decrease) increase in other borrowings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(75,000 )</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increase (decrease) in customer repurchase agreements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(75,196 )</w:t>
            </w:r>
          </w:p>
        </w:tc>
      </w:tr>
      <w:tr>
        <w:trPr>
          <w:trHeight w:val="247"/>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(28,030 )</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(28,091 )</w:t>
            </w:r>
          </w:p>
        </w:tc>
      </w:tr>
      <w:tr>
        <w:trPr>
          <w:trHeight w:val="239"/>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(2,573 )</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(21,036 )</w:t>
            </w:r>
          </w:p>
        </w:tc>
      </w:tr>
      <w:tr>
        <w:trPr>
          <w:trHeight w:val="243"/>
        </w:trPr>
        <w:tc>
          <w:tcPr>
            <w:tcW w:w="82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359,797</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(278,626 )</w:t>
            </w:r>
          </w:p>
        </w:tc>
      </w:tr>
      <w:tr>
        <w:trPr>
          <w:trHeight w:val="241"/>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668,304</w:t>
            </w:r>
          </w:p>
        </w:tc>
        <w:tc>
          <w:tcPr>
            <w:tcW w:w="3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24,073</w:t>
            </w:r>
          </w:p>
        </w:tc>
        <w:tc>
          <w:tcPr>
            <w:tcW w:w="100" w:type="dxa"/>
            <w:vAlign w:val="bottom"/>
            <w:shd w:val="clear" w:color="auto" w:fill="CFF0FC"/>
          </w:tcPr>
          <w:p>
            <w:pPr>
              <w:spacing w:after="0"/>
              <w:rPr>
                <w:sz w:val="20"/>
                <w:szCs w:val="20"/>
                <w:color w:val="auto"/>
              </w:rPr>
            </w:pPr>
          </w:p>
        </w:tc>
      </w:tr>
      <w:tr>
        <w:trPr>
          <w:trHeight w:val="241"/>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281,285</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203,461</w:t>
            </w:r>
          </w:p>
        </w:tc>
        <w:tc>
          <w:tcPr>
            <w:tcW w:w="100" w:type="dxa"/>
            <w:vAlign w:val="bottom"/>
          </w:tcPr>
          <w:p>
            <w:pPr>
              <w:spacing w:after="0"/>
              <w:rPr>
                <w:sz w:val="20"/>
                <w:szCs w:val="20"/>
                <w:color w:val="auto"/>
              </w:rPr>
            </w:pPr>
          </w:p>
        </w:tc>
      </w:tr>
      <w:tr>
        <w:trPr>
          <w:trHeight w:val="279"/>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949,589</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-3779520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-1910715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-668020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0"/>
        </w:trPr>
        <w:tc>
          <w:tcPr>
            <w:tcW w:w="8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8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Earnings to Net Cash Provided by Operating Activities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48,599</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59,270</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BOLI</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(3,593 )</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(1,189 )</w:t>
            </w:r>
          </w:p>
        </w:tc>
      </w:tr>
      <w:tr>
        <w:trPr>
          <w:trHeight w:val="247"/>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 securities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for acquired loans, net</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(1,042 )</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(1,102 )</w:t>
            </w:r>
          </w:p>
        </w:tc>
      </w:tr>
      <w:tr>
        <w:trPr>
          <w:trHeight w:val="247"/>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unfunded loan commitments</w:t>
            </w:r>
          </w:p>
        </w:tc>
        <w:tc>
          <w:tcPr>
            <w:tcW w:w="28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Valuation allowance on other real estate owned</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20"/>
                <w:szCs w:val="20"/>
                <w:color w:val="auto"/>
              </w:rPr>
            </w:pPr>
          </w:p>
        </w:tc>
      </w:tr>
      <w:tr>
        <w:trPr>
          <w:trHeight w:val="247"/>
        </w:trPr>
        <w:tc>
          <w:tcPr>
            <w:tcW w:w="82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net</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shd w:val="clear" w:color="auto" w:fill="CFF0FC"/>
          </w:tcPr>
          <w:p>
            <w:pPr>
              <w:spacing w:after="0"/>
              <w:rPr>
                <w:sz w:val="21"/>
                <w:szCs w:val="21"/>
                <w:color w:val="auto"/>
              </w:rPr>
            </w:pPr>
          </w:p>
        </w:tc>
      </w:tr>
      <w:tr>
        <w:trPr>
          <w:trHeight w:val="239"/>
        </w:trPr>
        <w:tc>
          <w:tcPr>
            <w:tcW w:w="8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other assets and liabilities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(226 )</w:t>
            </w:r>
          </w:p>
        </w:tc>
      </w:tr>
      <w:tr>
        <w:trPr>
          <w:trHeight w:val="237"/>
        </w:trPr>
        <w:tc>
          <w:tcPr>
            <w:tcW w:w="82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adjustments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3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8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77,474</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70,120</w:t>
            </w:r>
          </w:p>
        </w:tc>
        <w:tc>
          <w:tcPr>
            <w:tcW w:w="100" w:type="dxa"/>
            <w:vAlign w:val="bottom"/>
          </w:tcPr>
          <w:p>
            <w:pPr>
              <w:spacing w:after="0"/>
              <w:rPr>
                <w:sz w:val="20"/>
                <w:szCs w:val="20"/>
                <w:color w:val="auto"/>
              </w:rPr>
            </w:pP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loans to other real estate owned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-645160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-645160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ind w:left="340" w:right="24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CVB FINANCIAL CORP. AND SUBSIDIARIES NOTES TO THE CONDENSED CONSOLIDATED FINANCIAL STATEMENTS </w:t>
      </w: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4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BUSINESS</w:t>
      </w:r>
    </w:p>
    <w:p>
      <w:pPr>
        <w:spacing w:after="0" w:line="229"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76"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throughout California. As of March 31, 2024, the Bank operated 62 banking centers and three trust office locations. The Company is headquartered in the city of Ontario, California.</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months ended March 31, 2024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2023, filed with the SEC. A summary of the significant accounting policies consistently applied in the preparation of the accompanying unaudited condensed consolidated financial statements follows.</w:t>
      </w:r>
    </w:p>
    <w:p>
      <w:pPr>
        <w:spacing w:after="0" w:line="190" w:lineRule="exact"/>
        <w:rPr>
          <w:sz w:val="20"/>
          <w:szCs w:val="20"/>
          <w:color w:val="auto"/>
        </w:rPr>
      </w:pPr>
    </w:p>
    <w:p>
      <w:pPr>
        <w:ind w:right="320" w:firstLine="4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 </w:t>
      </w:r>
      <w:r>
        <w:rPr>
          <w:rFonts w:ascii="Times New Roman" w:cs="Times New Roman" w:eastAsia="Times New Roman" w:hAnsi="Times New Roman"/>
          <w:sz w:val="18"/>
          <w:szCs w:val="18"/>
          <w:color w:val="auto"/>
        </w:rPr>
        <w:t>— Certain amounts in the prior periods’ unaudited condensed consolidated financial statements and related footnote disclosures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reclassified to conform to the current presentation with no impact on previously reported net income or stockholders’ equity.</w:t>
      </w:r>
    </w:p>
    <w:p>
      <w:pPr>
        <w:spacing w:after="0" w:line="15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7" w:lineRule="exact"/>
        <w:rPr>
          <w:sz w:val="20"/>
          <w:szCs w:val="20"/>
          <w:color w:val="auto"/>
        </w:rPr>
      </w:pPr>
    </w:p>
    <w:p>
      <w:pPr>
        <w:ind w:right="260" w:firstLine="469"/>
        <w:spacing w:after="0" w:line="267" w:lineRule="auto"/>
        <w:rPr>
          <w:sz w:val="20"/>
          <w:szCs w:val="20"/>
          <w:color w:val="auto"/>
        </w:rPr>
      </w:pPr>
      <w:r>
        <w:rPr>
          <w:rFonts w:ascii="Times New Roman" w:cs="Times New Roman" w:eastAsia="Times New Roman" w:hAnsi="Times New Roman"/>
          <w:sz w:val="18"/>
          <w:szCs w:val="18"/>
          <w:color w:val="auto"/>
        </w:rPr>
        <w:t xml:space="preserve">Except as discussed below, our accounting policies are described in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our audited consolidated financial statements included in our Annual Report on Form 10-K for the year ended December 31, 2023 as filed with the SEC (“Form 10-K”).</w:t>
      </w:r>
    </w:p>
    <w:p>
      <w:pPr>
        <w:spacing w:after="0" w:line="171" w:lineRule="exact"/>
        <w:rPr>
          <w:sz w:val="20"/>
          <w:szCs w:val="20"/>
          <w:color w:val="auto"/>
        </w:rPr>
      </w:pPr>
    </w:p>
    <w:p>
      <w:pPr>
        <w:ind w:firstLine="46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 The preparation of financial statements in conformity with GAAP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 w:name="page10"/>
    <w:bookmarkEnd w:id="9"/>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INVESTMENT SECURITIES</w:t>
      </w:r>
    </w:p>
    <w:p>
      <w:pPr>
        <w:spacing w:after="0" w:line="229" w:lineRule="exact"/>
        <w:rPr>
          <w:sz w:val="20"/>
          <w:szCs w:val="20"/>
          <w:color w:val="auto"/>
        </w:rPr>
      </w:pPr>
    </w:p>
    <w:p>
      <w:pPr>
        <w:ind w:right="400" w:firstLine="469"/>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1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1"/>
                <w:szCs w:val="21"/>
                <w:color w:val="auto"/>
              </w:rPr>
            </w:pPr>
          </w:p>
        </w:tc>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32,640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2,766,695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(367,613 )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2,399,107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84.56 %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495,576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(116,682 )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378,894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13.35 %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26,480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25,144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0.89 %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1,315</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140" w:type="dxa"/>
            <w:vAlign w:val="bottom"/>
          </w:tcPr>
          <w:p>
            <w:pPr>
              <w:spacing w:after="0"/>
              <w:rPr>
                <w:sz w:val="19"/>
                <w:szCs w:val="19"/>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10,893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(10,893 )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19"/>
                <w:szCs w:val="19"/>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(1)</w:t>
            </w:r>
          </w:p>
        </w:tc>
        <w:tc>
          <w:tcPr>
            <w:tcW w:w="1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3,333,603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(496,564 )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2,837,100</w:t>
            </w: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526,752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(103,672 )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423,080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21.46 %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652,864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(109,336 )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543,528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26.60 %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798,226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(162,528 )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635,698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32.52 %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465,289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(37,242 )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430,270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18.96 %</w:t>
            </w:r>
          </w:p>
        </w:tc>
        <w:tc>
          <w:tcPr>
            <w:tcW w:w="0" w:type="dxa"/>
            <w:vAlign w:val="bottom"/>
          </w:tcPr>
          <w:p>
            <w:pPr>
              <w:spacing w:after="0"/>
              <w:rPr>
                <w:sz w:val="1"/>
                <w:szCs w:val="1"/>
                <w:color w:val="auto"/>
              </w:rPr>
            </w:pPr>
          </w:p>
        </w:tc>
      </w:tr>
      <w:tr>
        <w:trPr>
          <w:trHeight w:val="25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11,455</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11,455</w:t>
            </w:r>
          </w:p>
        </w:tc>
        <w:tc>
          <w:tcPr>
            <w:tcW w:w="14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0.46 %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2,454,586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(412,778 )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2,044,031</w:t>
            </w: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1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1"/>
                <w:szCs w:val="21"/>
                <w:color w:val="auto"/>
              </w:rPr>
            </w:pPr>
          </w:p>
        </w:tc>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32,229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32,253</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2,843,744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(336,107 )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2,507,679</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84.83 %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502,234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(112,872 )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389,362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26,477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25,635</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14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(6,938 )</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19"/>
                <w:szCs w:val="19"/>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(1)</w:t>
            </w:r>
          </w:p>
        </w:tc>
        <w:tc>
          <w:tcPr>
            <w:tcW w:w="1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3,398,942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(449,867 )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2,956,125</w:t>
            </w: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530,656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(97,972 )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432,684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21.53 %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663,090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(97,436 )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565,654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26.90 %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802,892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(156,155 )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646,737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32.58 %</w:t>
            </w:r>
          </w:p>
        </w:tc>
        <w:tc>
          <w:tcPr>
            <w:tcW w:w="0" w:type="dxa"/>
            <w:vAlign w:val="bottom"/>
          </w:tcPr>
          <w:p>
            <w:pPr>
              <w:spacing w:after="0"/>
              <w:rPr>
                <w:sz w:val="1"/>
                <w:szCs w:val="1"/>
                <w:color w:val="auto"/>
              </w:rPr>
            </w:pPr>
          </w:p>
        </w:tc>
      </w:tr>
      <w:tr>
        <w:trPr>
          <w:trHeight w:val="25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467,972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(33,604 )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437,806</w:t>
            </w:r>
          </w:p>
        </w:tc>
        <w:tc>
          <w:tcPr>
            <w:tcW w:w="14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2,464,610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(385,167 )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2,082,881</w:t>
            </w: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-5605780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-5297170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-4208145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-3899535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-4988560</wp:posOffset>
            </wp:positionV>
            <wp:extent cx="7132320" cy="291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-3582670</wp:posOffset>
            </wp:positionV>
            <wp:extent cx="713232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7" w:lineRule="exact"/>
        <w:rPr>
          <w:sz w:val="20"/>
          <w:szCs w:val="20"/>
          <w:color w:val="auto"/>
        </w:rPr>
      </w:pPr>
    </w:p>
    <w:p>
      <w:pPr>
        <w:jc w:val="both"/>
        <w:ind w:left="760" w:right="140" w:hanging="378"/>
        <w:spacing w:after="0" w:line="234" w:lineRule="auto"/>
        <w:tabs>
          <w:tab w:leader="none" w:pos="7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amount of portfolio layer method basis adjustments related to AFS MBS securities hedged in a closed portfolio. Under U.S. GAAP, portfolio layer method basis adjustments are not allocated to individual securities, however the amounts impact the unrealized gains or losses for the individual securities being hedged. Refer to Note 3 and Note 9 for additional information.</w:t>
      </w: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89" w:right="279" w:bottom="1440" w:gutter="0" w:footer="0" w:header="0"/>
        </w:sectPr>
      </w:pPr>
    </w:p>
    <w:bookmarkStart w:id="10" w:name="page11"/>
    <w:bookmarkEnd w:id="10"/>
    <w:p>
      <w:pPr>
        <w:ind w:right="28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amount of interest income earned on investment securities which is fully taxable and which is exempt from regular federal income tax.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298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60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76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7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960" w:type="dxa"/>
            <w:vAlign w:val="bottom"/>
            <w:gridSpan w:val="3"/>
          </w:tcPr>
          <w:p>
            <w:pPr>
              <w:jc w:val="center"/>
              <w:ind w:right="37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Taxable</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21,280</w:t>
            </w:r>
          </w:p>
        </w:tc>
        <w:tc>
          <w:tcPr>
            <w:tcW w:w="13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19,428</w:t>
            </w:r>
          </w:p>
        </w:tc>
        <w:tc>
          <w:tcPr>
            <w:tcW w:w="100" w:type="dxa"/>
            <w:vAlign w:val="bottom"/>
          </w:tcPr>
          <w:p>
            <w:pPr>
              <w:spacing w:after="0"/>
              <w:rPr>
                <w:sz w:val="20"/>
                <w:szCs w:val="20"/>
                <w:color w:val="auto"/>
              </w:rPr>
            </w:pPr>
          </w:p>
        </w:tc>
      </w:tr>
      <w:tr>
        <w:trPr>
          <w:trHeight w:val="247"/>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Tax-advantaged</w:t>
            </w:r>
          </w:p>
        </w:tc>
        <w:tc>
          <w:tcPr>
            <w:tcW w:w="10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interest income from available-for-sale securities</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3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19,596</w:t>
            </w:r>
          </w:p>
        </w:tc>
        <w:tc>
          <w:tcPr>
            <w:tcW w:w="100" w:type="dxa"/>
            <w:vAlign w:val="bottom"/>
          </w:tcPr>
          <w:p>
            <w:pPr>
              <w:spacing w:after="0"/>
              <w:rPr>
                <w:sz w:val="20"/>
                <w:szCs w:val="20"/>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Taxable</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w:t>
            </w:r>
          </w:p>
        </w:tc>
        <w:tc>
          <w:tcPr>
            <w:tcW w:w="100" w:type="dxa"/>
            <w:vAlign w:val="bottom"/>
          </w:tcPr>
          <w:p>
            <w:pPr>
              <w:spacing w:after="0"/>
              <w:rPr>
                <w:sz w:val="20"/>
                <w:szCs w:val="20"/>
                <w:color w:val="auto"/>
              </w:rPr>
            </w:pPr>
          </w:p>
        </w:tc>
      </w:tr>
      <w:tr>
        <w:trPr>
          <w:trHeight w:val="247"/>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Tax-advantaged</w:t>
            </w:r>
          </w:p>
        </w:tc>
        <w:tc>
          <w:tcPr>
            <w:tcW w:w="10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3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interest income from held-to-maturity securities</w:t>
            </w: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3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100" w:type="dxa"/>
            <w:vAlign w:val="bottom"/>
          </w:tcPr>
          <w:p>
            <w:pPr>
              <w:spacing w:after="0"/>
              <w:rPr>
                <w:sz w:val="20"/>
                <w:szCs w:val="20"/>
                <w:color w:val="auto"/>
              </w:rPr>
            </w:pPr>
          </w:p>
        </w:tc>
      </w:tr>
      <w:tr>
        <w:trPr>
          <w:trHeight w:val="276"/>
        </w:trPr>
        <w:tc>
          <w:tcPr>
            <w:tcW w:w="76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interest income from investment securities</w:t>
            </w:r>
          </w:p>
        </w:tc>
        <w:tc>
          <w:tcPr>
            <w:tcW w:w="102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3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-985520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-350520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firstLine="469"/>
        <w:spacing w:after="0" w:line="261" w:lineRule="auto"/>
        <w:rPr>
          <w:sz w:val="20"/>
          <w:szCs w:val="20"/>
          <w:color w:val="auto"/>
        </w:rPr>
      </w:pPr>
      <w:r>
        <w:rPr>
          <w:rFonts w:ascii="Times New Roman" w:cs="Times New Roman" w:eastAsia="Times New Roman" w:hAnsi="Times New Roman"/>
          <w:sz w:val="18"/>
          <w:szCs w:val="18"/>
          <w:color w:val="auto"/>
        </w:rPr>
        <w:t>Approximately 90% of the total investment securities portfolio at March 31, 2024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CECL model was zero at March 31, 2024 and December 31, 2023.</w:t>
      </w:r>
    </w:p>
    <w:p>
      <w:pPr>
        <w:spacing w:after="0" w:line="180"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available-for-sale and held-to-maturity investment securities, by investment category, in an unrealized loss position for which an allowance for credit losses has not been recorded as of March 31, 2024 and December 31,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2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9"/>
                <w:szCs w:val="19"/>
                <w:color w:val="auto"/>
              </w:rPr>
            </w:pPr>
          </w:p>
        </w:tc>
      </w:tr>
      <w:tr>
        <w:trPr>
          <w:trHeight w:val="221"/>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2,397,803</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(367,613 )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2,397,825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(367,613 )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378,893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(116,682 )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378,893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(116,682 )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17,743</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(1,227 )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24,268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(1,372 )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2,794,439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(485,522 )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2,833,626</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(485,671 )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423,080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(103,672 )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423,080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(103,672 )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543,529</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(109,336 )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543,529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(109,336 )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635,698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(162,528 )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635,698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(162,528 )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46,060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(649 )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289,996</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(36,593 )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336,056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(37,242 )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1,892,303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(412,129 )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1,938,363</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(412,778 )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-1087755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-1087755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-1087755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-1087755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-1087755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-179070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-179070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-179070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2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9"/>
                <w:szCs w:val="19"/>
                <w:color w:val="auto"/>
              </w:rPr>
            </w:pPr>
          </w:p>
        </w:tc>
      </w:tr>
      <w:tr>
        <w:trPr>
          <w:trHeight w:val="221"/>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2,506,162</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(336,107 )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2,506,210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(336,107 )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(112,872 )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(112,872 )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(871 )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21,391</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(888 )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2,913,626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(449,850 )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2,916,960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(449,867 )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(97,972 )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(97,972 )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(97,436 )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(97,436 )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(156,155 )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(156,155 )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293,467</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(33,404 )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314,076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(33,604 )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1,938,543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(384,967 )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1,959,152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(385,167 )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-1233805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-1233805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-1233805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-1233805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-1233805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-179070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-179070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-179070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-179070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20" w:firstLine="469"/>
        <w:spacing w:after="0" w:line="261" w:lineRule="auto"/>
        <w:rPr>
          <w:sz w:val="20"/>
          <w:szCs w:val="20"/>
          <w:color w:val="auto"/>
        </w:rPr>
      </w:pPr>
      <w:r>
        <w:rPr>
          <w:rFonts w:ascii="Times New Roman" w:cs="Times New Roman" w:eastAsia="Times New Roman" w:hAnsi="Times New Roman"/>
          <w:sz w:val="18"/>
          <w:szCs w:val="18"/>
          <w:color w:val="auto"/>
        </w:rPr>
        <w:t>At March 31, 2024 investment securities with carrying values of $2.51 billion were pledged to secure various types of deposits, including $1.37 billion of public funds. In addition, investment securities with carrying values of $2.75 billion were pledged to secure $372.3 million for repurchase agreements, $1.88 billion for outstanding borrowings, $446 million for unused borrowing capacity and approximately $51 million for other purposes as required or permitted by law.</w:t>
      </w:r>
    </w:p>
    <w:p>
      <w:pPr>
        <w:spacing w:after="0" w:line="180" w:lineRule="exact"/>
        <w:rPr>
          <w:sz w:val="20"/>
          <w:szCs w:val="20"/>
          <w:color w:val="auto"/>
        </w:rPr>
      </w:pPr>
    </w:p>
    <w:p>
      <w:pPr>
        <w:ind w:right="100" w:firstLine="469"/>
        <w:spacing w:after="0" w:line="261" w:lineRule="auto"/>
        <w:rPr>
          <w:sz w:val="20"/>
          <w:szCs w:val="20"/>
          <w:color w:val="auto"/>
        </w:rPr>
      </w:pPr>
      <w:r>
        <w:rPr>
          <w:rFonts w:ascii="Times New Roman" w:cs="Times New Roman" w:eastAsia="Times New Roman" w:hAnsi="Times New Roman"/>
          <w:sz w:val="18"/>
          <w:szCs w:val="18"/>
          <w:color w:val="auto"/>
        </w:rPr>
        <w:t>At December 31, 2023, investment securities with carrying values of $2.26 billion were pledged to secure various types of deposits, including $1.38 billion of public funds. In addition, investment securities with carrying values of $3.02 billion were pledged to secure $372.5 million for repurchase agreements, $1.8 billion for outstanding borrowings, $796 million for unused borrowing capacity and approximately $51 million for other purposes as required or permitted by law.</w:t>
      </w:r>
    </w:p>
    <w:p>
      <w:pPr>
        <w:spacing w:after="0" w:line="180" w:lineRule="exact"/>
        <w:rPr>
          <w:sz w:val="20"/>
          <w:szCs w:val="20"/>
          <w:color w:val="auto"/>
        </w:rPr>
      </w:pPr>
    </w:p>
    <w:p>
      <w:pPr>
        <w:ind w:right="260" w:firstLine="464"/>
        <w:spacing w:after="0" w:line="261" w:lineRule="auto"/>
        <w:rPr>
          <w:sz w:val="20"/>
          <w:szCs w:val="20"/>
          <w:color w:val="auto"/>
        </w:rPr>
      </w:pPr>
      <w:r>
        <w:rPr>
          <w:rFonts w:ascii="Times New Roman" w:cs="Times New Roman" w:eastAsia="Times New Roman" w:hAnsi="Times New Roman"/>
          <w:sz w:val="18"/>
          <w:szCs w:val="18"/>
          <w:color w:val="auto"/>
        </w:rPr>
        <w:t>The amortized cost and fair value of debt securities at March 31, 2024, by contractual maturity, are shown in the table below. Although mortgage-backed and CMO/REMIC securities have weighted average remaining contractual maturities of approximately 23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ectPr>
          <w:pgSz w:w="11900" w:h="16838" w:orient="portrait"/>
          <w:cols w:equalWidth="0" w:num="1">
            <w:col w:w="11240"/>
          </w:cols>
          <w:pgMar w:left="320" w:top="13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in one year or less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ten years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investment securities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Borders>
              <w:top w:val="single" w:sz="8" w:color="auto"/>
              <w:bottom w:val="single" w:sz="8" w:color="auto"/>
            </w:tcBorders>
          </w:tcPr>
          <w:p>
            <w:pPr>
              <w:spacing w:after="0"/>
              <w:rPr>
                <w:sz w:val="14"/>
                <w:szCs w:val="14"/>
                <w:color w:val="auto"/>
              </w:rPr>
            </w:pPr>
          </w:p>
        </w:tc>
        <w:tc>
          <w:tcPr>
            <w:tcW w:w="2680" w:type="dxa"/>
            <w:vAlign w:val="bottom"/>
            <w:tcBorders>
              <w:top w:val="single" w:sz="8" w:color="auto"/>
              <w:bottom w:val="single" w:sz="8" w:color="auto"/>
            </w:tcBorders>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20" w:type="dxa"/>
            <w:vAlign w:val="bottom"/>
            <w:tcBorders>
              <w:top w:val="single" w:sz="8" w:color="auto"/>
              <w:bottom w:val="single" w:sz="8" w:color="auto"/>
            </w:tcBorders>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69"/>
        </w:trPr>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0"/>
        </w:trPr>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i w:val="1"/>
                <w:iCs w:val="1"/>
                <w:color w:val="auto"/>
              </w:rPr>
              <w:t>(Dollars</w:t>
            </w:r>
          </w:p>
        </w:tc>
        <w:tc>
          <w:tcPr>
            <w:tcW w:w="32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i w:val="1"/>
                <w:iCs w:val="1"/>
                <w:color w:val="auto"/>
              </w:rPr>
              <w:t>in</w:t>
            </w:r>
          </w:p>
        </w:tc>
        <w:tc>
          <w:tcPr>
            <w:tcW w:w="12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5"/>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36,409</w:t>
            </w:r>
          </w:p>
        </w:tc>
        <w:tc>
          <w:tcPr>
            <w:tcW w:w="5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36,328</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5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3,554</w:t>
            </w:r>
          </w:p>
        </w:tc>
      </w:tr>
      <w:tr>
        <w:trPr>
          <w:trHeight w:val="175"/>
        </w:trPr>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264,422</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241,797</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52,525</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50,505</w:t>
            </w:r>
          </w:p>
        </w:tc>
      </w:tr>
      <w:tr>
        <w:trPr>
          <w:trHeight w:val="175"/>
        </w:trPr>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2,519,475</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2,164,588</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317,491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280,289</w:t>
            </w:r>
          </w:p>
        </w:tc>
      </w:tr>
      <w:tr>
        <w:trPr>
          <w:trHeight w:val="185"/>
        </w:trPr>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513,297</w:t>
            </w: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394,387</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2,081,005</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1,709,683</w:t>
            </w:r>
          </w:p>
        </w:tc>
      </w:tr>
      <w:tr>
        <w:trPr>
          <w:trHeight w:val="169"/>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3,333,603</w:t>
            </w:r>
          </w:p>
        </w:tc>
        <w:tc>
          <w:tcPr>
            <w:tcW w:w="34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2,837,100</w:t>
            </w:r>
          </w:p>
        </w:tc>
        <w:tc>
          <w:tcPr>
            <w:tcW w:w="32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2,454,586</w:t>
            </w:r>
          </w:p>
        </w:tc>
        <w:tc>
          <w:tcPr>
            <w:tcW w:w="32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2,044,031</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-590550</wp:posOffset>
            </wp:positionV>
            <wp:extent cx="7132320" cy="1111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-367665</wp:posOffset>
            </wp:positionV>
            <wp:extent cx="7132320" cy="1111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-136525</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00" w:space="720"/>
            <w:col w:w="5920"/>
          </w:cols>
          <w:pgMar w:left="320" w:top="1325" w:right="339" w:bottom="1440" w:gutter="0" w:footer="0" w:header="0"/>
          <w:type w:val="continuous"/>
        </w:sectPr>
      </w:pPr>
    </w:p>
    <w:p>
      <w:pPr>
        <w:ind w:right="400" w:firstLine="469"/>
        <w:spacing w:after="0" w:line="282" w:lineRule="auto"/>
        <w:rPr>
          <w:sz w:val="20"/>
          <w:szCs w:val="20"/>
          <w:color w:val="auto"/>
        </w:rPr>
      </w:pPr>
      <w:r>
        <w:rPr>
          <w:rFonts w:ascii="Times New Roman" w:cs="Times New Roman" w:eastAsia="Times New Roman" w:hAnsi="Times New Roman"/>
          <w:sz w:val="18"/>
          <w:szCs w:val="18"/>
          <w:color w:val="auto"/>
        </w:rPr>
        <w:t>The investment in FHLB stock is periodically evaluated for impairment based on, among other things, the capital adequacy of the FHLB and its overall financial condition. No impairment losses have been recorded through March 31, 2024.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5" w:right="339" w:bottom="1440" w:gutter="0" w:footer="0" w:header="0"/>
          <w:type w:val="continuous"/>
        </w:sectPr>
      </w:pPr>
    </w:p>
    <w:bookmarkStart w:id="12" w:name="page13"/>
    <w:bookmarkEnd w:id="12"/>
    <w:p>
      <w:pPr>
        <w:ind w:left="480" w:right="3500" w:hanging="472"/>
        <w:spacing w:after="0" w:line="538" w:lineRule="auto"/>
        <w:tabs>
          <w:tab w:leader="none" w:pos="331"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LOANS AND LEASE FINANCE RECEIVABLES AND ALLOWANCE FOR CREDIT LOSSES </w:t>
      </w:r>
      <w:r>
        <w:rPr>
          <w:rFonts w:ascii="Times New Roman" w:cs="Times New Roman" w:eastAsia="Times New Roman" w:hAnsi="Times New Roman"/>
          <w:sz w:val="17"/>
          <w:szCs w:val="17"/>
          <w:color w:val="auto"/>
        </w:rPr>
        <w:t>The following table provides a summary of total loans and lease finance receivables by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23"/>
        </w:trPr>
        <w:tc>
          <w:tcPr>
            <w:tcW w:w="6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100" w:type="dxa"/>
            <w:vAlign w:val="bottom"/>
            <w:gridSpan w:val="5"/>
          </w:tcPr>
          <w:p>
            <w:pPr>
              <w:jc w:val="right"/>
              <w:ind w:right="14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63"/>
        </w:trPr>
        <w:tc>
          <w:tcPr>
            <w:tcW w:w="6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6,720,538</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6,784,505</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58,806</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66,734</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268,320</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270,619</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Paycheck Protection Program (PPP)</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963,120</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969,895</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351,624</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412,891</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73,590</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276,475</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269,868</w:t>
            </w:r>
          </w:p>
        </w:tc>
        <w:tc>
          <w:tcPr>
            <w:tcW w:w="100" w:type="dxa"/>
            <w:vAlign w:val="bottom"/>
          </w:tcPr>
          <w:p>
            <w:pPr>
              <w:spacing w:after="0"/>
              <w:rPr>
                <w:sz w:val="20"/>
                <w:szCs w:val="20"/>
                <w:color w:val="auto"/>
              </w:rPr>
            </w:pPr>
          </w:p>
        </w:tc>
      </w:tr>
      <w:tr>
        <w:trPr>
          <w:trHeight w:val="247"/>
        </w:trPr>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24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57,549</w:t>
            </w: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8,770,713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8,904,910</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shd w:val="clear" w:color="auto" w:fill="CFF0FC"/>
          </w:tcPr>
          <w:p>
            <w:pPr>
              <w:spacing w:after="0"/>
              <w:rPr>
                <w:sz w:val="21"/>
                <w:szCs w:val="21"/>
                <w:color w:val="auto"/>
              </w:rPr>
            </w:pPr>
          </w:p>
        </w:tc>
        <w:tc>
          <w:tcPr>
            <w:tcW w:w="2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(82,817 )</w:t>
            </w:r>
          </w:p>
        </w:tc>
        <w:tc>
          <w:tcPr>
            <w:tcW w:w="18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(86,842 )</w:t>
            </w:r>
          </w:p>
        </w:tc>
      </w:tr>
      <w:tr>
        <w:trPr>
          <w:trHeight w:val="236"/>
        </w:trPr>
        <w:tc>
          <w:tcPr>
            <w:tcW w:w="690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8,687,896</w:t>
            </w:r>
          </w:p>
        </w:tc>
        <w:tc>
          <w:tcPr>
            <w:tcW w:w="3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8,818,068</w:t>
            </w:r>
          </w:p>
        </w:tc>
        <w:tc>
          <w:tcPr>
            <w:tcW w:w="100" w:type="dxa"/>
            <w:vAlign w:val="bottom"/>
            <w:tcBorders>
              <w:top w:val="single" w:sz="8" w:color="CFF0FC"/>
            </w:tcBorders>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-505460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firstLine="469"/>
        <w:spacing w:after="0" w:line="254" w:lineRule="auto"/>
        <w:rPr>
          <w:sz w:val="20"/>
          <w:szCs w:val="20"/>
          <w:color w:val="auto"/>
        </w:rPr>
      </w:pPr>
      <w:r>
        <w:rPr>
          <w:rFonts w:ascii="Times New Roman" w:cs="Times New Roman" w:eastAsia="Times New Roman" w:hAnsi="Times New Roman"/>
          <w:sz w:val="18"/>
          <w:szCs w:val="18"/>
          <w:color w:val="auto"/>
        </w:rPr>
        <w:t>As of March 31, 2024, 80.44% of the Company’s total loan portfolio consisted of real estate loans, with commercial real estate loans representing 76.62% of total loans. The Company’s real estate loans and construction loans are secured by real properties primarily located in California. As of March 31, 2024, $498.2 million, or 7.41% of the total commercial real estate loans included loans secured by farmland, compared to $497.7 million, or 7.34%, at December 31, 2023. The loans secured by farmland included $121.4 million for loans secured by dairy &amp; livestock land and $376.8 million secured by agricultural land at March 31, 2024, compared to $122.4 million for loans secured by dairy &amp; livestock land and $375.3 million for loans secured by agricultural land at December 31, 2023. As of March 31, 2024, dairy &amp; livestock and agribusiness loans of $351.6 million were comprised of $308.5 million for dairy &amp; livestock loans and $43.1 million for agribusiness loans, compared to $412.9 million were comprised of $374.9 million for dairy &amp; livestock loans and $38.0 million of agribusiness loans at December 31, 2023.</w:t>
      </w:r>
    </w:p>
    <w:p>
      <w:pPr>
        <w:spacing w:after="0" w:line="192" w:lineRule="exact"/>
        <w:rPr>
          <w:sz w:val="20"/>
          <w:szCs w:val="20"/>
          <w:color w:val="auto"/>
        </w:rPr>
      </w:pPr>
    </w:p>
    <w:p>
      <w:pPr>
        <w:ind w:right="200" w:firstLine="469"/>
        <w:spacing w:after="0" w:line="282" w:lineRule="auto"/>
        <w:rPr>
          <w:sz w:val="20"/>
          <w:szCs w:val="20"/>
          <w:color w:val="auto"/>
        </w:rPr>
      </w:pPr>
      <w:r>
        <w:rPr>
          <w:rFonts w:ascii="Times New Roman" w:cs="Times New Roman" w:eastAsia="Times New Roman" w:hAnsi="Times New Roman"/>
          <w:sz w:val="18"/>
          <w:szCs w:val="18"/>
          <w:color w:val="auto"/>
        </w:rPr>
        <w:t>At March 31, 2024 and December 31, 2023, loans totaling $4.24 billion and $4.04 billion, respectively, were pledged to secure the borrowings and available lines of credit from the FHLB and the Federal Reserve Bank.</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outstanding loans held-for-sale as of March 31, 2024 and December 31,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29"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62" w:lineRule="exact"/>
        <w:rPr>
          <w:sz w:val="20"/>
          <w:szCs w:val="20"/>
          <w:color w:val="auto"/>
        </w:rPr>
      </w:pPr>
    </w:p>
    <w:p>
      <w:pPr>
        <w:jc w:val="both"/>
        <w:ind w:right="100" w:firstLine="469"/>
        <w:spacing w:after="0" w:line="258" w:lineRule="auto"/>
        <w:rPr>
          <w:sz w:val="20"/>
          <w:szCs w:val="20"/>
          <w:color w:val="auto"/>
        </w:rPr>
      </w:pPr>
      <w:r>
        <w:rPr>
          <w:rFonts w:ascii="Times New Roman" w:cs="Times New Roman" w:eastAsia="Times New Roman" w:hAnsi="Times New Roman"/>
          <w:sz w:val="18"/>
          <w:szCs w:val="18"/>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83" w:lineRule="exact"/>
        <w:rPr>
          <w:sz w:val="20"/>
          <w:szCs w:val="20"/>
          <w:color w:val="auto"/>
        </w:rPr>
      </w:pPr>
    </w:p>
    <w:p>
      <w:pPr>
        <w:ind w:right="120" w:firstLine="469"/>
        <w:spacing w:after="0" w:line="282" w:lineRule="auto"/>
        <w:rPr>
          <w:sz w:val="20"/>
          <w:szCs w:val="20"/>
          <w:color w:val="auto"/>
        </w:rPr>
      </w:pPr>
      <w:r>
        <w:rPr>
          <w:rFonts w:ascii="Times New Roman" w:cs="Times New Roman" w:eastAsia="Times New Roman" w:hAnsi="Times New Roman"/>
          <w:sz w:val="18"/>
          <w:szCs w:val="18"/>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62"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80" w:lineRule="exact"/>
        <w:rPr>
          <w:sz w:val="20"/>
          <w:szCs w:val="20"/>
          <w:color w:val="auto"/>
        </w:rPr>
      </w:pPr>
    </w:p>
    <w:p>
      <w:pPr>
        <w:jc w:val="both"/>
        <w:ind w:right="80" w:firstLine="469"/>
        <w:spacing w:after="0" w:line="266" w:lineRule="auto"/>
        <w:rPr>
          <w:sz w:val="20"/>
          <w:szCs w:val="20"/>
          <w:color w:val="auto"/>
        </w:rPr>
      </w:pPr>
      <w:r>
        <w:rPr>
          <w:rFonts w:ascii="Times New Roman" w:cs="Times New Roman" w:eastAsia="Times New Roman" w:hAnsi="Times New Roman"/>
          <w:sz w:val="18"/>
          <w:szCs w:val="18"/>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76" w:lineRule="exact"/>
        <w:rPr>
          <w:sz w:val="20"/>
          <w:szCs w:val="20"/>
          <w:color w:val="auto"/>
        </w:rPr>
      </w:pPr>
    </w:p>
    <w:p>
      <w:pPr>
        <w:jc w:val="both"/>
        <w:ind w:right="140" w:firstLine="469"/>
        <w:spacing w:after="0" w:line="266" w:lineRule="auto"/>
        <w:rPr>
          <w:sz w:val="20"/>
          <w:szCs w:val="20"/>
          <w:color w:val="auto"/>
        </w:rPr>
      </w:pPr>
      <w:r>
        <w:rPr>
          <w:rFonts w:ascii="Times New Roman" w:cs="Times New Roman" w:eastAsia="Times New Roman" w:hAnsi="Times New Roman"/>
          <w:sz w:val="18"/>
          <w:szCs w:val="18"/>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76" w:lineRule="exact"/>
        <w:rPr>
          <w:sz w:val="20"/>
          <w:szCs w:val="20"/>
          <w:color w:val="auto"/>
        </w:rPr>
      </w:pPr>
    </w:p>
    <w:p>
      <w:pPr>
        <w:ind w:right="160" w:firstLine="469"/>
        <w:spacing w:after="0" w:line="282" w:lineRule="auto"/>
        <w:rPr>
          <w:sz w:val="20"/>
          <w:szCs w:val="20"/>
          <w:color w:val="auto"/>
        </w:rPr>
      </w:pPr>
      <w:r>
        <w:rPr>
          <w:rFonts w:ascii="Times New Roman" w:cs="Times New Roman" w:eastAsia="Times New Roman" w:hAnsi="Times New Roman"/>
          <w:sz w:val="18"/>
          <w:szCs w:val="18"/>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62" w:lineRule="exact"/>
        <w:rPr>
          <w:sz w:val="20"/>
          <w:szCs w:val="20"/>
          <w:color w:val="auto"/>
        </w:rPr>
      </w:pPr>
    </w:p>
    <w:p>
      <w:pPr>
        <w:jc w:val="both"/>
        <w:ind w:right="40" w:firstLine="469"/>
        <w:spacing w:after="0" w:line="266" w:lineRule="auto"/>
        <w:rPr>
          <w:sz w:val="20"/>
          <w:szCs w:val="20"/>
          <w:color w:val="auto"/>
        </w:rPr>
      </w:pPr>
      <w:r>
        <w:rPr>
          <w:rFonts w:ascii="Times New Roman" w:cs="Times New Roman" w:eastAsia="Times New Roman" w:hAnsi="Times New Roman"/>
          <w:sz w:val="18"/>
          <w:szCs w:val="18"/>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color w:val="auto"/>
        </w:rPr>
        <w:t>The following table summarizes loans by type and origination year, according to our internal risk ratings as of the dates presented.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5"/>
            <w:vMerge w:val="restart"/>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80" w:type="dxa"/>
            <w:vAlign w:val="bottom"/>
          </w:tcPr>
          <w:p>
            <w:pPr>
              <w:spacing w:after="0"/>
              <w:rPr>
                <w:sz w:val="13"/>
                <w:szCs w:val="13"/>
                <w:color w:val="auto"/>
              </w:rPr>
            </w:pPr>
          </w:p>
        </w:tc>
        <w:tc>
          <w:tcPr>
            <w:tcW w:w="6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cost basis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19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w w:val="78"/>
              </w:rPr>
              <w:t>(Dollars in thousands)</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2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54,653</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441,596</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1,299,240</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1,120,686</w:t>
            </w:r>
          </w:p>
        </w:tc>
        <w:tc>
          <w:tcPr>
            <w:tcW w:w="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866,833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2,457,881</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179,725</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38,940</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6,459,554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170,913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8,105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32,952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44,705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90,071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real</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55,331</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446,821</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1,311,212</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1,142,193</w:t>
            </w:r>
          </w:p>
        </w:tc>
        <w:tc>
          <w:tcPr>
            <w:tcW w:w="42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918,902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2,624,299</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182,840</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38,940</w:t>
            </w:r>
          </w:p>
        </w:tc>
        <w:tc>
          <w:tcPr>
            <w:tcW w:w="40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6,720,538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estate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2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Construction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2,513</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12,277</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22,289</w:t>
            </w:r>
          </w:p>
        </w:tc>
        <w:tc>
          <w:tcPr>
            <w:tcW w:w="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8,066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11,549</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56,697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Construction</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2,513</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12,277</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24,398</w:t>
            </w:r>
          </w:p>
        </w:tc>
        <w:tc>
          <w:tcPr>
            <w:tcW w:w="42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8,066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11,549</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2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10,759</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19,621</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47,896</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50,594</w:t>
            </w:r>
          </w:p>
        </w:tc>
        <w:tc>
          <w:tcPr>
            <w:tcW w:w="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24,417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102,067</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255,354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loans: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10,759</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19,621</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49,512</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50,594</w:t>
            </w:r>
          </w:p>
        </w:tc>
        <w:tc>
          <w:tcPr>
            <w:tcW w:w="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29,184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108,650</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268,320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2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 PPP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 PPP loans: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2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2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and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28,523</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135,426</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136,353</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90,310</w:t>
            </w:r>
          </w:p>
        </w:tc>
        <w:tc>
          <w:tcPr>
            <w:tcW w:w="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82,495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151,348</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296,236</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4,688</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925,379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and</w:t>
            </w: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28,523</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144,924</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137,716</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91,905</w:t>
            </w:r>
          </w:p>
        </w:tc>
        <w:tc>
          <w:tcPr>
            <w:tcW w:w="42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83,323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159,382</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307,006</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10,341</w:t>
            </w:r>
          </w:p>
        </w:tc>
        <w:tc>
          <w:tcPr>
            <w:tcW w:w="40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963,120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2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-4549775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-4549775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-4549775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-4549775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-4549775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-4549775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-4549775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-4549775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-4549775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-3443605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-3443605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-3443605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-3443605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-3443605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-3443605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-3443605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-3443605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-3443605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-2414905</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-2414905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-2414905</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-2414905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-2414905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-2414905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-2414905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-2414905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-2414905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-1386205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-1386205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-1386205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-1386205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-1386205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-1386205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-1386205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-1386205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-194945</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-194945</wp:posOffset>
            </wp:positionV>
            <wp:extent cx="768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-194945</wp:posOffset>
            </wp:positionV>
            <wp:extent cx="774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-194945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-194945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-194945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-194945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-194945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-194945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3"/>
                <w:szCs w:val="13"/>
                <w:i w:val="1"/>
                <w:iCs w:val="1"/>
                <w:color w:val="auto"/>
                <w:w w:val="95"/>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Dairy &amp; livestock and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36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266,157</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268,291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Dairy &amp; livestock</w:t>
            </w: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360" w:type="dxa"/>
            <w:vAlign w:val="bottom"/>
            <w:gridSpan w:val="3"/>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347,581</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351,624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5,719</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25,803</w:t>
            </w:r>
          </w:p>
        </w:tc>
        <w:tc>
          <w:tcPr>
            <w:tcW w:w="36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34,402</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71,850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Municipal lease</w:t>
            </w: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5,719</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25,803</w:t>
            </w:r>
          </w:p>
        </w:tc>
        <w:tc>
          <w:tcPr>
            <w:tcW w:w="360" w:type="dxa"/>
            <w:vAlign w:val="bottom"/>
            <w:gridSpan w:val="3"/>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34,584</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72,032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SFR mortgage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11,528</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21,229</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60,524</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43,305</w:t>
            </w:r>
          </w:p>
        </w:tc>
        <w:tc>
          <w:tcPr>
            <w:tcW w:w="36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43,832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93,044</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273,462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SFR mortgage</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11,528</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21,979</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60,524</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43,305</w:t>
            </w:r>
          </w:p>
        </w:tc>
        <w:tc>
          <w:tcPr>
            <w:tcW w:w="360" w:type="dxa"/>
            <w:vAlign w:val="bottom"/>
            <w:gridSpan w:val="3"/>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44,745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94,086</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276,475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Consumer and other</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1,636</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4,037</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3,483</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2,492</w:t>
            </w:r>
          </w:p>
        </w:tc>
        <w:tc>
          <w:tcPr>
            <w:tcW w:w="36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42,049</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56,560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Consumer and</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1,636</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4,037</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3,483</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2,706</w:t>
            </w:r>
          </w:p>
        </w:tc>
        <w:tc>
          <w:tcPr>
            <w:tcW w:w="360" w:type="dxa"/>
            <w:vAlign w:val="bottom"/>
            <w:gridSpan w:val="3"/>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42,053</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57,549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other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107,295</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624,422</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1,565,492</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1,356,755</w:t>
            </w:r>
          </w:p>
        </w:tc>
        <w:tc>
          <w:tcPr>
            <w:tcW w:w="36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1,034,523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2,840,039</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795,716</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45,154</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8,369,396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298,237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8,344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32,952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48,987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5,766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103,080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107,973</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640,327</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1,580,443</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1,383,515</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1,093,100</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3,022,358</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891,029</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51,968</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8,770,713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96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500" w:type="dxa"/>
            <w:vAlign w:val="bottom"/>
            <w:gridSpan w:val="3"/>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3,534</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40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960" w:type="dxa"/>
            <w:vAlign w:val="bottom"/>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Total gross charge-offs</w:t>
            </w:r>
          </w:p>
        </w:tc>
        <w:tc>
          <w:tcPr>
            <w:tcW w:w="1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60" w:type="dxa"/>
            <w:vAlign w:val="bottom"/>
            <w:gridSpan w:val="3"/>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32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gridSpan w:val="3"/>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0" w:type="dxa"/>
            <w:vAlign w:val="bottom"/>
            <w:gridSpan w:val="3"/>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-4817110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-4817110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-4817110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-4817110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-4817110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-4817110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-4817110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-4817110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-3539490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-3539490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-3539490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-3539490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-3539490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-3539490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-3539490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-3539490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-2433955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-2433955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-2433955</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-2433955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-2433955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-2433955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-2433955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-2433955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-1242695</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-1242695</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-1242695</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-1242695</wp:posOffset>
            </wp:positionV>
            <wp:extent cx="768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-1242695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-1242695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-1242695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-1242695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-213995</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-196215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-213995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-196215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-213995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-196215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-213995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-196215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-213995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-196215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-213995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-196215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-213995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-196215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-213995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-196215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3"/>
                <w:szCs w:val="13"/>
                <w:i w:val="1"/>
                <w:iCs w:val="1"/>
                <w:color w:val="auto"/>
                <w:w w:val="95"/>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447,991</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1,315,563</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1,133,331</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885,590</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497,541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2,041,329</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171,223</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38,568</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6,531,136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163,782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8,127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33,401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12,986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30,637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89,587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real</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451,976</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1,327,587</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1,152,090</w:t>
            </w:r>
          </w:p>
        </w:tc>
        <w:tc>
          <w:tcPr>
            <w:tcW w:w="50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938,359</w:t>
            </w:r>
          </w:p>
        </w:tc>
        <w:tc>
          <w:tcPr>
            <w:tcW w:w="3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554,351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2,146,639</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174,935</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38,568</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6,784,505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estate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Construction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15,046</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22,288</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8,058</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17,938</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Construction</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15,046</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24,418</w:t>
            </w:r>
          </w:p>
        </w:tc>
        <w:tc>
          <w:tcPr>
            <w:tcW w:w="50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8,058</w:t>
            </w:r>
          </w:p>
        </w:tc>
        <w:tc>
          <w:tcPr>
            <w:tcW w:w="3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17,938</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66,734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760" w:type="dxa"/>
            <w:vAlign w:val="bottom"/>
            <w:gridSpan w:val="3"/>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20,701</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48,212</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51,038</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29,306</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6,236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101,856</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257,349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loans: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20,701</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49,839</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51,038</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34,090</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8,117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106,834</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270,619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 PPP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2,037</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 PPP loans: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2,037</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Commercial and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141,080</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143,847</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100,059</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88,743</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68,352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94,027</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289,539</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5,460</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931,107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Commercial and</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148,909</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144,842</w:t>
            </w:r>
          </w:p>
        </w:tc>
        <w:tc>
          <w:tcPr>
            <w:tcW w:w="4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100,804</w:t>
            </w:r>
          </w:p>
        </w:tc>
        <w:tc>
          <w:tcPr>
            <w:tcW w:w="50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89,295</w:t>
            </w:r>
          </w:p>
        </w:tc>
        <w:tc>
          <w:tcPr>
            <w:tcW w:w="3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72,555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99,309</w:t>
            </w:r>
          </w:p>
        </w:tc>
        <w:tc>
          <w:tcPr>
            <w:tcW w:w="32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302,555</w:t>
            </w:r>
          </w:p>
        </w:tc>
        <w:tc>
          <w:tcPr>
            <w:tcW w:w="3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11,626</w:t>
            </w:r>
          </w:p>
        </w:tc>
        <w:tc>
          <w:tcPr>
            <w:tcW w:w="40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969,895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-4549775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-4549775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-4549775</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-4549775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-4549775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-4549775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-4549775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-4549775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-4549775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-3443605</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-3443605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-3443605</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-3443605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-3443605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-3443605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-3443605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-3443605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-3443605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-2414905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-2414905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-2414905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-2414905</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-2414905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-2414905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-2414905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-2414905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-2414905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-1386205</wp:posOffset>
            </wp:positionV>
            <wp:extent cx="768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-1386205</wp:posOffset>
            </wp:positionV>
            <wp:extent cx="768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-1386205</wp:posOffset>
            </wp:positionV>
            <wp:extent cx="774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-1386205</wp:posOffset>
            </wp:positionV>
            <wp:extent cx="768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-1386205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-1386205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-1386205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-1386205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-194945</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-194945</wp:posOffset>
            </wp:positionV>
            <wp:extent cx="768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-194945</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-194945</wp:posOffset>
            </wp:positionV>
            <wp:extent cx="768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-194945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-194945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-194945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-194945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-194945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gridSpan w:val="6"/>
          </w:tcPr>
          <w:p>
            <w:pPr>
              <w:spacing w:after="0"/>
              <w:rPr>
                <w:sz w:val="20"/>
                <w:szCs w:val="20"/>
                <w:color w:val="auto"/>
              </w:rPr>
            </w:pPr>
            <w:r>
              <w:rPr>
                <w:rFonts w:ascii="Times New Roman" w:cs="Times New Roman" w:eastAsia="Times New Roman" w:hAnsi="Times New Roman"/>
                <w:sz w:val="13"/>
                <w:szCs w:val="13"/>
                <w:i w:val="1"/>
                <w:iCs w:val="1"/>
                <w:color w:val="auto"/>
                <w:w w:val="95"/>
              </w:rPr>
              <w:t>(Dollars in thousands)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Dairy &amp; livestock and</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337,525</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340,626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Dairy &amp; livestock</w:t>
            </w: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409,257</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412,891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5,735</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25,803</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5,981</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31,622</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73,408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Municipal lease</w:t>
            </w:r>
          </w:p>
        </w:tc>
        <w:tc>
          <w:tcPr>
            <w:tcW w:w="1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5,735</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25,803</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5,981</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31,804</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73,590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SFR mortgage 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22,248</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61,070</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43,573</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44,076</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28,049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67,750</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266,766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SFR mortgage</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23,037</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61,070</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43,573</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44,994</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28,593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68,277</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269,868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Consumer and other</w:t>
            </w: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4,911</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4,122</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2,707</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38,595</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Total Consumer and</w:t>
            </w:r>
          </w:p>
        </w:tc>
        <w:tc>
          <w:tcPr>
            <w:tcW w:w="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4,911</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4,122</w:t>
            </w:r>
          </w:p>
        </w:tc>
        <w:tc>
          <w:tcPr>
            <w:tcW w:w="42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2,953</w:t>
            </w:r>
          </w:p>
        </w:tc>
        <w:tc>
          <w:tcPr>
            <w:tcW w:w="50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380" w:type="dxa"/>
            <w:vAlign w:val="bottom"/>
            <w:gridSpan w:val="3"/>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38,600</w:t>
            </w:r>
          </w:p>
        </w:tc>
        <w:tc>
          <w:tcPr>
            <w:tcW w:w="30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54,072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other loans:</w:t>
            </w:r>
          </w:p>
        </w:tc>
        <w:tc>
          <w:tcPr>
            <w:tcW w:w="18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420" w:type="dxa"/>
            <w:vAlign w:val="bottom"/>
            <w:gridSpan w:val="3"/>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500" w:type="dxa"/>
            <w:vAlign w:val="bottom"/>
            <w:gridSpan w:val="3"/>
            <w:vMerge w:val="continue"/>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2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30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960" w:type="dxa"/>
            <w:vAlign w:val="bottom"/>
            <w:tcBorders>
              <w:top w:val="single" w:sz="8" w:color="CFF0FC"/>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Current YTD Period: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Gross charge-offs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638,501</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1,593,595</w:t>
            </w:r>
          </w:p>
        </w:tc>
        <w:tc>
          <w:tcPr>
            <w:tcW w:w="42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1,381,084</w:t>
            </w:r>
          </w:p>
        </w:tc>
        <w:tc>
          <w:tcPr>
            <w:tcW w:w="50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1,065,424</w:t>
            </w:r>
          </w:p>
        </w:tc>
        <w:tc>
          <w:tcPr>
            <w:tcW w:w="38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605,169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2,337,278</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854,820</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44,899</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8,520,770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33,401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13,824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35,423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6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Total Loans at amortized cost:</w:t>
            </w: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651,552</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1,608,241</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1,402,964</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1,124,447</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668,632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2,453,629</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943,285</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52,160</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8,904,910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96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Current YTD Period:</w:t>
            </w:r>
          </w:p>
        </w:tc>
        <w:tc>
          <w:tcPr>
            <w:tcW w:w="18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40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960" w:type="dxa"/>
            <w:vAlign w:val="bottom"/>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Gross charge-offs</w:t>
            </w:r>
          </w:p>
        </w:tc>
        <w:tc>
          <w:tcPr>
            <w:tcW w:w="1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2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32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gridSpan w:val="3"/>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0" w:type="dxa"/>
            <w:vAlign w:val="bottom"/>
            <w:gridSpan w:val="3"/>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-4817110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-4817110</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-4817110</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-4817110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-4817110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-4817110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-4817110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-4817110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-3539490</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-3539490</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-3539490</wp:posOffset>
            </wp:positionV>
            <wp:extent cx="774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-3539490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-3539490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-3539490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-3539490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-3539490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-2433955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-2433955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-2433955</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-2433955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-2433955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-2433955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-2433955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-2433955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-1242695</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-1242695</wp:posOffset>
            </wp:positionV>
            <wp:extent cx="768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-1242695</wp:posOffset>
            </wp:positionV>
            <wp:extent cx="774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-1242695</wp:posOffset>
            </wp:positionV>
            <wp:extent cx="768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-1242695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-1242695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-1242695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-1242695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-213995</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-196215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-213995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-196215</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-213995</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-196215</wp:posOffset>
            </wp:positionV>
            <wp:extent cx="77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-213995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-196215</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-213995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-196215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-213995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-196215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-213995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-196215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-213995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-196215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("ACL")</w:t>
      </w:r>
    </w:p>
    <w:p>
      <w:pPr>
        <w:spacing w:after="0" w:line="229" w:lineRule="exact"/>
        <w:rPr>
          <w:sz w:val="20"/>
          <w:szCs w:val="20"/>
          <w:color w:val="auto"/>
        </w:rPr>
      </w:pPr>
    </w:p>
    <w:p>
      <w:pPr>
        <w:ind w:right="20" w:firstLine="469"/>
        <w:spacing w:after="0" w:line="253" w:lineRule="auto"/>
        <w:rPr>
          <w:sz w:val="20"/>
          <w:szCs w:val="20"/>
          <w:color w:val="auto"/>
        </w:rPr>
      </w:pPr>
      <w:r>
        <w:rPr>
          <w:rFonts w:ascii="Times New Roman" w:cs="Times New Roman" w:eastAsia="Times New Roman" w:hAnsi="Times New Roman"/>
          <w:sz w:val="18"/>
          <w:szCs w:val="18"/>
          <w:color w:val="auto"/>
        </w:rPr>
        <w:t>The Company's allowance models calculate reserves over the average life of the loan, which includes the remaining time to maturity, adjusted for estimated prepayments applied as an adjustment to our commercial real estate and commercial and industrial loans. 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A substantial portion of the ACL relates to loans within the Commercial Real Estate and Commercial and Industrial methodologies, each evaluated on a collective basis. Our ACL amounts are largely driven by portfolio characteristics, including loss history, internal risk grading, various risk attributes, and the economic outlook for certain macroeconomic variables. Risk attributes for commercial real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18" w:name="page19"/>
    <w:bookmarkEnd w:id="18"/>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estate loans include Original Loan to Value ratios ("OLTV"),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SBA loans (excluding Paycheck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The Company’s ACL estimate incorporates a reasonable and supportable forecast of various macroeconomic variables over the remaining average life of our loans. This forecast incorporates an assumption that each macroeconomic variable will revert to a long-term expectation, starting in years two through three, of the reasonable and supportable forecast period, with the reversion largely completed within the first five years of the forecast. The economic forecast is based on probability weighted scenarios to address macroeconomic uncertainty. Our methodology for assessing the appropriateness of the allowance is reviewed on a regular basis and considers overall risks in the Bank’s loan portfolio. 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our Annual Report on Form 10-K for the year ended December 31, 2023 for a more detailed discussion concerning the allowance for credit losses.</w:t>
      </w:r>
    </w:p>
    <w:p>
      <w:pPr>
        <w:spacing w:after="0" w:line="195" w:lineRule="exact"/>
        <w:rPr>
          <w:sz w:val="20"/>
          <w:szCs w:val="20"/>
          <w:color w:val="auto"/>
        </w:rPr>
      </w:pPr>
    </w:p>
    <w:p>
      <w:pPr>
        <w:ind w:right="60" w:firstLine="469"/>
        <w:spacing w:after="0" w:line="254" w:lineRule="auto"/>
        <w:rPr>
          <w:sz w:val="20"/>
          <w:szCs w:val="20"/>
          <w:color w:val="auto"/>
        </w:rPr>
      </w:pPr>
      <w:r>
        <w:rPr>
          <w:rFonts w:ascii="Times New Roman" w:cs="Times New Roman" w:eastAsia="Times New Roman" w:hAnsi="Times New Roman"/>
          <w:sz w:val="18"/>
          <w:szCs w:val="18"/>
          <w:color w:val="auto"/>
        </w:rPr>
        <w:t>The ACL totaled $82.8 million at March 31, 2024, compared to $86.8 million at December 31, 2023. The $4.0 million decrease in the ACL from December 31, 2023 to March 31, 2024 is comprised of $4.0 in net charge-offs. At March 31, 2024, the ACL as a percentage of total loans and leases, at amortized cost, was 0.94%. This compares to 0.97% at December 31, 2023. Our economic forecast continues to be a blend of multiple forecasts produced by Moody’s. These U.S. economic forecasts include a baseline forecast, as well as downside forecasts. The baseline forecast continues to represent the largest weighting in our multi-weighted forecast scenario, with downside risks weighted among multiple forecasts. As of March 31, 2024, the resulting weighted forecast resulted in Real GDP growth declining in the third and fourth quarters of 2024. Real GDP growth is forecasted to be below 2% for 2025, before returning to growth between 2% and 2.5% in 2026. Commercial real estate values are forecasted to continue their decline until reaching their lowest level in the third quarter 2024. Unemployment is forecasted to rise in 2024, peaking around 6% in the first quarter of 2025. The unemployment rate is forecasted to stay elevated through 2026.</w:t>
      </w:r>
    </w:p>
    <w:p>
      <w:pPr>
        <w:spacing w:after="0" w:line="188" w:lineRule="exact"/>
        <w:rPr>
          <w:sz w:val="20"/>
          <w:szCs w:val="20"/>
          <w:color w:val="auto"/>
        </w:rPr>
      </w:pPr>
    </w:p>
    <w:p>
      <w:pPr>
        <w:ind w:right="300" w:firstLine="469"/>
        <w:spacing w:after="0" w:line="266" w:lineRule="auto"/>
        <w:rPr>
          <w:sz w:val="20"/>
          <w:szCs w:val="20"/>
          <w:color w:val="auto"/>
        </w:rPr>
      </w:pPr>
      <w:r>
        <w:rPr>
          <w:rFonts w:ascii="Times New Roman" w:cs="Times New Roman" w:eastAsia="Times New Roman" w:hAnsi="Times New Roman"/>
          <w:sz w:val="18"/>
          <w:szCs w:val="18"/>
          <w:color w:val="auto"/>
        </w:rPr>
        <w:t>Management believes that the ACL was appropriate at March 31, 2024 and December 31, 2023. Due to inflationary pressures, high interest rates, lower commercial real estate values, and geopolitical events, no assurance can be given that economic conditions that adversely affect the Company’s service areas or other circumstances will not be reflected in increased provisions for credit losses in the future.</w:t>
      </w:r>
    </w:p>
    <w:p>
      <w:pPr>
        <w:spacing w:after="0" w:line="135"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balance and activity related to the allowance for credit losses for held-for-investment loans by type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Ending Balance March</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40" w:type="dxa"/>
            <w:vAlign w:val="bottom"/>
          </w:tcPr>
          <w:p>
            <w:pPr>
              <w:spacing w:after="0"/>
              <w:rPr>
                <w:sz w:val="12"/>
                <w:szCs w:val="12"/>
                <w:color w:val="auto"/>
              </w:rPr>
            </w:pPr>
          </w:p>
        </w:tc>
        <w:tc>
          <w:tcPr>
            <w:tcW w:w="12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60" w:type="dxa"/>
            <w:vAlign w:val="bottom"/>
          </w:tcPr>
          <w:p>
            <w:pPr>
              <w:spacing w:after="0"/>
              <w:rPr>
                <w:sz w:val="12"/>
                <w:szCs w:val="12"/>
                <w:color w:val="auto"/>
              </w:rPr>
            </w:pPr>
          </w:p>
        </w:tc>
        <w:tc>
          <w:tcPr>
            <w:tcW w:w="17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(Recapture of) Credit</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6"/>
                <w:szCs w:val="16"/>
                <w:color w:val="auto"/>
              </w:rPr>
            </w:pPr>
          </w:p>
        </w:tc>
        <w:tc>
          <w:tcPr>
            <w:tcW w:w="11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69,466</w:t>
            </w:r>
          </w:p>
        </w:tc>
        <w:tc>
          <w:tcPr>
            <w:tcW w:w="5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(2,258 )</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(90 )</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(121 )</w:t>
            </w: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(1,917 )</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(2,316 )</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Municipal lease finance</w:t>
            </w:r>
          </w:p>
        </w:tc>
        <w:tc>
          <w:tcPr>
            <w:tcW w:w="12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(16 )</w:t>
            </w:r>
          </w:p>
        </w:tc>
        <w:tc>
          <w:tcPr>
            <w:tcW w:w="2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receivables</w:t>
            </w:r>
          </w:p>
        </w:tc>
        <w:tc>
          <w:tcPr>
            <w:tcW w:w="1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SFR mortgage</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(52 )</w:t>
            </w: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(2 )</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80" w:type="dxa"/>
            <w:vAlign w:val="bottom"/>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86,842</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(4,267 )</w:t>
            </w:r>
          </w:p>
        </w:tc>
        <w:tc>
          <w:tcPr>
            <w:tcW w:w="2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242</w:t>
            </w:r>
          </w:p>
        </w:tc>
        <w:tc>
          <w:tcPr>
            <w:tcW w:w="480" w:type="dxa"/>
            <w:vAlign w:val="bottom"/>
            <w:gridSpan w:val="2"/>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82,817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-24765</wp:posOffset>
            </wp:positionV>
            <wp:extent cx="768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-7620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774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Ending Balance March</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40" w:type="dxa"/>
            <w:vAlign w:val="bottom"/>
          </w:tcPr>
          <w:p>
            <w:pPr>
              <w:spacing w:after="0"/>
              <w:rPr>
                <w:sz w:val="12"/>
                <w:szCs w:val="12"/>
                <w:color w:val="auto"/>
              </w:rPr>
            </w:pPr>
          </w:p>
        </w:tc>
        <w:tc>
          <w:tcPr>
            <w:tcW w:w="12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60" w:type="dxa"/>
            <w:vAlign w:val="bottom"/>
          </w:tcPr>
          <w:p>
            <w:pPr>
              <w:spacing w:after="0"/>
              <w:rPr>
                <w:sz w:val="12"/>
                <w:szCs w:val="12"/>
                <w:color w:val="auto"/>
              </w:rPr>
            </w:pPr>
          </w:p>
        </w:tc>
        <w:tc>
          <w:tcPr>
            <w:tcW w:w="17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(Recapture of) Credit</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6"/>
                <w:szCs w:val="16"/>
                <w:color w:val="auto"/>
              </w:rPr>
            </w:pPr>
          </w:p>
        </w:tc>
        <w:tc>
          <w:tcPr>
            <w:tcW w:w="11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Borders>
              <w:top w:val="single" w:sz="8" w:color="auto"/>
            </w:tcBorders>
            <w:gridSpan w:val="2"/>
          </w:tcPr>
          <w:p>
            <w:pPr>
              <w:ind w:left="20"/>
              <w:spacing w:after="0" w:line="160"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64,806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24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(31 )</w:t>
            </w: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(94 )</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(16 )</w:t>
            </w: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(1,241 )</w:t>
            </w: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Municipal lease finance</w:t>
            </w:r>
          </w:p>
        </w:tc>
        <w:tc>
          <w:tcPr>
            <w:tcW w:w="12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2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(13 )</w:t>
            </w:r>
          </w:p>
        </w:tc>
        <w:tc>
          <w:tcPr>
            <w:tcW w:w="28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7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receivables</w:t>
            </w:r>
          </w:p>
        </w:tc>
        <w:tc>
          <w:tcPr>
            <w:tcW w:w="120" w:type="dxa"/>
            <w:vAlign w:val="bottom"/>
            <w:shd w:val="clear" w:color="auto" w:fill="CFF0FC"/>
          </w:tcPr>
          <w:p>
            <w:pPr>
              <w:spacing w:after="0"/>
              <w:rPr>
                <w:sz w:val="9"/>
                <w:szCs w:val="9"/>
                <w:color w:val="auto"/>
              </w:rPr>
            </w:pPr>
          </w:p>
        </w:tc>
        <w:tc>
          <w:tcPr>
            <w:tcW w:w="1360" w:type="dxa"/>
            <w:vAlign w:val="bottom"/>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520" w:type="dxa"/>
            <w:vAlign w:val="bottom"/>
            <w:gridSpan w:val="2"/>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80" w:type="dxa"/>
            <w:vAlign w:val="bottom"/>
            <w:gridSpan w:val="2"/>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7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36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6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4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SFR mortgage</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85,117</w:t>
            </w:r>
          </w:p>
        </w:tc>
        <w:tc>
          <w:tcPr>
            <w:tcW w:w="50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(110 )</w:t>
            </w:r>
          </w:p>
        </w:tc>
        <w:tc>
          <w:tcPr>
            <w:tcW w:w="2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w:t>
            </w:r>
          </w:p>
        </w:tc>
        <w:tc>
          <w:tcPr>
            <w:tcW w:w="48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1,500</w:t>
            </w:r>
          </w:p>
        </w:tc>
        <w:tc>
          <w:tcPr>
            <w:tcW w:w="240" w:type="dxa"/>
            <w:vAlign w:val="bottom"/>
          </w:tcPr>
          <w:p>
            <w:pPr>
              <w:spacing w:after="0"/>
              <w:rPr>
                <w:sz w:val="14"/>
                <w:szCs w:val="14"/>
                <w:color w:val="auto"/>
              </w:rPr>
            </w:pPr>
          </w:p>
        </w:tc>
        <w:tc>
          <w:tcPr>
            <w:tcW w:w="2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86,540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-144780</wp:posOffset>
            </wp:positionV>
            <wp:extent cx="768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-144780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-144780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-144780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Past Due and Nonperforming Loans</w:t>
      </w:r>
    </w:p>
    <w:p>
      <w:pPr>
        <w:spacing w:after="0" w:line="229" w:lineRule="exact"/>
        <w:rPr>
          <w:sz w:val="20"/>
          <w:szCs w:val="20"/>
          <w:color w:val="auto"/>
        </w:rPr>
      </w:pPr>
    </w:p>
    <w:p>
      <w:pPr>
        <w:ind w:right="80" w:firstLine="469"/>
        <w:spacing w:after="0" w:line="254" w:lineRule="auto"/>
        <w:rPr>
          <w:sz w:val="20"/>
          <w:szCs w:val="20"/>
          <w:color w:val="auto"/>
        </w:rPr>
      </w:pPr>
      <w:r>
        <w:rPr>
          <w:rFonts w:ascii="Times New Roman" w:cs="Times New Roman" w:eastAsia="Times New Roman" w:hAnsi="Times New Roman"/>
          <w:sz w:val="18"/>
          <w:szCs w:val="18"/>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responsible for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included in our Annual Report on Form 10-K for the year ended December 31, 2023, for additional discussion concerning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Bank’s policy for past due and nonperforming loans.</w:t>
      </w:r>
    </w:p>
    <w:p>
      <w:pPr>
        <w:spacing w:after="0" w:line="192" w:lineRule="exact"/>
        <w:rPr>
          <w:sz w:val="20"/>
          <w:szCs w:val="20"/>
          <w:color w:val="auto"/>
        </w:rPr>
      </w:pPr>
    </w:p>
    <w:p>
      <w:pPr>
        <w:ind w:right="38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(including nonaccrual loans), by type of loans as of the dates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11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30-59 Days Past</w:t>
            </w:r>
          </w:p>
        </w:tc>
        <w:tc>
          <w:tcPr>
            <w:tcW w:w="240" w:type="dxa"/>
            <w:vAlign w:val="bottom"/>
          </w:tcPr>
          <w:p>
            <w:pPr>
              <w:spacing w:after="0"/>
              <w:rPr>
                <w:sz w:val="11"/>
                <w:szCs w:val="11"/>
                <w:color w:val="auto"/>
              </w:rPr>
            </w:pPr>
          </w:p>
        </w:tc>
        <w:tc>
          <w:tcPr>
            <w:tcW w:w="116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60-89 Days Past</w:t>
            </w:r>
          </w:p>
        </w:tc>
        <w:tc>
          <w:tcPr>
            <w:tcW w:w="220" w:type="dxa"/>
            <w:vAlign w:val="bottom"/>
          </w:tcPr>
          <w:p>
            <w:pPr>
              <w:spacing w:after="0"/>
              <w:rPr>
                <w:sz w:val="11"/>
                <w:szCs w:val="11"/>
                <w:color w:val="auto"/>
              </w:rPr>
            </w:pPr>
          </w:p>
        </w:tc>
        <w:tc>
          <w:tcPr>
            <w:tcW w:w="11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Greater than 89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Loans Not Past</w:t>
            </w:r>
          </w:p>
        </w:tc>
        <w:tc>
          <w:tcPr>
            <w:tcW w:w="220" w:type="dxa"/>
            <w:vAlign w:val="bottom"/>
          </w:tcPr>
          <w:p>
            <w:pPr>
              <w:spacing w:after="0"/>
              <w:rPr>
                <w:sz w:val="11"/>
                <w:szCs w:val="11"/>
                <w:color w:val="auto"/>
              </w:rPr>
            </w:pPr>
          </w:p>
        </w:tc>
        <w:tc>
          <w:tcPr>
            <w:tcW w:w="11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Total Loans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Owner occupied</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2,407,593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2,410,119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Non-owner occupied</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11,295</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5,960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27,916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4,282,503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4,310,419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Speculative (1)</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52,256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52,256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Non-speculative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SBA</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267,858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268,320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SBA - PPP</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960,627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963,120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72,032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SFR mortgage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276,475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57,549</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57,549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loans at amortized cost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14,235</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5,960</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8,737,316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8,770,713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-145415</wp:posOffset>
            </wp:positionV>
            <wp:extent cx="768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-145415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-145415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-145415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-145415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3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11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30-59 Days Past</w:t>
            </w:r>
          </w:p>
        </w:tc>
        <w:tc>
          <w:tcPr>
            <w:tcW w:w="240" w:type="dxa"/>
            <w:vAlign w:val="bottom"/>
          </w:tcPr>
          <w:p>
            <w:pPr>
              <w:spacing w:after="0"/>
              <w:rPr>
                <w:sz w:val="11"/>
                <w:szCs w:val="11"/>
                <w:color w:val="auto"/>
              </w:rPr>
            </w:pPr>
          </w:p>
        </w:tc>
        <w:tc>
          <w:tcPr>
            <w:tcW w:w="11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60-89 Days Past</w:t>
            </w:r>
          </w:p>
        </w:tc>
        <w:tc>
          <w:tcPr>
            <w:tcW w:w="220" w:type="dxa"/>
            <w:vAlign w:val="bottom"/>
          </w:tcPr>
          <w:p>
            <w:pPr>
              <w:spacing w:after="0"/>
              <w:rPr>
                <w:sz w:val="11"/>
                <w:szCs w:val="11"/>
                <w:color w:val="auto"/>
              </w:rPr>
            </w:pPr>
          </w:p>
        </w:tc>
        <w:tc>
          <w:tcPr>
            <w:tcW w:w="11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Greater than 89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Loans Not Past</w:t>
            </w:r>
          </w:p>
        </w:tc>
        <w:tc>
          <w:tcPr>
            <w:tcW w:w="220" w:type="dxa"/>
            <w:vAlign w:val="bottom"/>
          </w:tcPr>
          <w:p>
            <w:pPr>
              <w:spacing w:after="0"/>
              <w:rPr>
                <w:sz w:val="11"/>
                <w:szCs w:val="11"/>
                <w:color w:val="auto"/>
              </w:rPr>
            </w:pPr>
          </w:p>
        </w:tc>
        <w:tc>
          <w:tcPr>
            <w:tcW w:w="11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Total Loans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Owner occupied</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2,430,447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2,433,252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Non-owner occupied</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4,350,706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4,351,253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Speculative (1)</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57,921</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Non-speculative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SBA</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269,542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270,619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SBA - PPP</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965,630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969,895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412,891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412,891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73,590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SFR mortgage</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269,667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54,054</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54,072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loans at amortized cost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8,895,997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8,904,910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-144780</wp:posOffset>
            </wp:positionV>
            <wp:extent cx="76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-144780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-144780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-144780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-144780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30" w:lineRule="exact"/>
        <w:rPr>
          <w:sz w:val="20"/>
          <w:szCs w:val="20"/>
          <w:color w:val="auto"/>
        </w:rPr>
      </w:pPr>
    </w:p>
    <w:p>
      <w:pPr>
        <w:ind w:right="200" w:firstLine="469"/>
        <w:spacing w:after="0" w:line="282" w:lineRule="auto"/>
        <w:rPr>
          <w:sz w:val="20"/>
          <w:szCs w:val="20"/>
          <w:color w:val="auto"/>
        </w:rPr>
      </w:pPr>
      <w:r>
        <w:rPr>
          <w:rFonts w:ascii="Times New Roman" w:cs="Times New Roman" w:eastAsia="Times New Roman" w:hAnsi="Times New Roman"/>
          <w:sz w:val="18"/>
          <w:szCs w:val="18"/>
          <w:color w:val="auto"/>
        </w:rPr>
        <w:t>Amortized cost of our finance receivables and loans that are on nonaccrual status, including loans with no allowance are presented as of March 31, 2024 and December 31, 2023 by type of loan.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616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Past Due</w:t>
            </w:r>
          </w:p>
        </w:tc>
        <w:tc>
          <w:tcPr>
            <w:tcW w:w="100" w:type="dxa"/>
            <w:vAlign w:val="bottom"/>
          </w:tcPr>
          <w:p>
            <w:pPr>
              <w:spacing w:after="0"/>
              <w:rPr>
                <w:sz w:val="18"/>
                <w:szCs w:val="18"/>
                <w:color w:val="auto"/>
              </w:rPr>
            </w:pPr>
          </w:p>
        </w:tc>
      </w:tr>
      <w:tr>
        <w:trPr>
          <w:trHeight w:val="216"/>
        </w:trPr>
        <w:tc>
          <w:tcPr>
            <w:tcW w:w="616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 Allowance for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Total Nonaccrual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Over 89 Days</w:t>
            </w:r>
          </w:p>
        </w:tc>
      </w:tr>
      <w:tr>
        <w:trPr>
          <w:trHeight w:val="245"/>
        </w:trPr>
        <w:tc>
          <w:tcPr>
            <w:tcW w:w="6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(1) (3)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Still Accruing</w:t>
            </w:r>
          </w:p>
        </w:tc>
      </w:tr>
      <w:tr>
        <w:trPr>
          <w:trHeight w:val="240"/>
        </w:trPr>
        <w:tc>
          <w:tcPr>
            <w:tcW w:w="6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(Dollars in thousands)</w:t>
            </w: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(2)</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SBA - PPP</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SFR mortgage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-187960</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2024, $608,000 of nonaccruing loans were current and $13.2 million were 90+ days past due.</w:t>
      </w:r>
    </w:p>
    <w:p>
      <w:pPr>
        <w:spacing w:after="0" w:line="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1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guaranteed portion of nonaccrual SBA loans that are in process of collection.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5"/>
        </w:trPr>
        <w:tc>
          <w:tcPr>
            <w:tcW w:w="6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616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Past Due</w:t>
            </w:r>
          </w:p>
        </w:tc>
        <w:tc>
          <w:tcPr>
            <w:tcW w:w="100" w:type="dxa"/>
            <w:vAlign w:val="bottom"/>
          </w:tcPr>
          <w:p>
            <w:pPr>
              <w:spacing w:after="0"/>
              <w:rPr>
                <w:sz w:val="18"/>
                <w:szCs w:val="18"/>
                <w:color w:val="auto"/>
              </w:rPr>
            </w:pPr>
          </w:p>
        </w:tc>
      </w:tr>
      <w:tr>
        <w:trPr>
          <w:trHeight w:val="216"/>
        </w:trPr>
        <w:tc>
          <w:tcPr>
            <w:tcW w:w="616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 Allowance for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Total Nonaccrual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Over 89 Days</w:t>
            </w:r>
          </w:p>
        </w:tc>
      </w:tr>
      <w:tr>
        <w:trPr>
          <w:trHeight w:val="245"/>
        </w:trPr>
        <w:tc>
          <w:tcPr>
            <w:tcW w:w="6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Still Accruing</w:t>
            </w:r>
          </w:p>
        </w:tc>
      </w:tr>
      <w:tr>
        <w:trPr>
          <w:trHeight w:val="233"/>
        </w:trPr>
        <w:tc>
          <w:tcPr>
            <w:tcW w:w="6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3"/>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(2)</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SBA - PPP</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SFR mortgage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-187960</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$13.0 million of nonaccruing loans were current, $16,000 were 30-59 days past due, and $8.3 million were 90+ days past due.</w:t>
      </w:r>
    </w:p>
    <w:p>
      <w:pPr>
        <w:spacing w:after="0" w:line="2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Dependent Loans</w:t>
      </w:r>
    </w:p>
    <w:p>
      <w:pPr>
        <w:spacing w:after="0" w:line="229" w:lineRule="exact"/>
        <w:rPr>
          <w:sz w:val="20"/>
          <w:szCs w:val="20"/>
          <w:color w:val="auto"/>
        </w:rPr>
      </w:pPr>
    </w:p>
    <w:p>
      <w:pPr>
        <w:ind w:right="220" w:firstLine="469"/>
        <w:spacing w:after="0" w:line="266" w:lineRule="auto"/>
        <w:rPr>
          <w:sz w:val="20"/>
          <w:szCs w:val="20"/>
          <w:color w:val="auto"/>
        </w:rPr>
      </w:pPr>
      <w:r>
        <w:rPr>
          <w:rFonts w:ascii="Times New Roman" w:cs="Times New Roman" w:eastAsia="Times New Roman" w:hAnsi="Times New Roman"/>
          <w:sz w:val="18"/>
          <w:szCs w:val="18"/>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Loans</w:t>
            </w:r>
          </w:p>
        </w:tc>
      </w:tr>
      <w:tr>
        <w:trPr>
          <w:trHeight w:val="200"/>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Dependent on</w:t>
            </w:r>
          </w:p>
        </w:tc>
      </w:tr>
      <w:tr>
        <w:trPr>
          <w:trHeight w:val="225"/>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Business Assets</w:t>
            </w:r>
          </w:p>
        </w:tc>
        <w:tc>
          <w:tcPr>
            <w:tcW w:w="300" w:type="dxa"/>
            <w:vAlign w:val="bottom"/>
          </w:tcPr>
          <w:p>
            <w:pPr>
              <w:spacing w:after="0"/>
              <w:rPr>
                <w:sz w:val="19"/>
                <w:szCs w:val="19"/>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6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Collateral</w:t>
            </w:r>
          </w:p>
        </w:tc>
      </w:tr>
      <w:tr>
        <w:trPr>
          <w:trHeight w:val="221"/>
        </w:trPr>
        <w:tc>
          <w:tcPr>
            <w:tcW w:w="40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w w:val="97"/>
              </w:rPr>
              <w:t>(Dollars in thousands)</w:t>
            </w: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10,661</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SBA - PPP</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SFR mortgage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3"/>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collateral-dependent loans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11,083</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300" w:type="dxa"/>
            <w:vAlign w:val="bottom"/>
          </w:tcPr>
          <w:p>
            <w:pPr>
              <w:spacing w:after="0"/>
              <w:rPr>
                <w:sz w:val="19"/>
                <w:szCs w:val="19"/>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-179070</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-179070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-179070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 Loans</w:t>
            </w:r>
          </w:p>
        </w:tc>
      </w:tr>
      <w:tr>
        <w:trPr>
          <w:trHeight w:val="200"/>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Dependent on</w:t>
            </w:r>
          </w:p>
        </w:tc>
      </w:tr>
      <w:tr>
        <w:trPr>
          <w:trHeight w:val="225"/>
        </w:trPr>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Business Assets</w:t>
            </w:r>
          </w:p>
        </w:tc>
        <w:tc>
          <w:tcPr>
            <w:tcW w:w="320" w:type="dxa"/>
            <w:vAlign w:val="bottom"/>
          </w:tcPr>
          <w:p>
            <w:pPr>
              <w:spacing w:after="0"/>
              <w:rPr>
                <w:sz w:val="19"/>
                <w:szCs w:val="19"/>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Collateral</w:t>
            </w:r>
          </w:p>
        </w:tc>
      </w:tr>
      <w:tr>
        <w:trPr>
          <w:trHeight w:val="221"/>
        </w:trPr>
        <w:tc>
          <w:tcPr>
            <w:tcW w:w="40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15,440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SBA - PPP</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20"/>
                <w:szCs w:val="20"/>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SFR mortgage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3"/>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collateral-dependent loans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3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-179070</wp:posOffset>
            </wp:positionV>
            <wp:extent cx="77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-179070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-179070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for Unfunded Loan Commitments</w:t>
      </w:r>
    </w:p>
    <w:p>
      <w:pPr>
        <w:spacing w:after="0" w:line="229" w:lineRule="exact"/>
        <w:rPr>
          <w:sz w:val="20"/>
          <w:szCs w:val="20"/>
          <w:color w:val="auto"/>
        </w:rPr>
      </w:pPr>
    </w:p>
    <w:p>
      <w:pPr>
        <w:ind w:right="100" w:firstLine="469"/>
        <w:spacing w:after="0" w:line="256" w:lineRule="auto"/>
        <w:rPr>
          <w:sz w:val="20"/>
          <w:szCs w:val="20"/>
          <w:color w:val="auto"/>
        </w:rPr>
      </w:pPr>
      <w:r>
        <w:rPr>
          <w:rFonts w:ascii="Times New Roman" w:cs="Times New Roman" w:eastAsia="Times New Roman" w:hAnsi="Times New Roman"/>
          <w:sz w:val="18"/>
          <w:szCs w:val="18"/>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$7.5 million for the off-balance sheet credit exposures as of March 31, 2024. There was no provision for unfunded loan commitments for the three months ended March 31, 2024, compared to $500,000 in provision for the three months ended March 31, 2023. As of March 31, 2024 and December 31, 2023, the balance in this reserve was $7.5 million and was included in other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 of Loans to Borrowers Experiencing Financial Difficulty</w:t>
      </w:r>
    </w:p>
    <w:p>
      <w:pPr>
        <w:spacing w:after="0" w:line="229" w:lineRule="exact"/>
        <w:rPr>
          <w:sz w:val="20"/>
          <w:szCs w:val="20"/>
          <w:color w:val="auto"/>
        </w:rPr>
      </w:pPr>
    </w:p>
    <w:p>
      <w:pPr>
        <w:ind w:right="400" w:firstLine="469"/>
        <w:spacing w:after="0" w:line="266" w:lineRule="auto"/>
        <w:rPr>
          <w:sz w:val="20"/>
          <w:szCs w:val="20"/>
          <w:color w:val="auto"/>
        </w:rPr>
      </w:pPr>
      <w:r>
        <w:rPr>
          <w:rFonts w:ascii="Times New Roman" w:cs="Times New Roman" w:eastAsia="Times New Roman" w:hAnsi="Times New Roman"/>
          <w:sz w:val="18"/>
          <w:szCs w:val="18"/>
          <w:color w:val="auto"/>
        </w:rPr>
        <w:t>The Company adopted Accounting Standards Update (“ASU”) 2022-02, Financial Instruments - Credit Losses (Topic 326) Troubled Debt Restructurings and Vintage Disclosures (“ASU 2022-02”) effective January 1, 2023. The amendments in ASU 2022-02 eliminated the recognition and measurement of TDRs and enhanced disclosures for loan modifications to borrowers experiencing financial difficulty.</w:t>
      </w:r>
    </w:p>
    <w:p>
      <w:pPr>
        <w:spacing w:after="0" w:line="176" w:lineRule="exact"/>
        <w:rPr>
          <w:sz w:val="20"/>
          <w:szCs w:val="20"/>
          <w:color w:val="auto"/>
        </w:rPr>
      </w:pPr>
    </w:p>
    <w:p>
      <w:pPr>
        <w:jc w:val="both"/>
        <w:ind w:right="380" w:firstLine="469"/>
        <w:spacing w:after="0" w:line="266" w:lineRule="auto"/>
        <w:rPr>
          <w:sz w:val="20"/>
          <w:szCs w:val="20"/>
          <w:color w:val="auto"/>
        </w:rPr>
      </w:pPr>
      <w:r>
        <w:rPr>
          <w:rFonts w:ascii="Times New Roman" w:cs="Times New Roman" w:eastAsia="Times New Roman" w:hAnsi="Times New Roman"/>
          <w:sz w:val="18"/>
          <w:szCs w:val="18"/>
          <w:color w:val="auto"/>
        </w:rPr>
        <w:t>There were three loans to borrowers experiencing financial difficulty that were modified during the three months ended March 31, 2024 with an amortized cost totaling $1.3 million as of March 31, 2024, including one dairy &amp; livestock and agribusiness loan of $962,000 and two commercial and industrial loans totaling $350,000.</w:t>
      </w:r>
    </w:p>
    <w:p>
      <w:pPr>
        <w:spacing w:after="0" w:line="176" w:lineRule="exact"/>
        <w:rPr>
          <w:sz w:val="20"/>
          <w:szCs w:val="20"/>
          <w:color w:val="auto"/>
        </w:rPr>
      </w:pPr>
    </w:p>
    <w:p>
      <w:pPr>
        <w:ind w:right="140" w:firstLine="464"/>
        <w:spacing w:after="0" w:line="282" w:lineRule="auto"/>
        <w:rPr>
          <w:sz w:val="20"/>
          <w:szCs w:val="20"/>
          <w:color w:val="auto"/>
        </w:rPr>
      </w:pPr>
      <w:r>
        <w:rPr>
          <w:rFonts w:ascii="Times New Roman" w:cs="Times New Roman" w:eastAsia="Times New Roman" w:hAnsi="Times New Roman"/>
          <w:sz w:val="18"/>
          <w:szCs w:val="18"/>
          <w:color w:val="auto"/>
        </w:rPr>
        <w:t>The tables below reflect the amortized cost of loans by type made to borrowers experiencing financial difficulty that were modified as of March 31, 2024 and March 31, 2023, and the financial effect of those modifications.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Combination-Term Extension and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6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120" w:type="dxa"/>
            <w:vAlign w:val="bottom"/>
          </w:tcPr>
          <w:p>
            <w:pPr>
              <w:spacing w:after="0"/>
              <w:rPr>
                <w:sz w:val="21"/>
                <w:szCs w:val="21"/>
                <w:color w:val="auto"/>
              </w:rPr>
            </w:pPr>
          </w:p>
        </w:tc>
        <w:tc>
          <w:tcPr>
            <w:tcW w:w="308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Interest Rate Reduction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 Class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 Class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4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 Financing</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Financing</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340" w:type="dxa"/>
            <w:vAlign w:val="bottom"/>
          </w:tcPr>
          <w:p>
            <w:pPr>
              <w:spacing w:after="0"/>
              <w:rPr>
                <w:sz w:val="21"/>
                <w:szCs w:val="21"/>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2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30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80" w:type="dxa"/>
            <w:vAlign w:val="bottom"/>
          </w:tcPr>
          <w:p>
            <w:pPr>
              <w:spacing w:after="0"/>
              <w:rPr>
                <w:sz w:val="21"/>
                <w:szCs w:val="21"/>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0.03 %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8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0.07 %</w:t>
            </w: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0.03 %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60" w:type="dxa"/>
            <w:vAlign w:val="bottom"/>
            <w:gridSpan w:val="2"/>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3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Loan Type</w:t>
            </w:r>
          </w:p>
        </w:tc>
        <w:tc>
          <w:tcPr>
            <w:tcW w:w="440" w:type="dxa"/>
            <w:vAlign w:val="bottom"/>
          </w:tcPr>
          <w:p>
            <w:pPr>
              <w:spacing w:after="0"/>
              <w:rPr>
                <w:sz w:val="21"/>
                <w:szCs w:val="21"/>
                <w:color w:val="auto"/>
              </w:rPr>
            </w:pPr>
          </w:p>
        </w:tc>
        <w:tc>
          <w:tcPr>
            <w:tcW w:w="60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Financial Effect</w:t>
            </w:r>
          </w:p>
        </w:tc>
      </w:tr>
      <w:tr>
        <w:trPr>
          <w:trHeight w:val="479"/>
        </w:trPr>
        <w:tc>
          <w:tcPr>
            <w:tcW w:w="4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Term Extension</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4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218"/>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440" w:type="dxa"/>
            <w:vAlign w:val="bottom"/>
            <w:shd w:val="clear" w:color="auto" w:fill="CFF0FC"/>
          </w:tcPr>
          <w:p>
            <w:pPr>
              <w:spacing w:after="0"/>
              <w:rPr>
                <w:sz w:val="18"/>
                <w:szCs w:val="18"/>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Added a weighted-average 1.3 years to the life of loans, which reduced monthly</w:t>
            </w:r>
          </w:p>
        </w:tc>
      </w:tr>
      <w:tr>
        <w:trPr>
          <w:trHeight w:val="248"/>
        </w:trPr>
        <w:tc>
          <w:tcPr>
            <w:tcW w:w="4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amounts for the borrowers.</w:t>
            </w:r>
          </w:p>
        </w:tc>
      </w:tr>
      <w:tr>
        <w:trPr>
          <w:trHeight w:val="21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Added a weighted-average 0.7 years to the life of loans, which reduced monthly</w:t>
            </w:r>
          </w:p>
        </w:tc>
      </w:tr>
      <w:tr>
        <w:trPr>
          <w:trHeight w:val="241"/>
        </w:trPr>
        <w:tc>
          <w:tcPr>
            <w:tcW w:w="4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amounts for the borrowers.</w:t>
            </w:r>
          </w:p>
        </w:tc>
      </w:tr>
      <w:tr>
        <w:trPr>
          <w:trHeight w:val="218"/>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440" w:type="dxa"/>
            <w:vAlign w:val="bottom"/>
            <w:shd w:val="clear" w:color="auto" w:fill="CFF0FC"/>
          </w:tcPr>
          <w:p>
            <w:pPr>
              <w:spacing w:after="0"/>
              <w:rPr>
                <w:sz w:val="18"/>
                <w:szCs w:val="18"/>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Added a weighted-average 0.6 years to the life of loans, which reduced monthly</w:t>
            </w:r>
          </w:p>
        </w:tc>
      </w:tr>
      <w:tr>
        <w:trPr>
          <w:trHeight w:val="248"/>
        </w:trPr>
        <w:tc>
          <w:tcPr>
            <w:tcW w:w="4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amounts for the borrowers.</w:t>
            </w:r>
          </w:p>
        </w:tc>
      </w:tr>
      <w:tr>
        <w:trPr>
          <w:trHeight w:val="479"/>
        </w:trPr>
        <w:tc>
          <w:tcPr>
            <w:tcW w:w="4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Term Extension</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44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218"/>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440" w:type="dxa"/>
            <w:vAlign w:val="bottom"/>
            <w:shd w:val="clear" w:color="auto" w:fill="CFF0FC"/>
          </w:tcPr>
          <w:p>
            <w:pPr>
              <w:spacing w:after="0"/>
              <w:rPr>
                <w:sz w:val="18"/>
                <w:szCs w:val="18"/>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Added a weighted-average 1.1 years to the life of loans, which reduced monthly</w:t>
            </w:r>
          </w:p>
        </w:tc>
      </w:tr>
      <w:tr>
        <w:trPr>
          <w:trHeight w:val="248"/>
        </w:trPr>
        <w:tc>
          <w:tcPr>
            <w:tcW w:w="4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amounts for the borrowers.</w:t>
            </w:r>
          </w:p>
        </w:tc>
      </w:tr>
      <w:tr>
        <w:trPr>
          <w:trHeight w:val="21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Added a weighted-average 0.8 years to the life of loans, which reduced monthly</w:t>
            </w:r>
          </w:p>
        </w:tc>
      </w:tr>
      <w:tr>
        <w:trPr>
          <w:trHeight w:val="241"/>
        </w:trPr>
        <w:tc>
          <w:tcPr>
            <w:tcW w:w="4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amounts for the borrowers.</w:t>
            </w:r>
          </w:p>
        </w:tc>
      </w:tr>
      <w:tr>
        <w:trPr>
          <w:trHeight w:val="218"/>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440" w:type="dxa"/>
            <w:vAlign w:val="bottom"/>
            <w:shd w:val="clear" w:color="auto" w:fill="CFF0FC"/>
          </w:tcPr>
          <w:p>
            <w:pPr>
              <w:spacing w:after="0"/>
              <w:rPr>
                <w:sz w:val="18"/>
                <w:szCs w:val="18"/>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Added a weighted-average 1.2 years to the life of loans, which reduced monthly</w:t>
            </w:r>
          </w:p>
        </w:tc>
      </w:tr>
      <w:tr>
        <w:trPr>
          <w:trHeight w:val="248"/>
        </w:trPr>
        <w:tc>
          <w:tcPr>
            <w:tcW w:w="4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amounts for the borrowers.</w:t>
            </w:r>
          </w:p>
        </w:tc>
      </w:tr>
    </w:tbl>
    <w:p>
      <w:pPr>
        <w:spacing w:after="0" w:line="198" w:lineRule="exact"/>
        <w:rPr>
          <w:sz w:val="20"/>
          <w:szCs w:val="20"/>
          <w:color w:val="auto"/>
        </w:rPr>
      </w:pPr>
    </w:p>
    <w:p>
      <w:pPr>
        <w:ind w:right="200" w:firstLine="464"/>
        <w:spacing w:after="0" w:line="266" w:lineRule="auto"/>
        <w:rPr>
          <w:sz w:val="20"/>
          <w:szCs w:val="20"/>
          <w:color w:val="auto"/>
        </w:rPr>
      </w:pPr>
      <w:r>
        <w:rPr>
          <w:rFonts w:ascii="Times New Roman" w:cs="Times New Roman" w:eastAsia="Times New Roman" w:hAnsi="Times New Roman"/>
          <w:sz w:val="18"/>
          <w:szCs w:val="18"/>
          <w:color w:val="auto"/>
        </w:rPr>
        <w:t>As of March 31, 2024, the Company did not have any loans made to borrowers experiencing financial difficulty that were modified during the first quarter of 2024 that subsequently defaulted. Payment default is defined as movement to nonaccrual (nonperforming) status, foreclosure or charge-off, whichever occurs first.</w:t>
      </w:r>
    </w:p>
    <w:p>
      <w:pPr>
        <w:spacing w:after="0" w:line="176" w:lineRule="exact"/>
        <w:rPr>
          <w:sz w:val="20"/>
          <w:szCs w:val="20"/>
          <w:color w:val="auto"/>
        </w:rPr>
      </w:pPr>
    </w:p>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at amortized cost (including nonaccrual loans), by type of loans, made to borrowers experiencing financial difficulty as of March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Status (amortized cost basis)</w:t>
            </w: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3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100" w:type="dxa"/>
            <w:vAlign w:val="bottom"/>
          </w:tcPr>
          <w:p>
            <w:pPr>
              <w:spacing w:after="0"/>
              <w:rPr>
                <w:sz w:val="18"/>
                <w:szCs w:val="18"/>
                <w:color w:val="auto"/>
              </w:rPr>
            </w:pPr>
          </w:p>
        </w:tc>
      </w:tr>
      <w:tr>
        <w:trPr>
          <w:trHeight w:val="245"/>
        </w:trPr>
        <w:tc>
          <w:tcPr>
            <w:tcW w:w="4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320" w:type="dxa"/>
            <w:vAlign w:val="bottom"/>
          </w:tcPr>
          <w:p>
            <w:pPr>
              <w:spacing w:after="0"/>
              <w:rPr>
                <w:sz w:val="21"/>
                <w:szCs w:val="21"/>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Past Due</w:t>
            </w:r>
          </w:p>
        </w:tc>
      </w:tr>
      <w:tr>
        <w:trPr>
          <w:trHeight w:val="240"/>
        </w:trPr>
        <w:tc>
          <w:tcPr>
            <w:tcW w:w="45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5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45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3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3"/>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5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3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80" w:type="dxa"/>
            <w:vAlign w:val="bottom"/>
            <w:gridSpan w:val="3"/>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5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20" w:type="dxa"/>
            <w:vAlign w:val="bottom"/>
            <w:tcBorders>
              <w:top w:val="single" w:sz="8" w:color="auto"/>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52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9"/>
        </w:trPr>
        <w:tc>
          <w:tcPr>
            <w:tcW w:w="45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Repurchase Agreements</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The Bank offers a repurchase agreement product to its customers. This product, known as Citizens Sweep Manager, sells our investment securities overnight to our customers under an agreement to repurchase them the next day at a price which reflects the market value of the use of funds by the Bank for the period concerned. These repurchase agreements are signed with customers who want to invest their excess deposits, above a pre-determined balance in a demand deposit account, in order to earn interest. As of March 31, 2024, total funds borrowed under these agreements were $275.7 million with a weighted average interest rate of 0.41%, compared to $271.6 million with a weighted average interest rate of 0.29% at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Home Loan Bank Advances and Other Borrowings</w:t>
      </w:r>
    </w:p>
    <w:p>
      <w:pPr>
        <w:spacing w:after="0" w:line="229" w:lineRule="exact"/>
        <w:rPr>
          <w:sz w:val="20"/>
          <w:szCs w:val="20"/>
          <w:color w:val="auto"/>
        </w:rPr>
      </w:pPr>
    </w:p>
    <w:p>
      <w:pPr>
        <w:ind w:right="340" w:firstLine="469"/>
        <w:spacing w:after="0" w:line="312" w:lineRule="auto"/>
        <w:rPr>
          <w:sz w:val="20"/>
          <w:szCs w:val="20"/>
          <w:color w:val="auto"/>
        </w:rPr>
      </w:pPr>
      <w:r>
        <w:rPr>
          <w:rFonts w:ascii="Times New Roman" w:cs="Times New Roman" w:eastAsia="Times New Roman" w:hAnsi="Times New Roman"/>
          <w:sz w:val="17"/>
          <w:szCs w:val="17"/>
          <w:color w:val="auto"/>
        </w:rPr>
        <w:t>As of March 31, 2024, total borrowings of $2.0 billion, consisted of one-year advances from the Federal Reserve’s Bank Term Funding Program (“BTFP”) at a cost of approximately 4.75%. The BTFP advances include maturities of $695 million in May and $1.3 billion in January of 2025.</w:t>
      </w:r>
    </w:p>
    <w:p>
      <w:pPr>
        <w:spacing w:after="0" w:line="140" w:lineRule="exact"/>
        <w:rPr>
          <w:sz w:val="20"/>
          <w:szCs w:val="20"/>
          <w:color w:val="auto"/>
        </w:rPr>
      </w:pPr>
    </w:p>
    <w:p>
      <w:pPr>
        <w:ind w:right="180" w:firstLine="469"/>
        <w:spacing w:after="0" w:line="266" w:lineRule="auto"/>
        <w:rPr>
          <w:sz w:val="20"/>
          <w:szCs w:val="20"/>
          <w:color w:val="auto"/>
        </w:rPr>
      </w:pPr>
      <w:r>
        <w:rPr>
          <w:rFonts w:ascii="Times New Roman" w:cs="Times New Roman" w:eastAsia="Times New Roman" w:hAnsi="Times New Roman"/>
          <w:sz w:val="18"/>
          <w:szCs w:val="18"/>
          <w:color w:val="auto"/>
        </w:rPr>
        <w:t>As of December 31, 2023, total short-term borrowings of $2.07 billion, consisted of $1.91 billion of one-year advances from the Federal Reserve’s BTFP at a cost of 4.78% and $160 million of short-term FHLB advances, at an average cost of approximately 5.7%. The BTFP advances included maturities of $695 million in May and $1.2 billion in December of 2024.</w:t>
      </w:r>
    </w:p>
    <w:p>
      <w:pPr>
        <w:spacing w:after="0" w:line="176" w:lineRule="exact"/>
        <w:rPr>
          <w:sz w:val="20"/>
          <w:szCs w:val="20"/>
          <w:color w:val="auto"/>
        </w:rPr>
      </w:pPr>
    </w:p>
    <w:p>
      <w:pPr>
        <w:ind w:right="440" w:firstLine="469"/>
        <w:spacing w:after="0" w:line="282" w:lineRule="auto"/>
        <w:rPr>
          <w:sz w:val="20"/>
          <w:szCs w:val="20"/>
          <w:color w:val="auto"/>
        </w:rPr>
      </w:pPr>
      <w:r>
        <w:rPr>
          <w:rFonts w:ascii="Times New Roman" w:cs="Times New Roman" w:eastAsia="Times New Roman" w:hAnsi="Times New Roman"/>
          <w:sz w:val="18"/>
          <w:szCs w:val="18"/>
          <w:color w:val="auto"/>
        </w:rPr>
        <w:t>At March 31, 2024, loans with a carrying value of $4.24 billion were pledged to secure available lines of credit from the FHLB and the Federal Reserve Bank.</w:t>
      </w:r>
    </w:p>
    <w:p>
      <w:pPr>
        <w:spacing w:after="0" w:line="162" w:lineRule="exact"/>
        <w:rPr>
          <w:sz w:val="20"/>
          <w:szCs w:val="20"/>
          <w:color w:val="auto"/>
        </w:rPr>
      </w:pPr>
    </w:p>
    <w:p>
      <w:pPr>
        <w:ind w:right="300" w:firstLine="469"/>
        <w:spacing w:after="0" w:line="255" w:lineRule="auto"/>
        <w:rPr>
          <w:sz w:val="20"/>
          <w:szCs w:val="20"/>
          <w:color w:val="auto"/>
        </w:rPr>
      </w:pPr>
      <w:r>
        <w:rPr>
          <w:rFonts w:ascii="Times New Roman" w:cs="Times New Roman" w:eastAsia="Times New Roman" w:hAnsi="Times New Roman"/>
          <w:sz w:val="18"/>
          <w:szCs w:val="18"/>
          <w:color w:val="auto"/>
        </w:rPr>
        <w:t>At March 31, 2024 investment securities with carrying values of $2.51 billion were pledged to secure various types of deposits, including $1.37 billion of public funds. In addition, investment securities with carrying values of $2.75 billion were pledged to secure $372.3 million for repurchase agreements, $1.88 billion for outstanding borrowings, $446 million for unused borrowing capacity and approximately $51 million for other purposes as required or permitted by law.</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6" w:name="page27"/>
    <w:bookmarkEnd w:id="2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EARNINGS PER SHARE RECONCILIATION</w:t>
      </w:r>
    </w:p>
    <w:p>
      <w:pPr>
        <w:spacing w:after="0" w:line="229"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8"/>
          <w:szCs w:val="18"/>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months ended March 31, 2024 and March 31, 2023, shares deemed to be antidilutive, and thus excluded from the computation of earnings per common share, were 1,021,000 and 348,000, respectively.</w:t>
      </w:r>
    </w:p>
    <w:p>
      <w:pPr>
        <w:spacing w:after="0" w:line="183" w:lineRule="exact"/>
        <w:rPr>
          <w:sz w:val="20"/>
          <w:szCs w:val="20"/>
          <w:color w:val="auto"/>
        </w:rPr>
      </w:pPr>
    </w:p>
    <w:p>
      <w:pPr>
        <w:ind w:right="220" w:firstLine="469"/>
        <w:spacing w:after="0" w:line="282" w:lineRule="auto"/>
        <w:rPr>
          <w:sz w:val="20"/>
          <w:szCs w:val="20"/>
          <w:color w:val="auto"/>
        </w:rPr>
      </w:pPr>
      <w:r>
        <w:rPr>
          <w:rFonts w:ascii="Times New Roman" w:cs="Times New Roman" w:eastAsia="Times New Roman" w:hAnsi="Times New Roman"/>
          <w:sz w:val="18"/>
          <w:szCs w:val="18"/>
          <w:color w:val="auto"/>
        </w:rPr>
        <w:t>The table below shows earnings per common share and diluted earnings per common share, and reconciles the numerator and denominator of both earnings per common share calculations.</w:t>
      </w:r>
    </w:p>
    <w:p>
      <w:pPr>
        <w:spacing w:after="0" w:line="17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54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29"/>
        </w:trPr>
        <w:tc>
          <w:tcPr>
            <w:tcW w:w="7540" w:type="dxa"/>
            <w:vAlign w:val="bottom"/>
          </w:tcPr>
          <w:p>
            <w:pPr>
              <w:spacing w:after="0"/>
              <w:rPr>
                <w:sz w:val="19"/>
                <w:szCs w:val="19"/>
                <w:color w:val="auto"/>
              </w:rPr>
            </w:pPr>
          </w:p>
        </w:tc>
        <w:tc>
          <w:tcPr>
            <w:tcW w:w="3700" w:type="dxa"/>
            <w:vAlign w:val="bottom"/>
            <w:gridSpan w:val="6"/>
          </w:tcPr>
          <w:p>
            <w:pPr>
              <w:ind w:left="46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r>
      <w:tr>
        <w:trPr>
          <w:trHeight w:val="253"/>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48,599</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59,270</w:t>
            </w:r>
          </w:p>
        </w:tc>
        <w:tc>
          <w:tcPr>
            <w:tcW w:w="100" w:type="dxa"/>
            <w:vAlign w:val="bottom"/>
          </w:tcPr>
          <w:p>
            <w:pPr>
              <w:spacing w:after="0"/>
              <w:rPr>
                <w:sz w:val="20"/>
                <w:szCs w:val="20"/>
                <w:color w:val="auto"/>
              </w:rPr>
            </w:pPr>
          </w:p>
        </w:tc>
      </w:tr>
      <w:tr>
        <w:trPr>
          <w:trHeight w:val="247"/>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Net earnings allocated to restricted stock</w:t>
            </w:r>
          </w:p>
        </w:tc>
        <w:tc>
          <w:tcPr>
            <w:tcW w:w="10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 allocated to common shareholders</w:t>
            </w: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48,275</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58,863</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138,429</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138,592</w:t>
            </w:r>
          </w:p>
        </w:tc>
        <w:tc>
          <w:tcPr>
            <w:tcW w:w="100" w:type="dxa"/>
            <w:vAlign w:val="bottom"/>
            <w:shd w:val="clear" w:color="auto" w:fill="CFF0FC"/>
          </w:tcPr>
          <w:p>
            <w:pPr>
              <w:spacing w:after="0"/>
              <w:rPr>
                <w:sz w:val="19"/>
                <w:szCs w:val="19"/>
                <w:color w:val="auto"/>
              </w:rPr>
            </w:pPr>
          </w:p>
        </w:tc>
      </w:tr>
      <w:tr>
        <w:trPr>
          <w:trHeight w:val="243"/>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-521970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p>
      <w:pPr>
        <w:spacing w:after="0" w:line="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income allocated to common shareholders</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Incremental shares from assumed exercise of</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outstanding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tabs>
          <w:tab w:leader="none" w:pos="1100" w:val="left"/>
          <w:tab w:leader="none" w:pos="1940" w:val="left"/>
          <w:tab w:leader="none" w:pos="3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48,275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58,863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-281940</wp:posOffset>
            </wp:positionV>
            <wp:extent cx="713232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26035</wp:posOffset>
            </wp:positionV>
            <wp:extent cx="228028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280285" cy="25400"/>
                    </a:xfrm>
                    <a:prstGeom prst="rect">
                      <a:avLst/>
                    </a:prstGeom>
                    <a:noFill/>
                  </pic:spPr>
                </pic:pic>
              </a:graphicData>
            </a:graphic>
          </wp:anchor>
        </w:drawing>
      </w:r>
    </w:p>
    <w:p>
      <w:pPr>
        <w:spacing w:after="0" w:line="57" w:lineRule="exact"/>
        <w:rPr>
          <w:sz w:val="20"/>
          <w:szCs w:val="20"/>
          <w:color w:val="auto"/>
        </w:rPr>
      </w:pPr>
    </w:p>
    <w:p>
      <w:pPr>
        <w:jc w:val="both"/>
        <w:ind w:left="1020"/>
        <w:spacing w:after="0"/>
        <w:tabs>
          <w:tab w:leader="none" w:pos="2960" w:val="left"/>
        </w:tabs>
        <w:rPr>
          <w:sz w:val="20"/>
          <w:szCs w:val="20"/>
          <w:color w:val="auto"/>
        </w:rPr>
      </w:pPr>
      <w:r>
        <w:rPr>
          <w:rFonts w:ascii="Times New Roman" w:cs="Times New Roman" w:eastAsia="Times New Roman" w:hAnsi="Times New Roman"/>
          <w:sz w:val="18"/>
          <w:szCs w:val="18"/>
          <w:color w:val="auto"/>
        </w:rPr>
        <w:t>138,429</w:t>
      </w:r>
      <w:r>
        <w:rPr>
          <w:sz w:val="20"/>
          <w:szCs w:val="20"/>
          <w:color w:val="auto"/>
        </w:rPr>
        <w:tab/>
      </w:r>
      <w:r>
        <w:rPr>
          <w:rFonts w:ascii="Times New Roman" w:cs="Times New Roman" w:eastAsia="Times New Roman" w:hAnsi="Times New Roman"/>
          <w:sz w:val="18"/>
          <w:szCs w:val="18"/>
          <w:color w:val="auto"/>
        </w:rPr>
        <w:t>138,592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-127635</wp:posOffset>
            </wp:positionV>
            <wp:extent cx="713232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jc w:val="both"/>
        <w:ind w:left="1340"/>
        <w:spacing w:after="0"/>
        <w:tabs>
          <w:tab w:leader="none" w:pos="326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361</w:t>
      </w:r>
    </w:p>
    <w:p>
      <w:pPr>
        <w:spacing w:after="0" w:line="40" w:lineRule="exact"/>
        <w:rPr>
          <w:sz w:val="20"/>
          <w:szCs w:val="20"/>
          <w:color w:val="auto"/>
        </w:rPr>
      </w:pPr>
    </w:p>
    <w:p>
      <w:pPr>
        <w:sectPr>
          <w:pgSz w:w="11900" w:h="16838" w:orient="portrait"/>
          <w:cols w:equalWidth="0" w:num="2">
            <w:col w:w="6840" w:space="720"/>
            <w:col w:w="368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6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138,603</w:t>
            </w:r>
          </w:p>
        </w:tc>
        <w:tc>
          <w:tcPr>
            <w:tcW w:w="32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06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7" w:name="page28"/>
    <w:bookmarkEnd w:id="27"/>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29" w:lineRule="exact"/>
        <w:rPr>
          <w:sz w:val="20"/>
          <w:szCs w:val="20"/>
          <w:color w:val="auto"/>
        </w:rPr>
      </w:pPr>
    </w:p>
    <w:p>
      <w:pPr>
        <w:ind w:right="300" w:firstLine="469"/>
        <w:spacing w:after="0" w:line="282"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 xml:space="preserve">The valuation methodologies for financial assets and liabilities measured at fair value on a recurring and non-recurring basis are described in Note 18 — </w:t>
      </w:r>
      <w:r>
        <w:rPr>
          <w:rFonts w:ascii="Times New Roman" w:cs="Times New Roman" w:eastAsia="Times New Roman" w:hAnsi="Times New Roman"/>
          <w:sz w:val="18"/>
          <w:szCs w:val="18"/>
          <w:i w:val="1"/>
          <w:iCs w:val="1"/>
          <w:color w:val="auto"/>
        </w:rPr>
        <w:t>Fair Value Information,</w:t>
      </w:r>
      <w:r>
        <w:rPr>
          <w:rFonts w:ascii="Times New Roman" w:cs="Times New Roman" w:eastAsia="Times New Roman" w:hAnsi="Times New Roman"/>
          <w:sz w:val="18"/>
          <w:szCs w:val="18"/>
          <w:color w:val="auto"/>
        </w:rPr>
        <w:t xml:space="preserve"> included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tables below present the balances of assets and liabilities measured at fair value on a recurring basis as of the dates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left="116"/>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left="76"/>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left="136"/>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w w:val="99"/>
              </w:rPr>
              <w:t>Carrying Value at</w:t>
            </w:r>
          </w:p>
        </w:tc>
        <w:tc>
          <w:tcPr>
            <w:tcW w:w="1380" w:type="dxa"/>
            <w:vAlign w:val="bottom"/>
          </w:tcPr>
          <w:p>
            <w:pPr>
              <w:jc w:val="center"/>
              <w:ind w:left="136"/>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28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25"/>
        </w:trPr>
        <w:tc>
          <w:tcPr>
            <w:tcW w:w="4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20" w:type="dxa"/>
            <w:vAlign w:val="bottom"/>
          </w:tcPr>
          <w:p>
            <w:pPr>
              <w:spacing w:after="0"/>
              <w:rPr>
                <w:sz w:val="19"/>
                <w:szCs w:val="19"/>
                <w:color w:val="auto"/>
              </w:rPr>
            </w:pPr>
          </w:p>
        </w:tc>
        <w:tc>
          <w:tcPr>
            <w:tcW w:w="138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9"/>
                <w:szCs w:val="19"/>
                <w:color w:val="auto"/>
              </w:rPr>
            </w:pPr>
          </w:p>
        </w:tc>
      </w:tr>
      <w:tr>
        <w:trPr>
          <w:trHeight w:val="206"/>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0" w:type="dxa"/>
            <w:vAlign w:val="bottom"/>
            <w:gridSpan w:val="5"/>
          </w:tcPr>
          <w:p>
            <w:pPr>
              <w:jc w:val="right"/>
              <w:ind w:right="99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32,640</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32,640</w:t>
            </w:r>
          </w:p>
        </w:tc>
        <w:tc>
          <w:tcPr>
            <w:tcW w:w="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0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2,399,107</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2,399,107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378,894</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378,894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0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25,144</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3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2,837,100</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2,837,100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40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 rate swaps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40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Fair value hedges: interest rate swaps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10,893</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3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40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2,848,820</w:t>
            </w:r>
          </w:p>
        </w:tc>
        <w:tc>
          <w:tcPr>
            <w:tcW w:w="320" w:type="dxa"/>
            <w:vAlign w:val="bottom"/>
          </w:tcPr>
          <w:p>
            <w:pPr>
              <w:spacing w:after="0"/>
              <w:rPr>
                <w:sz w:val="20"/>
                <w:szCs w:val="20"/>
                <w:color w:val="auto"/>
              </w:rPr>
            </w:pPr>
          </w:p>
        </w:tc>
        <w:tc>
          <w:tcPr>
            <w:tcW w:w="1380" w:type="dxa"/>
            <w:vAlign w:val="bottom"/>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2,848,820</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0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Interest rate swaps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5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0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Fair value hedges: interest rate swaps</w:t>
            </w: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Cash flow hedges: interest rate swaps</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78"/>
        </w:trPr>
        <w:tc>
          <w:tcPr>
            <w:tcW w:w="408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5"/>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-2999740</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-2999740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-2999740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-2065020</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-2065020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-2065020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-796290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-779145</wp:posOffset>
            </wp:positionV>
            <wp:extent cx="768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-796290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-779145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-796290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-779145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tbl>
      <w:tblPr>
        <w:tblLayout w:type="fixed"/>
        <w:tblInd w:w="382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9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9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74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Value at</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94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74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12"/>
        </w:trPr>
        <w:tc>
          <w:tcPr>
            <w:tcW w:w="1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94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74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12065</wp:posOffset>
            </wp:positionV>
            <wp:extent cx="47491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3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10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108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2,507,679</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2,507,679</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CMO/REMIC</w:t>
            </w: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389,362</w:t>
            </w: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389,362</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25,635</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25,635</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5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3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3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w:t>
            </w:r>
          </w:p>
        </w:tc>
        <w:tc>
          <w:tcPr>
            <w:tcW w:w="5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3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instruments:</w:t>
            </w: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3660" w:type="dxa"/>
            <w:vAlign w:val="bottom"/>
          </w:tcPr>
          <w:p>
            <w:pPr>
              <w:jc w:val="right"/>
              <w:ind w:right="2019"/>
              <w:spacing w:after="0"/>
              <w:rPr>
                <w:sz w:val="20"/>
                <w:szCs w:val="20"/>
                <w:color w:val="auto"/>
              </w:rPr>
            </w:pPr>
            <w:r>
              <w:rPr>
                <w:rFonts w:ascii="Times New Roman" w:cs="Times New Roman" w:eastAsia="Times New Roman" w:hAnsi="Times New Roman"/>
                <w:sz w:val="16"/>
                <w:szCs w:val="16"/>
                <w:color w:val="auto"/>
              </w:rPr>
              <w:t>Interest rate swaps</w:t>
            </w: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5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3660" w:type="dxa"/>
            <w:vAlign w:val="bottom"/>
          </w:tcPr>
          <w:p>
            <w:pPr>
              <w:jc w:val="right"/>
              <w:ind w:right="2019"/>
              <w:spacing w:after="0"/>
              <w:rPr>
                <w:sz w:val="20"/>
                <w:szCs w:val="20"/>
                <w:color w:val="auto"/>
              </w:rPr>
            </w:pPr>
            <w:r>
              <w:rPr>
                <w:rFonts w:ascii="Times New Roman" w:cs="Times New Roman" w:eastAsia="Times New Roman" w:hAnsi="Times New Roman"/>
                <w:sz w:val="16"/>
                <w:szCs w:val="16"/>
                <w:color w:val="auto"/>
              </w:rPr>
              <w:t>Interest rate swaps</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78"/>
        </w:trPr>
        <w:tc>
          <w:tcPr>
            <w:tcW w:w="36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2,956,237</w:t>
            </w:r>
          </w:p>
        </w:tc>
        <w:tc>
          <w:tcPr>
            <w:tcW w:w="108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2,956,237</w:t>
            </w:r>
          </w:p>
        </w:tc>
        <w:tc>
          <w:tcPr>
            <w:tcW w:w="108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3660" w:type="dxa"/>
            <w:vAlign w:val="bottom"/>
            <w:tcBorders>
              <w:top w:val="single" w:sz="8" w:color="CFF0FC"/>
            </w:tcBorders>
          </w:tcPr>
          <w:p>
            <w:pPr>
              <w:jc w:val="right"/>
              <w:ind w:right="2019"/>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5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31"/>
        </w:trPr>
        <w:tc>
          <w:tcPr>
            <w:tcW w:w="3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2"/>
        </w:trPr>
        <w:tc>
          <w:tcPr>
            <w:tcW w:w="3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not designated as hedging</w:t>
            </w:r>
          </w:p>
        </w:tc>
        <w:tc>
          <w:tcPr>
            <w:tcW w:w="5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3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instruments:</w:t>
            </w: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3660" w:type="dxa"/>
            <w:vAlign w:val="bottom"/>
          </w:tcPr>
          <w:p>
            <w:pPr>
              <w:jc w:val="right"/>
              <w:ind w:right="2019"/>
              <w:spacing w:after="0"/>
              <w:rPr>
                <w:sz w:val="20"/>
                <w:szCs w:val="20"/>
                <w:color w:val="auto"/>
              </w:rPr>
            </w:pPr>
            <w:r>
              <w:rPr>
                <w:rFonts w:ascii="Times New Roman" w:cs="Times New Roman" w:eastAsia="Times New Roman" w:hAnsi="Times New Roman"/>
                <w:sz w:val="16"/>
                <w:szCs w:val="16"/>
                <w:color w:val="auto"/>
              </w:rPr>
              <w:t>Interest rate swaps</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5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3660" w:type="dxa"/>
            <w:vAlign w:val="bottom"/>
          </w:tcPr>
          <w:p>
            <w:pPr>
              <w:jc w:val="right"/>
              <w:ind w:right="2019"/>
              <w:spacing w:after="0"/>
              <w:rPr>
                <w:sz w:val="20"/>
                <w:szCs w:val="20"/>
                <w:color w:val="auto"/>
              </w:rPr>
            </w:pPr>
            <w:r>
              <w:rPr>
                <w:rFonts w:ascii="Times New Roman" w:cs="Times New Roman" w:eastAsia="Times New Roman" w:hAnsi="Times New Roman"/>
                <w:sz w:val="16"/>
                <w:szCs w:val="16"/>
                <w:color w:val="auto"/>
              </w:rPr>
              <w:t>Interest rate swaps</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3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78"/>
        </w:trPr>
        <w:tc>
          <w:tcPr>
            <w:tcW w:w="36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3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3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2"/>
        </w:trPr>
        <w:tc>
          <w:tcPr>
            <w:tcW w:w="3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-3076575</wp:posOffset>
            </wp:positionV>
            <wp:extent cx="774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-3076575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-3076575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-2013585</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-1996440</wp:posOffset>
            </wp:positionV>
            <wp:extent cx="774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-2013585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-1996440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-2013585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-1996440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-933450</wp:posOffset>
            </wp:positionV>
            <wp:extent cx="774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-916305</wp:posOffset>
            </wp:positionV>
            <wp:extent cx="774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-933450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-916305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-933450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-916305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right="540" w:firstLine="469"/>
        <w:spacing w:after="0" w:line="282" w:lineRule="auto"/>
        <w:rPr>
          <w:sz w:val="20"/>
          <w:szCs w:val="20"/>
          <w:color w:val="auto"/>
        </w:rPr>
      </w:pPr>
      <w:r>
        <w:rPr>
          <w:rFonts w:ascii="Times New Roman" w:cs="Times New Roman" w:eastAsia="Times New Roman" w:hAnsi="Times New Roman"/>
          <w:sz w:val="18"/>
          <w:szCs w:val="18"/>
          <w:color w:val="auto"/>
        </w:rPr>
        <w:t>We may be required to measure certain assets at fair value on a non-recurring basis in accordance with GAAP. These adjustments to fair value usually result from application of lower of cost or fair value accounting or write-downs of individual assets.</w:t>
      </w:r>
    </w:p>
    <w:p>
      <w:pPr>
        <w:spacing w:after="0" w:line="162" w:lineRule="exact"/>
        <w:rPr>
          <w:sz w:val="20"/>
          <w:szCs w:val="20"/>
          <w:color w:val="auto"/>
        </w:rPr>
      </w:pPr>
    </w:p>
    <w:p>
      <w:pPr>
        <w:ind w:right="120" w:firstLine="469"/>
        <w:spacing w:after="0" w:line="266" w:lineRule="auto"/>
        <w:rPr>
          <w:sz w:val="20"/>
          <w:szCs w:val="20"/>
          <w:color w:val="auto"/>
        </w:rPr>
      </w:pPr>
      <w:r>
        <w:rPr>
          <w:rFonts w:ascii="Times New Roman" w:cs="Times New Roman" w:eastAsia="Times New Roman" w:hAnsi="Times New Roman"/>
          <w:sz w:val="18"/>
          <w:szCs w:val="18"/>
          <w:color w:val="auto"/>
        </w:rPr>
        <w:t>For assets measured at fair value on a non-recurring basis that were held on the balance sheet at March 31, 2024 and December 31, 2023, respectively, the following tables provide the level of valuation assumptions used to determine each adjustment and the carrying value of the related assets that had losses during the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ind w:right="53"/>
              <w:spacing w:after="0"/>
              <w:rPr>
                <w:sz w:val="20"/>
                <w:szCs w:val="20"/>
                <w:color w:val="auto"/>
              </w:rPr>
            </w:pPr>
            <w:r>
              <w:rPr>
                <w:rFonts w:ascii="Times New Roman" w:cs="Times New Roman" w:eastAsia="Times New Roman" w:hAnsi="Times New Roman"/>
                <w:sz w:val="15"/>
                <w:szCs w:val="15"/>
                <w:b w:val="1"/>
                <w:bCs w:val="1"/>
                <w:color w:val="auto"/>
              </w:rPr>
              <w:t>Quoted Prices in</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Total Losses For</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98"/>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240" w:type="dxa"/>
            <w:vAlign w:val="bottom"/>
          </w:tcPr>
          <w:p>
            <w:pPr>
              <w:spacing w:after="0"/>
              <w:rPr>
                <w:sz w:val="14"/>
                <w:szCs w:val="14"/>
                <w:color w:val="auto"/>
              </w:rPr>
            </w:pPr>
          </w:p>
        </w:tc>
        <w:tc>
          <w:tcPr>
            <w:tcW w:w="140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the Three Months</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98"/>
              <w:spacing w:after="0" w:line="162" w:lineRule="exact"/>
              <w:rPr>
                <w:sz w:val="20"/>
                <w:szCs w:val="20"/>
                <w:color w:val="auto"/>
              </w:rPr>
            </w:pPr>
            <w:r>
              <w:rPr>
                <w:rFonts w:ascii="Times New Roman" w:cs="Times New Roman" w:eastAsia="Times New Roman" w:hAnsi="Times New Roman"/>
                <w:sz w:val="15"/>
                <w:szCs w:val="15"/>
                <w:b w:val="1"/>
                <w:bCs w:val="1"/>
                <w:color w:val="auto"/>
              </w:rPr>
              <w:t>Carrying Value at</w:t>
            </w:r>
          </w:p>
        </w:tc>
        <w:tc>
          <w:tcPr>
            <w:tcW w:w="300" w:type="dxa"/>
            <w:vAlign w:val="bottom"/>
          </w:tcPr>
          <w:p>
            <w:pPr>
              <w:spacing w:after="0"/>
              <w:rPr>
                <w:sz w:val="14"/>
                <w:szCs w:val="14"/>
                <w:color w:val="auto"/>
              </w:rPr>
            </w:pPr>
          </w:p>
        </w:tc>
        <w:tc>
          <w:tcPr>
            <w:tcW w:w="15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 (Level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60" w:type="dxa"/>
            <w:vAlign w:val="bottom"/>
          </w:tcPr>
          <w:p>
            <w:pPr>
              <w:spacing w:after="0"/>
              <w:rPr>
                <w:sz w:val="14"/>
                <w:szCs w:val="14"/>
                <w:color w:val="auto"/>
              </w:rPr>
            </w:pPr>
          </w:p>
        </w:tc>
        <w:tc>
          <w:tcPr>
            <w:tcW w:w="15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 Inputs</w:t>
            </w:r>
          </w:p>
        </w:tc>
        <w:tc>
          <w:tcPr>
            <w:tcW w:w="240" w:type="dxa"/>
            <w:vAlign w:val="bottom"/>
          </w:tcPr>
          <w:p>
            <w:pPr>
              <w:spacing w:after="0"/>
              <w:rPr>
                <w:sz w:val="14"/>
                <w:szCs w:val="14"/>
                <w:color w:val="auto"/>
              </w:rPr>
            </w:pPr>
          </w:p>
        </w:tc>
        <w:tc>
          <w:tcPr>
            <w:tcW w:w="140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Ended March 31,</w:t>
            </w: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5"/>
                <w:szCs w:val="15"/>
                <w:b w:val="1"/>
                <w:bCs w:val="1"/>
                <w:color w:val="auto"/>
              </w:rPr>
              <w:t>1)</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80" w:type="dxa"/>
            <w:vAlign w:val="bottom"/>
            <w:gridSpan w:val="3"/>
          </w:tcPr>
          <w:p>
            <w:pPr>
              <w:ind w:left="26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 of assets</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Loans: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Commercial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13,813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13,813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Construction</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SBA</w:t>
            </w: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SBA - PPP</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4,612</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4,612</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740" w:type="dxa"/>
            <w:vAlign w:val="bottom"/>
          </w:tcPr>
          <w:p>
            <w:pPr>
              <w:ind w:left="300"/>
              <w:spacing w:after="0" w:line="159" w:lineRule="exact"/>
              <w:rPr>
                <w:sz w:val="20"/>
                <w:szCs w:val="20"/>
                <w:color w:val="auto"/>
              </w:rPr>
            </w:pPr>
            <w:r>
              <w:rPr>
                <w:rFonts w:ascii="Times New Roman" w:cs="Times New Roman" w:eastAsia="Times New Roman" w:hAnsi="Times New Roman"/>
                <w:sz w:val="15"/>
                <w:szCs w:val="15"/>
                <w:color w:val="auto"/>
              </w:rPr>
              <w:t>Dairy &amp; livestock and</w:t>
            </w: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274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agribusiness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5,787</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5,787</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FF0FC"/>
          </w:tcPr>
          <w:p>
            <w:pPr>
              <w:ind w:left="300"/>
              <w:spacing w:after="0" w:line="159" w:lineRule="exact"/>
              <w:rPr>
                <w:sz w:val="20"/>
                <w:szCs w:val="20"/>
                <w:color w:val="auto"/>
              </w:rPr>
            </w:pPr>
            <w:r>
              <w:rPr>
                <w:rFonts w:ascii="Times New Roman" w:cs="Times New Roman" w:eastAsia="Times New Roman" w:hAnsi="Times New Roman"/>
                <w:sz w:val="15"/>
                <w:szCs w:val="15"/>
                <w:color w:val="auto"/>
              </w:rPr>
              <w:t>Municipal lease finance</w:t>
            </w:r>
          </w:p>
        </w:tc>
        <w:tc>
          <w:tcPr>
            <w:tcW w:w="120" w:type="dxa"/>
            <w:vAlign w:val="bottom"/>
            <w:shd w:val="clear" w:color="auto" w:fill="CFF0FC"/>
          </w:tcPr>
          <w:p>
            <w:pPr>
              <w:spacing w:after="0"/>
              <w:rPr>
                <w:sz w:val="13"/>
                <w:szCs w:val="13"/>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80" w:type="dxa"/>
            <w:vAlign w:val="bottom"/>
            <w:vMerge w:val="restart"/>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3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27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5"/>
                <w:szCs w:val="15"/>
                <w:color w:val="auto"/>
              </w:rPr>
              <w:t>receivables</w:t>
            </w:r>
          </w:p>
        </w:tc>
        <w:tc>
          <w:tcPr>
            <w:tcW w:w="120" w:type="dxa"/>
            <w:vAlign w:val="bottom"/>
            <w:shd w:val="clear" w:color="auto" w:fill="CFF0FC"/>
          </w:tcPr>
          <w:p>
            <w:pPr>
              <w:spacing w:after="0"/>
              <w:rPr>
                <w:sz w:val="16"/>
                <w:szCs w:val="16"/>
                <w:color w:val="auto"/>
              </w:rPr>
            </w:pPr>
          </w:p>
        </w:tc>
        <w:tc>
          <w:tcPr>
            <w:tcW w:w="140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vMerge w:val="continue"/>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SFR mortgage</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Consumer and other loans</w:t>
            </w: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real estate owned</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Asset held-for-sale</w:t>
            </w:r>
          </w:p>
        </w:tc>
        <w:tc>
          <w:tcPr>
            <w:tcW w:w="1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74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24,731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-187960</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-187960</wp:posOffset>
            </wp:positionV>
            <wp:extent cx="774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center"/>
              <w:ind w:right="54"/>
              <w:spacing w:after="0"/>
              <w:rPr>
                <w:sz w:val="20"/>
                <w:szCs w:val="20"/>
                <w:color w:val="auto"/>
              </w:rPr>
            </w:pPr>
            <w:r>
              <w:rPr>
                <w:rFonts w:ascii="Times New Roman" w:cs="Times New Roman" w:eastAsia="Times New Roman" w:hAnsi="Times New Roman"/>
                <w:sz w:val="15"/>
                <w:szCs w:val="15"/>
                <w:b w:val="1"/>
                <w:bCs w:val="1"/>
                <w:color w:val="auto"/>
              </w:rPr>
              <w:t>Quoted Prices in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ind w:right="34"/>
              <w:spacing w:after="0" w:line="162" w:lineRule="exact"/>
              <w:rPr>
                <w:sz w:val="20"/>
                <w:szCs w:val="20"/>
                <w:color w:val="auto"/>
              </w:rPr>
            </w:pPr>
            <w:r>
              <w:rPr>
                <w:rFonts w:ascii="Times New Roman" w:cs="Times New Roman" w:eastAsia="Times New Roman" w:hAnsi="Times New Roman"/>
                <w:sz w:val="15"/>
                <w:szCs w:val="15"/>
                <w:b w:val="1"/>
                <w:bCs w:val="1"/>
                <w:color w:val="auto"/>
              </w:rPr>
              <w:t>Active Markets for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right="56"/>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97"/>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260" w:type="dxa"/>
            <w:vAlign w:val="bottom"/>
          </w:tcPr>
          <w:p>
            <w:pPr>
              <w:spacing w:after="0"/>
              <w:rPr>
                <w:sz w:val="14"/>
                <w:szCs w:val="14"/>
                <w:color w:val="auto"/>
              </w:rPr>
            </w:pPr>
          </w:p>
        </w:tc>
        <w:tc>
          <w:tcPr>
            <w:tcW w:w="158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Total Losses For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77"/>
              <w:spacing w:after="0" w:line="162" w:lineRule="exact"/>
              <w:rPr>
                <w:sz w:val="20"/>
                <w:szCs w:val="20"/>
                <w:color w:val="auto"/>
              </w:rPr>
            </w:pPr>
            <w:r>
              <w:rPr>
                <w:rFonts w:ascii="Times New Roman" w:cs="Times New Roman" w:eastAsia="Times New Roman" w:hAnsi="Times New Roman"/>
                <w:sz w:val="15"/>
                <w:szCs w:val="15"/>
                <w:b w:val="1"/>
                <w:bCs w:val="1"/>
                <w:color w:val="auto"/>
              </w:rPr>
              <w:t>Carrying Value at</w:t>
            </w:r>
          </w:p>
        </w:tc>
        <w:tc>
          <w:tcPr>
            <w:tcW w:w="240" w:type="dxa"/>
            <w:vAlign w:val="bottom"/>
          </w:tcPr>
          <w:p>
            <w:pPr>
              <w:spacing w:after="0"/>
              <w:rPr>
                <w:sz w:val="14"/>
                <w:szCs w:val="14"/>
                <w:color w:val="auto"/>
              </w:rPr>
            </w:pPr>
          </w:p>
        </w:tc>
        <w:tc>
          <w:tcPr>
            <w:tcW w:w="15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 (Level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right="56"/>
              <w:spacing w:after="0" w:line="162"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280" w:type="dxa"/>
            <w:vAlign w:val="bottom"/>
          </w:tcPr>
          <w:p>
            <w:pPr>
              <w:spacing w:after="0"/>
              <w:rPr>
                <w:sz w:val="14"/>
                <w:szCs w:val="14"/>
                <w:color w:val="auto"/>
              </w:rPr>
            </w:pPr>
          </w:p>
        </w:tc>
        <w:tc>
          <w:tcPr>
            <w:tcW w:w="14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 Inputs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8"/>
              </w:rPr>
              <w:t>Year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right="14"/>
              <w:spacing w:after="0"/>
              <w:rPr>
                <w:sz w:val="20"/>
                <w:szCs w:val="20"/>
                <w:color w:val="auto"/>
              </w:rPr>
            </w:pPr>
            <w:r>
              <w:rPr>
                <w:rFonts w:ascii="Times New Roman" w:cs="Times New Roman" w:eastAsia="Times New Roman" w:hAnsi="Times New Roman"/>
                <w:sz w:val="15"/>
                <w:szCs w:val="15"/>
                <w:b w:val="1"/>
                <w:bCs w:val="1"/>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ind w:right="16"/>
              <w:spacing w:after="0"/>
              <w:rPr>
                <w:sz w:val="20"/>
                <w:szCs w:val="20"/>
                <w:color w:val="auto"/>
              </w:rPr>
            </w:pPr>
            <w:r>
              <w:rPr>
                <w:rFonts w:ascii="Times New Roman" w:cs="Times New Roman" w:eastAsia="Times New Roman" w:hAnsi="Times New Roman"/>
                <w:sz w:val="15"/>
                <w:szCs w:val="15"/>
                <w:b w:val="1"/>
                <w:bCs w:val="1"/>
                <w:color w:val="auto"/>
                <w:w w:val="99"/>
              </w:rPr>
              <w:t>(Level 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Description of assets</w:t>
            </w:r>
          </w:p>
        </w:tc>
        <w:tc>
          <w:tcPr>
            <w:tcW w:w="1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Loans:</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Commercial real estate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18,678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18,678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2,128</w:t>
            </w: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Construction</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SBA</w:t>
            </w:r>
          </w:p>
        </w:tc>
        <w:tc>
          <w:tcPr>
            <w:tcW w:w="10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995</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SBA - PPP</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6,092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6,092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2660" w:type="dxa"/>
            <w:vAlign w:val="bottom"/>
          </w:tcPr>
          <w:p>
            <w:pPr>
              <w:ind w:left="280"/>
              <w:spacing w:after="0" w:line="159" w:lineRule="exact"/>
              <w:rPr>
                <w:sz w:val="20"/>
                <w:szCs w:val="20"/>
                <w:color w:val="auto"/>
              </w:rPr>
            </w:pPr>
            <w:r>
              <w:rPr>
                <w:rFonts w:ascii="Times New Roman" w:cs="Times New Roman" w:eastAsia="Times New Roman" w:hAnsi="Times New Roman"/>
                <w:sz w:val="15"/>
                <w:szCs w:val="15"/>
                <w:color w:val="auto"/>
              </w:rPr>
              <w:t>Dairy &amp; livestock and</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6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agribusiness</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2660" w:type="dxa"/>
            <w:vAlign w:val="bottom"/>
            <w:shd w:val="clear" w:color="auto" w:fill="CFF0FC"/>
          </w:tcPr>
          <w:p>
            <w:pPr>
              <w:ind w:left="280"/>
              <w:spacing w:after="0" w:line="159" w:lineRule="exact"/>
              <w:rPr>
                <w:sz w:val="20"/>
                <w:szCs w:val="20"/>
                <w:color w:val="auto"/>
              </w:rPr>
            </w:pPr>
            <w:r>
              <w:rPr>
                <w:rFonts w:ascii="Times New Roman" w:cs="Times New Roman" w:eastAsia="Times New Roman" w:hAnsi="Times New Roman"/>
                <w:sz w:val="15"/>
                <w:szCs w:val="15"/>
                <w:color w:val="auto"/>
              </w:rPr>
              <w:t>Municipal lease finance</w:t>
            </w:r>
          </w:p>
        </w:tc>
        <w:tc>
          <w:tcPr>
            <w:tcW w:w="100" w:type="dxa"/>
            <w:vAlign w:val="bottom"/>
            <w:shd w:val="clear" w:color="auto" w:fill="CFF0FC"/>
          </w:tcPr>
          <w:p>
            <w:pPr>
              <w:spacing w:after="0"/>
              <w:rPr>
                <w:sz w:val="13"/>
                <w:szCs w:val="13"/>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receivables</w:t>
            </w:r>
          </w:p>
        </w:tc>
        <w:tc>
          <w:tcPr>
            <w:tcW w:w="10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80" w:type="dxa"/>
            <w:vAlign w:val="bottom"/>
            <w:gridSpan w:val="2"/>
            <w:vMerge w:val="continue"/>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SFR mortgage</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Consumer and other loans</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real estate owned</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Asset held-for-sale</w:t>
            </w:r>
          </w:p>
        </w:tc>
        <w:tc>
          <w:tcPr>
            <w:tcW w:w="1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26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30,465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30,465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-1096645</wp:posOffset>
            </wp:positionV>
            <wp:extent cx="768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-1096645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-1096645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-1096645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-1096645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20" w:firstLine="469"/>
        <w:spacing w:after="0" w:line="258" w:lineRule="auto"/>
        <w:rPr>
          <w:sz w:val="20"/>
          <w:szCs w:val="20"/>
          <w:color w:val="auto"/>
        </w:rPr>
      </w:pPr>
      <w:r>
        <w:rPr>
          <w:rFonts w:ascii="Times New Roman" w:cs="Times New Roman" w:eastAsia="Times New Roman" w:hAnsi="Times New Roman"/>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March 31, 2024 and December 31, 2023, respectively. The use of different market assumptions and/or estimation methodologies may have a material effect on the estimated fair value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4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8"/>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949,589</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949,589</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949,589</w:t>
            </w:r>
          </w:p>
        </w:tc>
        <w:tc>
          <w:tcPr>
            <w:tcW w:w="100" w:type="dxa"/>
            <w:vAlign w:val="bottom"/>
          </w:tcPr>
          <w:p>
            <w:pPr>
              <w:spacing w:after="0"/>
              <w:rPr>
                <w:sz w:val="20"/>
                <w:szCs w:val="20"/>
                <w:color w:val="auto"/>
              </w:rPr>
            </w:pPr>
          </w:p>
        </w:tc>
      </w:tr>
      <w:tr>
        <w:trPr>
          <w:trHeight w:val="215"/>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depository institutions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2,837,100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2,837,100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2,837,100</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2,454,586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2,044,031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2,044,031</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loans, net of allowance for credit losses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8,687,896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8,273,529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8,273,529</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10,893</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shd w:val="clear" w:color="auto" w:fill="CFF0FC"/>
          </w:tcPr>
          <w:p>
            <w:pPr>
              <w:spacing w:after="0"/>
              <w:rPr>
                <w:sz w:val="21"/>
                <w:szCs w:val="21"/>
                <w:color w:val="auto"/>
              </w:rPr>
            </w:pPr>
          </w:p>
        </w:tc>
      </w:tr>
      <w:tr>
        <w:trPr>
          <w:trHeight w:val="24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4,782,132</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4,777,393</w:t>
            </w:r>
          </w:p>
        </w:tc>
        <w:tc>
          <w:tcPr>
            <w:tcW w:w="26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4,777,393</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2,270,720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2,204,434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2,204,434</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45"/>
        </w:trPr>
        <w:tc>
          <w:tcPr>
            <w:tcW w:w="4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4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8"/>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6"/>
                <w:szCs w:val="16"/>
                <w:i w:val="1"/>
                <w:iCs w:val="1"/>
                <w:color w:val="auto"/>
                <w:w w:val="89"/>
              </w:rPr>
              <w:t>(Dollars in thousands)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281,285</w:t>
            </w:r>
          </w:p>
        </w:tc>
        <w:tc>
          <w:tcPr>
            <w:tcW w:w="3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281,285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281,285</w:t>
            </w:r>
          </w:p>
        </w:tc>
        <w:tc>
          <w:tcPr>
            <w:tcW w:w="100" w:type="dxa"/>
            <w:vAlign w:val="bottom"/>
          </w:tcPr>
          <w:p>
            <w:pPr>
              <w:spacing w:after="0"/>
              <w:rPr>
                <w:sz w:val="20"/>
                <w:szCs w:val="20"/>
                <w:color w:val="auto"/>
              </w:rPr>
            </w:pPr>
          </w:p>
        </w:tc>
      </w:tr>
      <w:tr>
        <w:trPr>
          <w:trHeight w:val="215"/>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depository institutions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2,956,125</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2,464,610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2,082,881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2,082,881</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loans, net of allowance for credit losses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8,818,068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8,503,518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8,503,518</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6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4,227,467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4,222,773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4,222,773</w:t>
            </w: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2,341,642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2,283,631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2,283,631</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20"/>
                <w:szCs w:val="20"/>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100" w:type="dxa"/>
            <w:vAlign w:val="bottom"/>
          </w:tcPr>
          <w:p>
            <w:pPr>
              <w:spacing w:after="0"/>
              <w:rPr>
                <w:sz w:val="20"/>
                <w:szCs w:val="20"/>
                <w:color w:val="auto"/>
              </w:rPr>
            </w:pPr>
          </w:p>
        </w:tc>
      </w:tr>
    </w:tbl>
    <w:p>
      <w:pPr>
        <w:spacing w:after="0" w:line="193" w:lineRule="exact"/>
        <w:rPr>
          <w:sz w:val="20"/>
          <w:szCs w:val="20"/>
          <w:color w:val="auto"/>
        </w:rPr>
      </w:pPr>
    </w:p>
    <w:p>
      <w:pPr>
        <w:ind w:right="60" w:firstLine="469"/>
        <w:spacing w:after="0" w:line="261" w:lineRule="auto"/>
        <w:rPr>
          <w:sz w:val="20"/>
          <w:szCs w:val="20"/>
          <w:color w:val="auto"/>
        </w:rPr>
      </w:pPr>
      <w:r>
        <w:rPr>
          <w:rFonts w:ascii="Times New Roman" w:cs="Times New Roman" w:eastAsia="Times New Roman" w:hAnsi="Times New Roman"/>
          <w:sz w:val="18"/>
          <w:szCs w:val="18"/>
          <w:color w:val="auto"/>
        </w:rPr>
        <w:t>The fair value estimates presented herein are based on pertinent information available to management as of March 31, 2024 and December 31, 2023.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29" w:lineRule="exact"/>
        <w:rPr>
          <w:sz w:val="20"/>
          <w:szCs w:val="20"/>
          <w:color w:val="auto"/>
        </w:rPr>
      </w:pPr>
    </w:p>
    <w:p>
      <w:pPr>
        <w:ind w:right="40" w:firstLine="469"/>
        <w:spacing w:after="0" w:line="256" w:lineRule="auto"/>
        <w:rPr>
          <w:sz w:val="20"/>
          <w:szCs w:val="20"/>
          <w:color w:val="auto"/>
        </w:rPr>
      </w:pPr>
      <w:r>
        <w:rPr>
          <w:rFonts w:ascii="Times New Roman" w:cs="Times New Roman" w:eastAsia="Times New Roman" w:hAnsi="Times New Roman"/>
          <w:sz w:val="18"/>
          <w:szCs w:val="18"/>
          <w:color w:val="auto"/>
        </w:rPr>
        <w:t>The Bank is exposed to certain risks relating to its ongoing business operations and utilizes interest rate swap agreements (“swaps”) as part of its asset/liability management strategy to help manage its interest rate risk position. As of March 31, 2024, the Bank has entered into 114 interest-rate swap agreements with customers with a notional amount totaling $390.3 million. The Bank then entered into identical offsetting swaps with counterparties.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87" w:lineRule="exact"/>
        <w:rPr>
          <w:sz w:val="20"/>
          <w:szCs w:val="20"/>
          <w:color w:val="auto"/>
        </w:rPr>
      </w:pPr>
    </w:p>
    <w:p>
      <w:pPr>
        <w:ind w:firstLine="469"/>
        <w:spacing w:after="0" w:line="253" w:lineRule="auto"/>
        <w:rPr>
          <w:sz w:val="20"/>
          <w:szCs w:val="20"/>
          <w:color w:val="auto"/>
        </w:rPr>
      </w:pPr>
      <w:r>
        <w:rPr>
          <w:rFonts w:ascii="Times New Roman" w:cs="Times New Roman" w:eastAsia="Times New Roman" w:hAnsi="Times New Roman"/>
          <w:sz w:val="18"/>
          <w:szCs w:val="18"/>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a counterparty bank in which the Bank pays the counterparty a fixed rate and the counterparty in return pays the Bank a variable rate. The net effect of the transaction allows the Bank to receive interest on the loan from the customer at a variable rate based on SOFR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ind w:right="260" w:firstLine="469"/>
        <w:spacing w:after="0" w:line="266" w:lineRule="auto"/>
        <w:rPr>
          <w:sz w:val="20"/>
          <w:szCs w:val="20"/>
          <w:color w:val="auto"/>
        </w:rPr>
      </w:pPr>
      <w:r>
        <w:rPr>
          <w:rFonts w:ascii="Times New Roman" w:cs="Times New Roman" w:eastAsia="Times New Roman" w:hAnsi="Times New Roman"/>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Hedges</w:t>
      </w:r>
    </w:p>
    <w:p>
      <w:pPr>
        <w:spacing w:after="0" w:line="22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To manage interest rate risk on our AFS securities portfolio, we have entered into pay-fixed, receive-floating interest rate swap contracts to hedge against exposure to changes in the fair value of such securities resulting from changes in interest rates. We designate these interest rate swap contracts as fair value hedges that qualify for hedge accounting under ASC 815, Derivatives and Hedging. We elected to account for the fair value hedges using the portfolio layer method in accordance with ASU 2022-01. We record the interest rate swaps in the line items "accrued interest receivable and other assets" and "other liabilities" on our consolidated balance sheet. For qualifying fair value hedges, both the changes in the fair value of the derivative and the portion of the fair value adjustments associated with the portfolio layer attributable to the hedged risk are recognized into earnings as they occur. Derivative amounts impacting earnings are recognized consistent with the classification of the hedged item in the line item "investment securities available for sale" as part of interest income, a component of consolidated net income.</w:t>
      </w:r>
    </w:p>
    <w:p>
      <w:pPr>
        <w:spacing w:after="0" w:line="192" w:lineRule="exact"/>
        <w:rPr>
          <w:sz w:val="20"/>
          <w:szCs w:val="20"/>
          <w:color w:val="auto"/>
        </w:rPr>
      </w:pPr>
    </w:p>
    <w:p>
      <w:pPr>
        <w:ind w:right="360" w:firstLine="469"/>
        <w:spacing w:after="0" w:line="266" w:lineRule="auto"/>
        <w:rPr>
          <w:sz w:val="20"/>
          <w:szCs w:val="20"/>
          <w:color w:val="auto"/>
        </w:rPr>
      </w:pPr>
      <w:r>
        <w:rPr>
          <w:rFonts w:ascii="Times New Roman" w:cs="Times New Roman" w:eastAsia="Times New Roman" w:hAnsi="Times New Roman"/>
          <w:sz w:val="18"/>
          <w:szCs w:val="18"/>
          <w:color w:val="auto"/>
        </w:rPr>
        <w:t>In June 2023, fair value hedging transactions were executed in which $1 billion notional pay-fixed interest rate swaps were consummated with original maturities ranging from four to five years, wherein the Company pays a weighted average fixed rate of approximately 3.8% and receives daily SOFR. The fair value of these instruments totaled $10.9 million and were reflected as an asset at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Hedges</w:t>
      </w:r>
    </w:p>
    <w:p>
      <w:pPr>
        <w:spacing w:after="0" w:line="229" w:lineRule="exact"/>
        <w:rPr>
          <w:sz w:val="20"/>
          <w:szCs w:val="20"/>
          <w:color w:val="auto"/>
        </w:rPr>
      </w:pPr>
    </w:p>
    <w:p>
      <w:pPr>
        <w:ind w:right="160" w:firstLine="469"/>
        <w:spacing w:after="0" w:line="258" w:lineRule="auto"/>
        <w:rPr>
          <w:sz w:val="20"/>
          <w:szCs w:val="20"/>
          <w:color w:val="auto"/>
        </w:rPr>
      </w:pPr>
      <w:r>
        <w:rPr>
          <w:rFonts w:ascii="Times New Roman" w:cs="Times New Roman" w:eastAsia="Times New Roman" w:hAnsi="Times New Roman"/>
          <w:sz w:val="18"/>
          <w:szCs w:val="18"/>
          <w:color w:val="auto"/>
        </w:rPr>
        <w:t>To manage our interest rate risk associated with brokered CDs, FHLB advances or other fixed rate advances for specified periods, the Company enters into interest rate derivative contracts that are designated as qualifying cash flow hedges to hedge the exposure to variability in expected future cash flows attributable to changes in a contractually specified interest rates. During the first quarter of 2024, $300 million of 3-month term brokered CDs were issued and cash flow hedging transactions were also executed in which $300 million notional pay-fixed interest rate swaps were consummated with maturities of three years, wherein the Company pays a weighted average fixed rate of approximately 4.2% and receives daily SOFR.</w:t>
      </w:r>
    </w:p>
    <w:p>
      <w:pPr>
        <w:spacing w:after="0" w:line="183"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8"/>
          <w:szCs w:val="18"/>
          <w:color w:val="auto"/>
        </w:rPr>
        <w:t>To qualify for hedge accounting, a formal assessment is prepared to determine whether the hedging relationship, both at inception and on an ongoing basis, is expected to be highly effective in achieving offsetting cash flows attributable to the hedged risk during the term of the hedge if a cash flow hedge. At inception a statistical regression analysis is prepared to determine hedge effectiveness. At each reporting period thereafter, a statistical regression or qualitative analysis is performed to determine hedge effectiveness. If it is determined that hedge effectiveness has not been or will not continue to be highly effective, then hedge accounting ceases and any gain or loss in AOCI is recognized in earnings immediately. The cash flow hedges are recorded at fair value in other assets and other liabilities on the consolidated balance sheets with changes in fair value recorded in AOCI, net of tax. All related cash flows are reported in the operating activities section of the consolidated statement of cash flows. Amounts recorded to AOCI are reclassified into earnings in the same period in which the hedged asset or liability affects earnings and are presented in the same income statement line item as the earnings effect of the hedged asset or liability.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 of Derivative Financial Instruments</w:t>
      </w:r>
    </w:p>
    <w:p>
      <w:pPr>
        <w:spacing w:after="0" w:line="229" w:lineRule="exact"/>
        <w:rPr>
          <w:sz w:val="20"/>
          <w:szCs w:val="20"/>
          <w:color w:val="auto"/>
        </w:rPr>
      </w:pPr>
    </w:p>
    <w:p>
      <w:pPr>
        <w:ind w:right="600" w:firstLine="469"/>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notional amount, the location of the asset and liability, and their respective fair values, are summarized in the tables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Liability Derivatives</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Fair</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6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60" w:type="dxa"/>
            <w:vAlign w:val="bottom"/>
          </w:tcPr>
          <w:p>
            <w:pPr>
              <w:spacing w:after="0"/>
              <w:rPr>
                <w:sz w:val="21"/>
                <w:szCs w:val="21"/>
                <w:color w:val="auto"/>
              </w:rPr>
            </w:pPr>
          </w:p>
        </w:tc>
        <w:tc>
          <w:tcPr>
            <w:tcW w:w="13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$ 390,307</w:t>
            </w:r>
          </w:p>
        </w:tc>
        <w:tc>
          <w:tcPr>
            <w:tcW w:w="2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18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rPr>
              <w:t>$ 390,307</w:t>
            </w:r>
          </w:p>
        </w:tc>
        <w:tc>
          <w:tcPr>
            <w:tcW w:w="260" w:type="dxa"/>
            <w:vAlign w:val="bottom"/>
          </w:tcPr>
          <w:p>
            <w:pPr>
              <w:spacing w:after="0"/>
              <w:rPr>
                <w:sz w:val="21"/>
                <w:szCs w:val="21"/>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derivatives</w:t>
            </w:r>
          </w:p>
        </w:tc>
        <w:tc>
          <w:tcPr>
            <w:tcW w:w="12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380" w:type="dxa"/>
            <w:vAlign w:val="bottom"/>
            <w:shd w:val="clear" w:color="auto" w:fill="CFF0FC"/>
          </w:tcPr>
          <w:p>
            <w:pPr>
              <w:spacing w:after="0"/>
              <w:rPr>
                <w:sz w:val="24"/>
                <w:szCs w:val="24"/>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66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4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Borders>
              <w:top w:val="single" w:sz="8" w:color="CFF0FC"/>
            </w:tcBorders>
          </w:tcPr>
          <w:p>
            <w:pPr>
              <w:spacing w:after="0"/>
              <w:rPr>
                <w:sz w:val="19"/>
                <w:szCs w:val="19"/>
                <w:color w:val="auto"/>
              </w:rPr>
            </w:pPr>
          </w:p>
        </w:tc>
        <w:tc>
          <w:tcPr>
            <w:tcW w:w="78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38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1,000,00</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flow hedges: interest rate swaps</w:t>
            </w:r>
          </w:p>
        </w:tc>
        <w:tc>
          <w:tcPr>
            <w:tcW w:w="1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180" w:type="dxa"/>
            <w:vAlign w:val="bottom"/>
            <w:tcBorders>
              <w:bottom w:val="single" w:sz="8" w:color="CFF0FC"/>
            </w:tcBorders>
            <w:gridSpan w:val="2"/>
            <w:shd w:val="clear" w:color="auto" w:fill="CFF0FC"/>
          </w:tcPr>
          <w:p>
            <w:pPr>
              <w:jc w:val="center"/>
              <w:ind w:left="294"/>
              <w:spacing w:after="0"/>
              <w:rPr>
                <w:sz w:val="20"/>
                <w:szCs w:val="20"/>
                <w:color w:val="auto"/>
              </w:rPr>
            </w:pPr>
            <w:r>
              <w:rPr>
                <w:rFonts w:ascii="Times New Roman" w:cs="Times New Roman" w:eastAsia="Times New Roman" w:hAnsi="Times New Roman"/>
                <w:sz w:val="18"/>
                <w:szCs w:val="18"/>
                <w:color w:val="auto"/>
              </w:rPr>
              <w:t>$ 300,000</w:t>
            </w:r>
          </w:p>
        </w:tc>
        <w:tc>
          <w:tcPr>
            <w:tcW w:w="26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Liability Derivatives</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Fair</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6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60" w:type="dxa"/>
            <w:vAlign w:val="bottom"/>
          </w:tcPr>
          <w:p>
            <w:pPr>
              <w:spacing w:after="0"/>
              <w:rPr>
                <w:sz w:val="21"/>
                <w:szCs w:val="21"/>
                <w:color w:val="auto"/>
              </w:rPr>
            </w:pPr>
          </w:p>
        </w:tc>
        <w:tc>
          <w:tcPr>
            <w:tcW w:w="13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$ 394,359</w:t>
            </w:r>
          </w:p>
        </w:tc>
        <w:tc>
          <w:tcPr>
            <w:tcW w:w="26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18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color w:val="auto"/>
              </w:rPr>
              <w:t>$ 394,359</w:t>
            </w:r>
          </w:p>
        </w:tc>
        <w:tc>
          <w:tcPr>
            <w:tcW w:w="260" w:type="dxa"/>
            <w:vAlign w:val="bottom"/>
          </w:tcPr>
          <w:p>
            <w:pPr>
              <w:spacing w:after="0"/>
              <w:rPr>
                <w:sz w:val="21"/>
                <w:szCs w:val="21"/>
                <w:color w:val="auto"/>
              </w:rPr>
            </w:pPr>
          </w:p>
        </w:tc>
        <w:tc>
          <w:tcPr>
            <w:tcW w:w="1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derivatives</w:t>
            </w:r>
          </w:p>
        </w:tc>
        <w:tc>
          <w:tcPr>
            <w:tcW w:w="12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400" w:type="dxa"/>
            <w:vAlign w:val="bottom"/>
            <w:shd w:val="clear" w:color="auto" w:fill="CFF0FC"/>
          </w:tcPr>
          <w:p>
            <w:pPr>
              <w:spacing w:after="0"/>
              <w:rPr>
                <w:sz w:val="24"/>
                <w:szCs w:val="24"/>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380" w:type="dxa"/>
            <w:vAlign w:val="bottom"/>
            <w:shd w:val="clear" w:color="auto" w:fill="CFF0FC"/>
          </w:tcPr>
          <w:p>
            <w:pPr>
              <w:spacing w:after="0"/>
              <w:rPr>
                <w:sz w:val="24"/>
                <w:szCs w:val="24"/>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20" w:type="dxa"/>
            <w:vAlign w:val="bottom"/>
            <w:tcBorders>
              <w:top w:val="single" w:sz="8" w:color="CFF0FC"/>
            </w:tcBorders>
          </w:tcPr>
          <w:p>
            <w:pPr>
              <w:spacing w:after="0"/>
              <w:rPr>
                <w:sz w:val="19"/>
                <w:szCs w:val="19"/>
                <w:color w:val="auto"/>
              </w:rPr>
            </w:pPr>
          </w:p>
        </w:tc>
        <w:tc>
          <w:tcPr>
            <w:tcW w:w="66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4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0" w:type="dxa"/>
            <w:vAlign w:val="bottom"/>
            <w:tcBorders>
              <w:top w:val="single" w:sz="8" w:color="CFF0FC"/>
            </w:tcBorders>
          </w:tcPr>
          <w:p>
            <w:pPr>
              <w:spacing w:after="0"/>
              <w:rPr>
                <w:sz w:val="19"/>
                <w:szCs w:val="19"/>
                <w:color w:val="auto"/>
              </w:rPr>
            </w:pPr>
          </w:p>
        </w:tc>
        <w:tc>
          <w:tcPr>
            <w:tcW w:w="78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38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1,000,00</w:t>
            </w: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hedges: interest rate swaps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-2990850</wp:posOffset>
            </wp:positionV>
            <wp:extent cx="768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-2973705</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-2211070</wp:posOffset>
            </wp:positionV>
            <wp:extent cx="7683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-650875</wp:posOffset>
            </wp:positionV>
            <wp:extent cx="768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-633730</wp:posOffset>
            </wp:positionV>
            <wp:extent cx="768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-187960</wp:posOffset>
            </wp:positionV>
            <wp:extent cx="768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Derivative Financial Instruments on the Condensed Consolidated Statements of Earnings</w:t>
      </w:r>
    </w:p>
    <w:p>
      <w:pPr>
        <w:spacing w:after="0" w:line="229" w:lineRule="exact"/>
        <w:rPr>
          <w:sz w:val="20"/>
          <w:szCs w:val="20"/>
          <w:color w:val="auto"/>
        </w:rPr>
      </w:pPr>
    </w:p>
    <w:p>
      <w:pPr>
        <w:ind w:right="200" w:firstLine="46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derivative financial instruments on the condensed consolidated statements of earnings for the periods presented.</w:t>
      </w:r>
    </w:p>
    <w:p>
      <w:pPr>
        <w:sectPr>
          <w:pgSz w:w="11900" w:h="16838" w:orient="portrait"/>
          <w:cols w:equalWidth="0" w:num="1">
            <w:col w:w="11240"/>
          </w:cols>
          <w:pgMar w:left="320" w:top="1089" w:right="339" w:bottom="1440" w:gutter="0" w:footer="0" w:header="0"/>
        </w:sectPr>
      </w:pPr>
    </w:p>
    <w:p>
      <w:pPr>
        <w:spacing w:after="0" w:line="16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Location of Gain Recognized in</w:t>
      </w:r>
    </w:p>
    <w:p>
      <w:pPr>
        <w:spacing w:after="0" w:line="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5080</wp:posOffset>
            </wp:positionV>
            <wp:extent cx="259715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Amount of Gain Recognized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5080</wp:posOffset>
            </wp:positionV>
            <wp:extent cx="187706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7880" w:space="720"/>
            <w:col w:w="2640"/>
          </w:cols>
          <w:pgMar w:left="320" w:top="1089" w:right="339" w:bottom="1440" w:gutter="0" w:footer="0" w:header="0"/>
          <w:type w:val="continuous"/>
        </w:sect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169"/>
        </w:trPr>
        <w:tc>
          <w:tcPr>
            <w:tcW w:w="4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w w:val="78"/>
              </w:rPr>
              <w:t>thousands)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8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176"/>
        </w:trPr>
        <w:tc>
          <w:tcPr>
            <w:tcW w:w="4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rate swaps</w:t>
            </w:r>
          </w:p>
        </w:tc>
        <w:tc>
          <w:tcPr>
            <w:tcW w:w="380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Other income</w:t>
            </w:r>
          </w:p>
        </w:tc>
        <w:tc>
          <w:tcPr>
            <w:tcW w:w="8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r>
      <w:tr>
        <w:trPr>
          <w:trHeight w:val="209"/>
        </w:trPr>
        <w:tc>
          <w:tcPr>
            <w:tcW w:w="4380" w:type="dxa"/>
            <w:vAlign w:val="bottom"/>
            <w:tcBorders>
              <w:bottom w:val="single" w:sz="8" w:color="CFF0FC"/>
            </w:tcBorders>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38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ind w:left="66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4" w:name="page35"/>
    <w:bookmarkEnd w:id="34"/>
    <w:p>
      <w:pPr>
        <w:spacing w:after="0" w:line="14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Location of Gain Recognized in</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5080</wp:posOffset>
            </wp:positionV>
            <wp:extent cx="15087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543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2" w:lineRule="exact"/>
        <w:rPr>
          <w:sz w:val="20"/>
          <w:szCs w:val="20"/>
          <w:color w:val="auto"/>
        </w:rPr>
      </w:pPr>
    </w:p>
    <w:p>
      <w:pPr>
        <w:ind w:left="220"/>
        <w:spacing w:after="0"/>
        <w:tabs>
          <w:tab w:leader="none" w:pos="4060" w:val="left"/>
        </w:tabs>
        <w:rPr>
          <w:sz w:val="20"/>
          <w:szCs w:val="20"/>
          <w:color w:val="auto"/>
        </w:rPr>
      </w:pPr>
      <w:r>
        <w:rPr>
          <w:rFonts w:ascii="Times New Roman" w:cs="Times New Roman" w:eastAsia="Times New Roman" w:hAnsi="Times New Roman"/>
          <w:sz w:val="14"/>
          <w:szCs w:val="14"/>
          <w:color w:val="auto"/>
        </w:rPr>
        <w:t>Fair value hedges: interest rate swaps</w:t>
      </w:r>
      <w:r>
        <w:rPr>
          <w:sz w:val="20"/>
          <w:szCs w:val="20"/>
          <w:color w:val="auto"/>
        </w:rPr>
        <w:tab/>
      </w:r>
      <w:r>
        <w:rPr>
          <w:rFonts w:ascii="Times New Roman" w:cs="Times New Roman" w:eastAsia="Times New Roman" w:hAnsi="Times New Roman"/>
          <w:sz w:val="14"/>
          <w:szCs w:val="14"/>
          <w:color w:val="auto"/>
        </w:rPr>
        <w:t>Interest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of Gains (Losses) Recognized in</w:t>
            </w:r>
          </w:p>
        </w:tc>
        <w:tc>
          <w:tcPr>
            <w:tcW w:w="26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OCI Impact on Derivatives-Gains (Losses)</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548"/>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420" w:type="dxa"/>
            <w:vAlign w:val="bottom"/>
            <w:tcBorders>
              <w:bottom w:val="single" w:sz="8" w:color="auto"/>
            </w:tcBorders>
            <w:gridSpan w:val="5"/>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recorded in OCI</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w w:val="75"/>
              </w:rPr>
              <w:t>(Dollars</w:t>
            </w:r>
          </w:p>
        </w:tc>
        <w:tc>
          <w:tcPr>
            <w:tcW w:w="300" w:type="dxa"/>
            <w:vAlign w:val="bottom"/>
          </w:tcPr>
          <w:p>
            <w:pPr>
              <w:ind w:left="160"/>
              <w:spacing w:after="0"/>
              <w:rPr>
                <w:sz w:val="20"/>
                <w:szCs w:val="20"/>
                <w:color w:val="auto"/>
              </w:rPr>
            </w:pPr>
            <w:r>
              <w:rPr>
                <w:rFonts w:ascii="Times New Roman" w:cs="Times New Roman" w:eastAsia="Times New Roman" w:hAnsi="Times New Roman"/>
                <w:sz w:val="14"/>
                <w:szCs w:val="14"/>
                <w:i w:val="1"/>
                <w:iCs w:val="1"/>
                <w:color w:val="auto"/>
              </w:rPr>
              <w:t>in</w:t>
            </w: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1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w w:val="91"/>
              </w:rPr>
              <w:t>in</w:t>
            </w:r>
          </w:p>
        </w:tc>
        <w:tc>
          <w:tcPr>
            <w:tcW w:w="1040" w:type="dxa"/>
            <w:vAlign w:val="bottom"/>
            <w:tcBorders>
              <w:top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7"/>
        </w:trPr>
        <w:tc>
          <w:tcPr>
            <w:tcW w:w="68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-782320</wp:posOffset>
            </wp:positionV>
            <wp:extent cx="93980" cy="1797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3189605</wp:posOffset>
            </wp:positionH>
            <wp:positionV relativeFrom="paragraph">
              <wp:posOffset>-782320</wp:posOffset>
            </wp:positionV>
            <wp:extent cx="93980" cy="1797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5580" w:space="320"/>
            <w:col w:w="5340"/>
          </w:cols>
          <w:pgMar w:left="320" w:top="1088" w:right="339" w:bottom="1440" w:gutter="0" w:footer="0" w:header="0"/>
        </w:sectPr>
      </w:pPr>
    </w:p>
    <w:tbl>
      <w:tblPr>
        <w:tblLayout w:type="fixed"/>
        <w:tblInd w:w="0" w:type="dxa"/>
        <w:tblCellMar>
          <w:top w:w="0" w:type="dxa"/>
          <w:left w:w="0" w:type="dxa"/>
          <w:bottom w:w="0" w:type="dxa"/>
          <w:right w:w="0" w:type="dxa"/>
        </w:tblCellMar>
      </w:tblPr>
      <w:tr>
        <w:trPr>
          <w:trHeight w:val="161"/>
        </w:trPr>
        <w:tc>
          <w:tcPr>
            <w:tcW w:w="32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Cash flow hedges: interest rate swaps</w:t>
            </w:r>
          </w:p>
        </w:tc>
        <w:tc>
          <w:tcPr>
            <w:tcW w:w="268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30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260" w:type="dxa"/>
            <w:vAlign w:val="bottom"/>
            <w:tcBorders>
              <w:bottom w:val="single" w:sz="8" w:color="CFF0FC"/>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Borders>
              <w:bottom w:val="single" w:sz="8" w:color="CFF0FC"/>
            </w:tcBorders>
            <w:shd w:val="clear" w:color="auto" w:fill="CFF0FC"/>
          </w:tcPr>
          <w:p>
            <w:pPr>
              <w:spacing w:after="0"/>
              <w:rPr>
                <w:sz w:val="13"/>
                <w:szCs w:val="13"/>
                <w:color w:val="auto"/>
              </w:rPr>
            </w:pPr>
          </w:p>
        </w:tc>
      </w:tr>
      <w:tr>
        <w:trPr>
          <w:trHeight w:val="169"/>
        </w:trPr>
        <w:tc>
          <w:tcPr>
            <w:tcW w:w="322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680" w:type="dxa"/>
            <w:vAlign w:val="bottom"/>
          </w:tcPr>
          <w:p>
            <w:pPr>
              <w:spacing w:after="0"/>
              <w:rPr>
                <w:sz w:val="14"/>
                <w:szCs w:val="14"/>
                <w:color w:val="auto"/>
              </w:rPr>
            </w:pPr>
          </w:p>
        </w:tc>
        <w:tc>
          <w:tcPr>
            <w:tcW w:w="400" w:type="dxa"/>
            <w:vAlign w:val="bottom"/>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3,865</w:t>
            </w:r>
          </w:p>
        </w:tc>
        <w:tc>
          <w:tcPr>
            <w:tcW w:w="80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ind w:left="40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13,425</w:t>
            </w:r>
          </w:p>
        </w:tc>
        <w:tc>
          <w:tcPr>
            <w:tcW w:w="7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00"/>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3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-144780</wp:posOffset>
            </wp:positionV>
            <wp:extent cx="768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-144780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-144780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-144780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OTHER COMPREHENSIVE INCOME</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provides a summary of the components of other comprehensive income (“OCI”)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Tax effect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(35,856 )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10,600</w:t>
            </w:r>
          </w:p>
        </w:tc>
        <w:tc>
          <w:tcPr>
            <w:tcW w:w="100" w:type="dxa"/>
            <w:vAlign w:val="bottom"/>
          </w:tcPr>
          <w:p>
            <w:pPr>
              <w:spacing w:after="0"/>
              <w:rPr>
                <w:sz w:val="15"/>
                <w:szCs w:val="15"/>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(25,256 )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(11,951 )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Amortization of net unrealized losses on securities</w:t>
            </w:r>
          </w:p>
        </w:tc>
        <w:tc>
          <w:tcPr>
            <w:tcW w:w="1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(82 )</w:t>
            </w: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shd w:val="clear" w:color="auto" w:fill="CFF0FC"/>
          </w:tcPr>
          <w:p>
            <w:pPr>
              <w:jc w:val="right"/>
              <w:ind w:right="1388"/>
              <w:spacing w:after="0"/>
              <w:rPr>
                <w:sz w:val="20"/>
                <w:szCs w:val="20"/>
                <w:color w:val="auto"/>
              </w:rPr>
            </w:pPr>
            <w:r>
              <w:rPr>
                <w:rFonts w:ascii="Times New Roman" w:cs="Times New Roman" w:eastAsia="Times New Roman" w:hAnsi="Times New Roman"/>
                <w:sz w:val="14"/>
                <w:szCs w:val="14"/>
                <w:color w:val="auto"/>
              </w:rPr>
              <w:t>transferred from available-for-sale to held-to-maturity</w:t>
            </w:r>
          </w:p>
        </w:tc>
        <w:tc>
          <w:tcPr>
            <w:tcW w:w="10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designated as hedging instruments:</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Fair value hedges:</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tcPr>
          <w:p>
            <w:pPr>
              <w:jc w:val="right"/>
              <w:ind w:right="1408"/>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(4,962 )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flow hedges:</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tcPr>
          <w:p>
            <w:pPr>
              <w:jc w:val="right"/>
              <w:ind w:right="1408"/>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(233 )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80" w:type="dxa"/>
            <w:vAlign w:val="bottom"/>
            <w:shd w:val="clear" w:color="auto" w:fill="CFF0FC"/>
          </w:tcPr>
          <w:p>
            <w:pPr>
              <w:ind w:left="560"/>
              <w:spacing w:after="0" w:line="155" w:lineRule="exact"/>
              <w:rPr>
                <w:sz w:val="20"/>
                <w:szCs w:val="20"/>
                <w:color w:val="auto"/>
              </w:rPr>
            </w:pPr>
            <w:r>
              <w:rPr>
                <w:rFonts w:ascii="Times New Roman" w:cs="Times New Roman" w:eastAsia="Times New Roman" w:hAnsi="Times New Roman"/>
                <w:sz w:val="14"/>
                <w:szCs w:val="14"/>
                <w:color w:val="auto"/>
              </w:rPr>
              <w:t>Net change</w:t>
            </w:r>
          </w:p>
        </w:tc>
        <w:tc>
          <w:tcPr>
            <w:tcW w:w="1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(17,073 )</w:t>
            </w: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5,357</w:t>
            </w:r>
          </w:p>
        </w:tc>
        <w:tc>
          <w:tcPr>
            <w:tcW w:w="10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(11,716 )</w:t>
            </w:r>
          </w:p>
        </w:tc>
        <w:tc>
          <w:tcPr>
            <w:tcW w:w="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40,702</w:t>
            </w:r>
          </w:p>
        </w:tc>
        <w:tc>
          <w:tcPr>
            <w:tcW w:w="320" w:type="dxa"/>
            <w:vAlign w:val="bottom"/>
            <w:gridSpan w:val="2"/>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(12,033 )</w:t>
            </w:r>
          </w:p>
        </w:tc>
        <w:tc>
          <w:tcPr>
            <w:tcW w:w="1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28,669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774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7683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11.  BALANCE SHEET OFFSETTING</w:t>
      </w:r>
    </w:p>
    <w:p>
      <w:pPr>
        <w:spacing w:after="0" w:line="22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192" w:lineRule="exact"/>
        <w:rPr>
          <w:sz w:val="20"/>
          <w:szCs w:val="20"/>
          <w:color w:val="auto"/>
        </w:rPr>
      </w:pPr>
    </w:p>
    <w:p>
      <w:pPr>
        <w:ind w:right="320" w:firstLine="374"/>
        <w:spacing w:after="0" w:line="266" w:lineRule="auto"/>
        <w:rPr>
          <w:sz w:val="20"/>
          <w:szCs w:val="20"/>
          <w:color w:val="auto"/>
        </w:rPr>
      </w:pPr>
      <w:r>
        <w:rPr>
          <w:rFonts w:ascii="Times New Roman" w:cs="Times New Roman" w:eastAsia="Times New Roman" w:hAnsi="Times New Roman"/>
          <w:sz w:val="18"/>
          <w:szCs w:val="18"/>
          <w:color w:val="auto"/>
        </w:rPr>
        <w:t>In June 2023, fair value hedging transactions were executed in which $1 billion notional pay-fixed interest rate swaps were consummated with original maturities ranging from four to five years, wherein the Company pays a weighted average fixed rate of approximately 3.8% and receives daily SOFR. The fair value of these instruments totaled $10.9 million and were reflected as an asset on March 31, 2024.</w:t>
      </w:r>
    </w:p>
    <w:p>
      <w:pPr>
        <w:spacing w:after="0" w:line="176"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cash flow hedging transactions were executed in which $300 million notional pay-fixed interest rate swaps were consummated with maturities of three years, wherein the Company pays a weighted average fixed rate of approximately 4.2% and receives daily SOFR. The fair value of these instruments totaled $789,000 and were reflected as an asset on March 31, 2024.</w:t>
      </w:r>
    </w:p>
    <w:p>
      <w:pPr>
        <w:spacing w:after="0" w:line="176"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Refer to Note 9 – Derivative Financial Instruments of the notes to the unaudited condensed consolidated financial statements of this report for additional information.</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36" w:name="page37"/>
    <w:bookmarkEnd w:id="36"/>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40" w:type="dxa"/>
            <w:vAlign w:val="bottom"/>
          </w:tcPr>
          <w:p>
            <w:pPr>
              <w:spacing w:after="0"/>
              <w:rPr>
                <w:sz w:val="13"/>
                <w:szCs w:val="13"/>
                <w:color w:val="auto"/>
              </w:rPr>
            </w:pPr>
          </w:p>
        </w:tc>
        <w:tc>
          <w:tcPr>
            <w:tcW w:w="25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the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3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270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 the Condensed Consolidated Balance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1"/>
                <w:szCs w:val="11"/>
                <w:color w:val="auto"/>
              </w:rPr>
            </w:pPr>
          </w:p>
        </w:tc>
        <w:tc>
          <w:tcPr>
            <w:tcW w:w="12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1"/>
                <w:szCs w:val="11"/>
                <w:color w:val="auto"/>
              </w:rPr>
            </w:pPr>
          </w:p>
        </w:tc>
        <w:tc>
          <w:tcPr>
            <w:tcW w:w="1000" w:type="dxa"/>
            <w:vAlign w:val="bottom"/>
          </w:tcPr>
          <w:p>
            <w:pPr>
              <w:jc w:val="right"/>
              <w:ind w:right="228"/>
              <w:spacing w:after="0" w:line="131"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08"/>
              <w:spacing w:after="0" w:line="131"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designated as</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Fair value hedges: interest rate swaps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Cash flow hedges: interest rate swaps</w:t>
            </w: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47,507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(47,469 )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47,469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(15,827 )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designated as</w:t>
            </w: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1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Fair value hedges: interest rate swaps</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Cash flow hedges: interest rate swaps</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275,720</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275,720</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360,312</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636,032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323,227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(47,469 )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275,758</w:t>
            </w:r>
          </w:p>
        </w:tc>
        <w:tc>
          <w:tcPr>
            <w:tcW w:w="2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47,469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344,485</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667,712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vMerge w:val="continue"/>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128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118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designated as</w:t>
            </w: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42,613</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(42,501 )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2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42,501</w:t>
            </w:r>
          </w:p>
        </w:tc>
        <w:tc>
          <w:tcPr>
            <w:tcW w:w="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(11,659 )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vMerge w:val="continue"/>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1280" w:type="dxa"/>
            <w:vAlign w:val="bottom"/>
            <w:gridSpan w:val="2"/>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1180" w:type="dxa"/>
            <w:vAlign w:val="bottom"/>
            <w:gridSpan w:val="2"/>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designated as</w:t>
            </w: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271,642</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271,642</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362,505</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634,147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(42,501 )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271,754</w:t>
            </w:r>
          </w:p>
        </w:tc>
        <w:tc>
          <w:tcPr>
            <w:tcW w:w="2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350,846</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-3256915</wp:posOffset>
            </wp:positionV>
            <wp:extent cx="768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-3256915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-3256915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-3256915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-3256915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-2030730</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-2030730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-2030730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-2030730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-2030730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-916305</wp:posOffset>
            </wp:positionV>
            <wp:extent cx="768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-899795</wp:posOffset>
            </wp:positionV>
            <wp:extent cx="7683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-916305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-899795</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-916305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-899795</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-916305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-899795</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-916305</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-899795</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-145415</wp:posOffset>
            </wp:positionV>
            <wp:extent cx="7683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-145415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-145415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-145415</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-145415</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29" w:lineRule="exact"/>
        <w:rPr>
          <w:sz w:val="20"/>
          <w:szCs w:val="20"/>
          <w:color w:val="auto"/>
        </w:rPr>
      </w:pPr>
    </w:p>
    <w:p>
      <w:pPr>
        <w:ind w:right="140" w:firstLine="374"/>
        <w:spacing w:after="0" w:line="289" w:lineRule="auto"/>
        <w:rPr>
          <w:sz w:val="20"/>
          <w:szCs w:val="20"/>
          <w:color w:val="auto"/>
        </w:rPr>
      </w:pPr>
      <w:r>
        <w:rPr>
          <w:rFonts w:ascii="Times New Roman" w:cs="Times New Roman" w:eastAsia="Times New Roman" w:hAnsi="Times New Roman"/>
          <w:sz w:val="17"/>
          <w:szCs w:val="17"/>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While the Company has, as a lessor, certain equipment finance leases, such leases are not material to the Company’s consolidated financial statements.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tables below present the components of lease costs and supplemental information related to leases as of and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580" w:type="dxa"/>
            <w:vAlign w:val="bottom"/>
          </w:tcPr>
          <w:p>
            <w:pPr>
              <w:jc w:val="center"/>
              <w:ind w:left="553"/>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320" w:type="dxa"/>
            <w:vAlign w:val="bottom"/>
          </w:tcPr>
          <w:p>
            <w:pPr>
              <w:spacing w:after="0"/>
              <w:rPr>
                <w:sz w:val="21"/>
                <w:szCs w:val="21"/>
                <w:color w:val="auto"/>
              </w:rPr>
            </w:pPr>
          </w:p>
        </w:tc>
        <w:tc>
          <w:tcPr>
            <w:tcW w:w="15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3"/>
        </w:trPr>
        <w:tc>
          <w:tcPr>
            <w:tcW w:w="6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Assets and Liabilities</w:t>
            </w:r>
          </w:p>
        </w:tc>
        <w:tc>
          <w:tcPr>
            <w:tcW w:w="15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ROU assets</w:t>
            </w:r>
          </w:p>
        </w:tc>
        <w:tc>
          <w:tcPr>
            <w:tcW w:w="1580" w:type="dxa"/>
            <w:vAlign w:val="bottom"/>
          </w:tcPr>
          <w:p>
            <w:pPr>
              <w:jc w:val="right"/>
              <w:ind w:right="1413"/>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20,666</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21,655</w:t>
            </w:r>
          </w:p>
        </w:tc>
        <w:tc>
          <w:tcPr>
            <w:tcW w:w="100" w:type="dxa"/>
            <w:vAlign w:val="bottom"/>
          </w:tcPr>
          <w:p>
            <w:pPr>
              <w:spacing w:after="0"/>
              <w:rPr>
                <w:sz w:val="20"/>
                <w:szCs w:val="20"/>
                <w:color w:val="auto"/>
              </w:rPr>
            </w:pPr>
          </w:p>
        </w:tc>
      </w:tr>
      <w:tr>
        <w:trPr>
          <w:trHeight w:val="247"/>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5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23,037</w:t>
            </w:r>
          </w:p>
        </w:tc>
        <w:tc>
          <w:tcPr>
            <w:tcW w:w="3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24,056</w:t>
            </w:r>
          </w:p>
        </w:tc>
        <w:tc>
          <w:tcPr>
            <w:tcW w:w="100" w:type="dxa"/>
            <w:vAlign w:val="bottom"/>
            <w:shd w:val="clear" w:color="auto" w:fill="CFF0FC"/>
          </w:tcPr>
          <w:p>
            <w:pPr>
              <w:spacing w:after="0"/>
              <w:rPr>
                <w:sz w:val="21"/>
                <w:szCs w:val="21"/>
                <w:color w:val="auto"/>
              </w:rPr>
            </w:pPr>
          </w:p>
        </w:tc>
      </w:tr>
    </w:tbl>
    <w:p>
      <w:pPr>
        <w:spacing w:after="0" w:line="180"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857"/>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29"/>
        </w:trPr>
        <w:tc>
          <w:tcPr>
            <w:tcW w:w="6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4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expense (1)</w:t>
            </w:r>
          </w:p>
        </w:tc>
        <w:tc>
          <w:tcPr>
            <w:tcW w:w="1480" w:type="dxa"/>
            <w:vAlign w:val="bottom"/>
          </w:tcPr>
          <w:p>
            <w:pPr>
              <w:jc w:val="right"/>
              <w:ind w:right="1316"/>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00" w:type="dxa"/>
            <w:vAlign w:val="bottom"/>
          </w:tcPr>
          <w:p>
            <w:pPr>
              <w:spacing w:after="0"/>
              <w:rPr>
                <w:sz w:val="20"/>
                <w:szCs w:val="20"/>
                <w:color w:val="auto"/>
              </w:rPr>
            </w:pPr>
          </w:p>
        </w:tc>
      </w:tr>
      <w:tr>
        <w:trPr>
          <w:trHeight w:val="234"/>
        </w:trPr>
        <w:tc>
          <w:tcPr>
            <w:tcW w:w="6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14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lease expense</w:t>
            </w:r>
          </w:p>
        </w:tc>
        <w:tc>
          <w:tcPr>
            <w:tcW w:w="1480" w:type="dxa"/>
            <w:vAlign w:val="bottom"/>
          </w:tcPr>
          <w:p>
            <w:pPr>
              <w:jc w:val="right"/>
              <w:ind w:right="1316"/>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-179705</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1140" w:hanging="383"/>
        <w:spacing w:after="0"/>
        <w:tabs>
          <w:tab w:leader="none" w:pos="11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short-term leases and variable lease costs, which are immaterial.</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paid for amounts included in the</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measurement of</w:t>
            </w:r>
          </w:p>
        </w:tc>
        <w:tc>
          <w:tcPr>
            <w:tcW w:w="6540" w:type="dxa"/>
            <w:vAlign w:val="bottom"/>
            <w:gridSpan w:val="2"/>
          </w:tcPr>
          <w:p>
            <w:pPr>
              <w:jc w:val="right"/>
              <w:ind w:right="5270"/>
              <w:spacing w:after="0"/>
              <w:rPr>
                <w:sz w:val="20"/>
                <w:szCs w:val="20"/>
                <w:color w:val="auto"/>
              </w:rPr>
            </w:pPr>
            <w:r>
              <w:rPr>
                <w:rFonts w:ascii="Times New Roman" w:cs="Times New Roman" w:eastAsia="Times New Roman" w:hAnsi="Times New Roman"/>
                <w:sz w:val="18"/>
                <w:szCs w:val="18"/>
                <w:color w:val="auto"/>
              </w:rPr>
              <w:t>lease liabilities:</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79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Operating cash outflows from operating</w:t>
            </w: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1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leases, net</w:t>
            </w:r>
          </w:p>
        </w:tc>
        <w:tc>
          <w:tcPr>
            <w:tcW w:w="6540" w:type="dxa"/>
            <w:vAlign w:val="bottom"/>
            <w:gridSpan w:val="2"/>
            <w:shd w:val="clear" w:color="auto" w:fill="CFF0FC"/>
          </w:tcPr>
          <w:p>
            <w:pPr>
              <w:jc w:val="right"/>
              <w:ind w:right="149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1,864</w:t>
            </w:r>
          </w:p>
        </w:tc>
        <w:tc>
          <w:tcPr>
            <w:tcW w:w="3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396"/>
        </w:trPr>
        <w:tc>
          <w:tcPr>
            <w:tcW w:w="14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0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44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79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11"/>
        </w:trPr>
        <w:tc>
          <w:tcPr>
            <w:tcW w:w="7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(years)</w:t>
            </w:r>
          </w:p>
        </w:tc>
        <w:tc>
          <w:tcPr>
            <w:tcW w:w="4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3.84</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7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3.58 %</w:t>
            </w:r>
          </w:p>
        </w:tc>
        <w:tc>
          <w:tcPr>
            <w:tcW w:w="380" w:type="dxa"/>
            <w:vAlign w:val="bottom"/>
          </w:tcPr>
          <w:p>
            <w:pPr>
              <w:spacing w:after="0"/>
              <w:rPr>
                <w:sz w:val="21"/>
                <w:szCs w:val="21"/>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3.48 %</w:t>
            </w:r>
          </w:p>
        </w:tc>
      </w:tr>
      <w:tr>
        <w:trPr>
          <w:trHeight w:val="445"/>
        </w:trPr>
        <w:tc>
          <w:tcPr>
            <w:tcW w:w="1440" w:type="dxa"/>
            <w:vAlign w:val="bottom"/>
          </w:tcPr>
          <w:p>
            <w:pPr>
              <w:spacing w:after="0"/>
              <w:rPr>
                <w:sz w:val="24"/>
                <w:szCs w:val="24"/>
                <w:color w:val="auto"/>
              </w:rPr>
            </w:pPr>
          </w:p>
        </w:tc>
        <w:tc>
          <w:tcPr>
            <w:tcW w:w="484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39</w:t>
            </w: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44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543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089" w:right="299" w:bottom="1440" w:gutter="0" w:footer="0" w:header="0"/>
        </w:sectPr>
      </w:pPr>
    </w:p>
    <w:bookmarkStart w:id="38" w:name="page39"/>
    <w:bookmarkEnd w:id="38"/>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 Company’s lease arrangements that have not yet commenced as of March 31, 2024 and the Company’s short-term lease costs and variable lease costs, for the three months ended March 31, 2024 and 2023 are not material to the consolidated financial statements. The future lease payments required for leases that have initial or remaining non-cancelable lease terms in excess of one year as of March 31, 2024, excluding property taxes and insurance,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1"/>
                <w:szCs w:val="21"/>
                <w:color w:val="auto"/>
              </w:rPr>
            </w:pPr>
          </w:p>
        </w:tc>
      </w:tr>
      <w:tr>
        <w:trPr>
          <w:trHeight w:val="233"/>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199"/>
        </w:trPr>
        <w:tc>
          <w:tcPr>
            <w:tcW w:w="20" w:type="dxa"/>
            <w:vAlign w:val="bottom"/>
            <w:shd w:val="clear" w:color="auto" w:fill="CFF0FC"/>
          </w:tcPr>
          <w:p>
            <w:pPr>
              <w:spacing w:after="0"/>
              <w:rPr>
                <w:sz w:val="17"/>
                <w:szCs w:val="17"/>
                <w:color w:val="auto"/>
              </w:rPr>
            </w:pPr>
          </w:p>
        </w:tc>
        <w:tc>
          <w:tcPr>
            <w:tcW w:w="9380" w:type="dxa"/>
            <w:vAlign w:val="bottom"/>
            <w:gridSpan w:val="2"/>
            <w:shd w:val="clear" w:color="auto" w:fill="CFF0FC"/>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auto"/>
            </w:tcBorders>
            <w:shd w:val="clear" w:color="auto" w:fill="CFF0FC"/>
          </w:tcPr>
          <w:p>
            <w:pPr>
              <w:spacing w:after="0"/>
              <w:rPr>
                <w:sz w:val="2"/>
                <w:szCs w:val="2"/>
                <w:color w:val="auto"/>
              </w:rPr>
            </w:pPr>
          </w:p>
        </w:tc>
        <w:tc>
          <w:tcPr>
            <w:tcW w:w="89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6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(excluding the three months ended March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5,490</w:t>
            </w:r>
          </w:p>
        </w:tc>
        <w:tc>
          <w:tcPr>
            <w:tcW w:w="100" w:type="dxa"/>
            <w:vAlign w:val="bottom"/>
          </w:tcPr>
          <w:p>
            <w:pPr>
              <w:spacing w:after="0"/>
              <w:rPr>
                <w:sz w:val="20"/>
                <w:szCs w:val="20"/>
                <w:color w:val="auto"/>
              </w:rPr>
            </w:pPr>
          </w:p>
        </w:tc>
      </w:tr>
      <w:tr>
        <w:trPr>
          <w:trHeight w:val="247"/>
        </w:trPr>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6,759</w:t>
            </w:r>
          </w:p>
        </w:tc>
        <w:tc>
          <w:tcPr>
            <w:tcW w:w="100" w:type="dxa"/>
            <w:vAlign w:val="bottom"/>
            <w:shd w:val="clear" w:color="auto" w:fill="CFF0FC"/>
          </w:tcPr>
          <w:p>
            <w:pPr>
              <w:spacing w:after="0"/>
              <w:rPr>
                <w:sz w:val="21"/>
                <w:szCs w:val="21"/>
                <w:color w:val="auto"/>
              </w:rPr>
            </w:pPr>
          </w:p>
        </w:tc>
      </w:tr>
      <w:tr>
        <w:trPr>
          <w:trHeight w:val="239"/>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100" w:type="dxa"/>
            <w:vAlign w:val="bottom"/>
          </w:tcPr>
          <w:p>
            <w:pPr>
              <w:spacing w:after="0"/>
              <w:rPr>
                <w:sz w:val="20"/>
                <w:szCs w:val="20"/>
                <w:color w:val="auto"/>
              </w:rPr>
            </w:pPr>
          </w:p>
        </w:tc>
      </w:tr>
      <w:tr>
        <w:trPr>
          <w:trHeight w:val="247"/>
        </w:trPr>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shd w:val="clear" w:color="auto" w:fill="CFF0FC"/>
          </w:tcPr>
          <w:p>
            <w:pPr>
              <w:spacing w:after="0"/>
              <w:rPr>
                <w:sz w:val="21"/>
                <w:szCs w:val="21"/>
                <w:color w:val="auto"/>
              </w:rPr>
            </w:pPr>
          </w:p>
        </w:tc>
      </w:tr>
      <w:tr>
        <w:trPr>
          <w:trHeight w:val="239"/>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00" w:type="dxa"/>
            <w:vAlign w:val="bottom"/>
          </w:tcPr>
          <w:p>
            <w:pPr>
              <w:spacing w:after="0"/>
              <w:rPr>
                <w:sz w:val="20"/>
                <w:szCs w:val="20"/>
                <w:color w:val="auto"/>
              </w:rPr>
            </w:pPr>
          </w:p>
        </w:tc>
      </w:tr>
      <w:tr>
        <w:trPr>
          <w:trHeight w:val="234"/>
        </w:trPr>
        <w:tc>
          <w:tcPr>
            <w:tcW w:w="94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9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24,807</w:t>
            </w:r>
          </w:p>
        </w:tc>
        <w:tc>
          <w:tcPr>
            <w:tcW w:w="100" w:type="dxa"/>
            <w:vAlign w:val="bottom"/>
          </w:tcPr>
          <w:p>
            <w:pPr>
              <w:spacing w:after="0"/>
              <w:rPr>
                <w:sz w:val="20"/>
                <w:szCs w:val="20"/>
                <w:color w:val="auto"/>
              </w:rPr>
            </w:pPr>
          </w:p>
        </w:tc>
      </w:tr>
      <w:tr>
        <w:trPr>
          <w:trHeight w:val="234"/>
        </w:trPr>
        <w:tc>
          <w:tcPr>
            <w:tcW w:w="20" w:type="dxa"/>
            <w:vAlign w:val="bottom"/>
            <w:shd w:val="clear" w:color="auto" w:fill="CFF0FC"/>
          </w:tcPr>
          <w:p>
            <w:pPr>
              <w:spacing w:after="0"/>
              <w:rPr>
                <w:sz w:val="20"/>
                <w:szCs w:val="20"/>
                <w:color w:val="auto"/>
              </w:rPr>
            </w:pPr>
          </w:p>
        </w:tc>
        <w:tc>
          <w:tcPr>
            <w:tcW w:w="9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(1,770 )</w:t>
            </w:r>
          </w:p>
        </w:tc>
      </w:tr>
      <w:tr>
        <w:trPr>
          <w:trHeight w:val="223"/>
        </w:trPr>
        <w:tc>
          <w:tcPr>
            <w:tcW w:w="940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23,037</w:t>
            </w:r>
          </w:p>
        </w:tc>
        <w:tc>
          <w:tcPr>
            <w:tcW w:w="100" w:type="dxa"/>
            <w:vAlign w:val="bottom"/>
            <w:tcBorders>
              <w:top w:val="single" w:sz="8" w:color="CFF0FC"/>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RECOGNITION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presents noninterest income, segregated by revenue streams in-scope and out-of-scope of Topic 606, for the periods indicated.</w:t>
      </w:r>
    </w:p>
    <w:p>
      <w:pPr>
        <w:spacing w:after="0" w:line="235"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18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638"/>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29"/>
        </w:trPr>
        <w:tc>
          <w:tcPr>
            <w:tcW w:w="7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In-scope of Topic 606:</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7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5,036</w:t>
            </w:r>
          </w:p>
        </w:tc>
        <w:tc>
          <w:tcPr>
            <w:tcW w:w="1000" w:type="dxa"/>
            <w:vAlign w:val="bottom"/>
            <w:gridSpan w:val="2"/>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00" w:type="dxa"/>
            <w:vAlign w:val="bottom"/>
            <w:shd w:val="clear" w:color="auto" w:fill="CFF0FC"/>
          </w:tcPr>
          <w:p>
            <w:pPr>
              <w:spacing w:after="0"/>
              <w:rPr>
                <w:sz w:val="21"/>
                <w:szCs w:val="21"/>
                <w:color w:val="auto"/>
              </w:rPr>
            </w:pPr>
          </w:p>
        </w:tc>
      </w:tr>
      <w:tr>
        <w:trPr>
          <w:trHeight w:val="239"/>
        </w:trPr>
        <w:tc>
          <w:tcPr>
            <w:tcW w:w="7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 and investment services</w:t>
            </w:r>
          </w:p>
        </w:tc>
        <w:tc>
          <w:tcPr>
            <w:tcW w:w="1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Pr>
          <w:p>
            <w:pPr>
              <w:spacing w:after="0"/>
              <w:rPr>
                <w:sz w:val="20"/>
                <w:szCs w:val="20"/>
                <w:color w:val="auto"/>
              </w:rPr>
            </w:pPr>
          </w:p>
        </w:tc>
      </w:tr>
      <w:tr>
        <w:trPr>
          <w:trHeight w:val="247"/>
        </w:trPr>
        <w:tc>
          <w:tcPr>
            <w:tcW w:w="7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Bankcard services</w:t>
            </w:r>
          </w:p>
        </w:tc>
        <w:tc>
          <w:tcPr>
            <w:tcW w:w="1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3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FF0FC"/>
          </w:tcPr>
          <w:p>
            <w:pPr>
              <w:spacing w:after="0"/>
              <w:rPr>
                <w:sz w:val="21"/>
                <w:szCs w:val="21"/>
                <w:color w:val="auto"/>
              </w:rPr>
            </w:pPr>
          </w:p>
        </w:tc>
      </w:tr>
      <w:tr>
        <w:trPr>
          <w:trHeight w:val="229"/>
        </w:trPr>
        <w:tc>
          <w:tcPr>
            <w:tcW w:w="7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3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100" w:type="dxa"/>
            <w:vAlign w:val="bottom"/>
          </w:tcPr>
          <w:p>
            <w:pPr>
              <w:spacing w:after="0"/>
              <w:rPr>
                <w:sz w:val="19"/>
                <w:szCs w:val="19"/>
                <w:color w:val="auto"/>
              </w:rPr>
            </w:pPr>
          </w:p>
        </w:tc>
      </w:tr>
      <w:tr>
        <w:trPr>
          <w:trHeight w:val="237"/>
        </w:trPr>
        <w:tc>
          <w:tcPr>
            <w:tcW w:w="7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Noninterest Income (in-scope of Topic 606)</w:t>
            </w:r>
          </w:p>
        </w:tc>
        <w:tc>
          <w:tcPr>
            <w:tcW w:w="1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10,520</w:t>
            </w:r>
          </w:p>
        </w:tc>
        <w:tc>
          <w:tcPr>
            <w:tcW w:w="3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12,013</w:t>
            </w:r>
          </w:p>
        </w:tc>
        <w:tc>
          <w:tcPr>
            <w:tcW w:w="100" w:type="dxa"/>
            <w:vAlign w:val="bottom"/>
            <w:shd w:val="clear" w:color="auto" w:fill="CFF0FC"/>
          </w:tcPr>
          <w:p>
            <w:pPr>
              <w:spacing w:after="0"/>
              <w:rPr>
                <w:sz w:val="20"/>
                <w:szCs w:val="20"/>
                <w:color w:val="auto"/>
              </w:rPr>
            </w:pPr>
          </w:p>
        </w:tc>
      </w:tr>
      <w:tr>
        <w:trPr>
          <w:trHeight w:val="23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Noninterest Income (out-of-scope of Topic 606)</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3,593</w:t>
            </w:r>
          </w:p>
        </w:tc>
        <w:tc>
          <w:tcPr>
            <w:tcW w:w="3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tcPr>
          <w:p>
            <w:pPr>
              <w:spacing w:after="0"/>
              <w:rPr>
                <w:sz w:val="19"/>
                <w:szCs w:val="19"/>
                <w:color w:val="auto"/>
              </w:rPr>
            </w:pPr>
          </w:p>
        </w:tc>
      </w:tr>
      <w:tr>
        <w:trPr>
          <w:trHeight w:val="263"/>
        </w:trPr>
        <w:tc>
          <w:tcPr>
            <w:tcW w:w="718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14,113</w:t>
            </w:r>
          </w:p>
        </w:tc>
        <w:tc>
          <w:tcPr>
            <w:tcW w:w="38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40" w:firstLine="469"/>
        <w:spacing w:after="0" w:line="284" w:lineRule="auto"/>
        <w:rPr>
          <w:sz w:val="20"/>
          <w:szCs w:val="20"/>
          <w:color w:val="auto"/>
        </w:rPr>
      </w:pPr>
      <w:r>
        <w:rPr>
          <w:rFonts w:ascii="Times New Roman" w:cs="Times New Roman" w:eastAsia="Times New Roman" w:hAnsi="Times New Roman"/>
          <w:sz w:val="18"/>
          <w:szCs w:val="18"/>
          <w:color w:val="auto"/>
        </w:rPr>
        <w:t xml:space="preserve">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23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included in our Annual Report on Form 10-K for the year ended December 31, 2023 for a more detailed discussion about noninterest revenue streams that are in-scope of Topic 606.</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40" w:firstLine="469"/>
        <w:spacing w:after="0" w:line="256" w:lineRule="auto"/>
        <w:rPr>
          <w:sz w:val="20"/>
          <w:szCs w:val="20"/>
          <w:color w:val="auto"/>
        </w:rPr>
      </w:pPr>
      <w:r>
        <w:rPr>
          <w:rFonts w:ascii="Times New Roman" w:cs="Times New Roman" w:eastAsia="Times New Roman" w:hAnsi="Times New Roman"/>
          <w:sz w:val="18"/>
          <w:szCs w:val="18"/>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2023 and the unaudited condensed consolidated financial statements and accompanying notes presented elsewhere in this report.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8"/>
          <w:szCs w:val="18"/>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83" w:lineRule="exact"/>
        <w:rPr>
          <w:sz w:val="20"/>
          <w:szCs w:val="20"/>
          <w:color w:val="auto"/>
        </w:rPr>
      </w:pPr>
    </w:p>
    <w:p>
      <w:pPr>
        <w:ind w:right="260" w:firstLine="469"/>
        <w:spacing w:after="0" w:line="258" w:lineRule="auto"/>
        <w:rPr>
          <w:sz w:val="20"/>
          <w:szCs w:val="20"/>
          <w:color w:val="auto"/>
        </w:rPr>
      </w:pPr>
      <w:r>
        <w:rPr>
          <w:rFonts w:ascii="Times New Roman" w:cs="Times New Roman" w:eastAsia="Times New Roman" w:hAnsi="Times New Roman"/>
          <w:sz w:val="18"/>
          <w:szCs w:val="18"/>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83" w:lineRule="exact"/>
        <w:rPr>
          <w:sz w:val="20"/>
          <w:szCs w:val="20"/>
          <w:color w:val="auto"/>
        </w:rPr>
      </w:pPr>
    </w:p>
    <w:p>
      <w:pPr>
        <w:ind w:left="1040" w:hanging="470"/>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(“ACL”)</w:t>
      </w:r>
    </w:p>
    <w:p>
      <w:pPr>
        <w:spacing w:after="0" w:line="27" w:lineRule="exact"/>
        <w:rPr>
          <w:rFonts w:ascii="Times New Roman" w:cs="Times New Roman" w:eastAsia="Times New Roman" w:hAnsi="Times New Roman"/>
          <w:sz w:val="18"/>
          <w:szCs w:val="18"/>
          <w:color w:val="auto"/>
        </w:rPr>
      </w:pPr>
    </w:p>
    <w:p>
      <w:pPr>
        <w:ind w:left="1040" w:hanging="470"/>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9"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Recoverability of Goodwill</w:t>
      </w:r>
    </w:p>
    <w:p>
      <w:pPr>
        <w:spacing w:after="0" w:line="207" w:lineRule="exact"/>
        <w:rPr>
          <w:sz w:val="20"/>
          <w:szCs w:val="20"/>
          <w:color w:val="auto"/>
        </w:rPr>
      </w:pPr>
    </w:p>
    <w:p>
      <w:pPr>
        <w:ind w:right="280" w:firstLine="469"/>
        <w:spacing w:after="0" w:line="261"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greater detail in our 2023 Annual Report on Form 10-K in the “Critical Accounting Policies” section of Management’s Discussion and Analysis of Financial Condition and Results of Operations and in Note 3 –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included in our Annual Report on Form 10-K for the year ended December 31, 2023, which are essential to understanding Management’s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and Analysis of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but Not Adopted as of March 31, 2024</w:t>
      </w:r>
    </w:p>
    <w:p>
      <w:pPr>
        <w:sectPr>
          <w:pgSz w:w="11900" w:h="16838" w:orient="portrait"/>
          <w:cols w:equalWidth="0" w:num="1">
            <w:col w:w="11240"/>
          </w:cols>
          <w:pgMar w:left="320" w:top="1089" w:right="339" w:bottom="1440" w:gutter="0" w:footer="0" w:header="0"/>
        </w:sectPr>
      </w:pPr>
    </w:p>
    <w:p>
      <w:pPr>
        <w:spacing w:after="0" w:line="3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21729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0"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14"/>
          <w:szCs w:val="14"/>
          <w:color w:val="auto"/>
        </w:rPr>
        <w:t>ASU 2023-09 Income Taxes (Topic 740): Improvements to Income Tax Disclosures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Issued December 2023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36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Impact on Financial Statements</w:t>
            </w:r>
          </w:p>
        </w:tc>
        <w:tc>
          <w:tcPr>
            <w:tcW w:w="0" w:type="dxa"/>
            <w:vAlign w:val="bottom"/>
          </w:tcPr>
          <w:p>
            <w:pPr>
              <w:spacing w:after="0"/>
              <w:rPr>
                <w:sz w:val="1"/>
                <w:szCs w:val="1"/>
                <w:color w:val="auto"/>
              </w:rPr>
            </w:pPr>
          </w:p>
        </w:tc>
      </w:tr>
      <w:tr>
        <w:trPr>
          <w:trHeight w:val="187"/>
        </w:trPr>
        <w:tc>
          <w:tcPr>
            <w:tcW w:w="45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Timing</w:t>
            </w:r>
          </w:p>
        </w:tc>
        <w:tc>
          <w:tcPr>
            <w:tcW w:w="3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5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On December 14, 2023, the FASB issued ASU 2023-09 Income Taxes (Topic</w:t>
            </w:r>
          </w:p>
        </w:tc>
        <w:tc>
          <w:tcPr>
            <w:tcW w:w="14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1st Quarter</w:t>
            </w:r>
          </w:p>
        </w:tc>
        <w:tc>
          <w:tcPr>
            <w:tcW w:w="366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The adoption of this ASU is not expected to have a material</w:t>
            </w: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740) - Improvements to Income Tax Disclosures. This ASU enhances annual</w:t>
            </w:r>
          </w:p>
        </w:tc>
        <w:tc>
          <w:tcPr>
            <w:tcW w:w="96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w w:val="99"/>
              </w:rPr>
              <w:t>2025</w:t>
            </w:r>
          </w:p>
        </w:tc>
        <w:tc>
          <w:tcPr>
            <w:tcW w:w="36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impact on our consolidated financial statements.</w:t>
            </w:r>
          </w:p>
        </w:tc>
        <w:tc>
          <w:tcPr>
            <w:tcW w:w="0" w:type="dxa"/>
            <w:vAlign w:val="bottom"/>
          </w:tcPr>
          <w:p>
            <w:pPr>
              <w:spacing w:after="0"/>
              <w:rPr>
                <w:sz w:val="1"/>
                <w:szCs w:val="1"/>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disclosures to address investor requests for more detailed</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information about tax risks and improved transparency of income tax</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disclosures. The two primary enhancements disaggregate existing income tax</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disclosures related to the effective tax rate reconciliation and information on</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taxes paid disaggregated by jurisdiction. This ASU is effective for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annual reporting periods beginning after December 15, 2024 and are to be</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applied on a prospective basis; early adoption is permitted.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109220</wp:posOffset>
            </wp:positionV>
            <wp:extent cx="713232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320"/>
            <w:col w:w="9180"/>
          </w:cols>
          <w:pgMar w:left="320" w:top="1089" w:right="339" w:bottom="1440"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For the first quarter of 2024, we reported net earnings of $48.6 million, compared with $48.5 million for the fourth quarter of 2023 and $59.3 million for the first quarter of 2023. Diluted earnings per share were $0.35 for the first quarter, compared to $0.35 for the prior quarter and $0.42 for the same period last year. Net income of $48.6 million for the first quarter of 2024 produced an annualized return on average equity (“ROAE”) of 9.31%, an annualized return on average tangible common equity (“ROATCE”) of 15.13%, and an annualized return on average assets (“ROAA”) of 1.21%. Our net interest margin, tax equivalent (“NIM”), was 3.10% for the first quarter of 2024, while our efficiency ratio was 47.22%.</w:t>
      </w:r>
    </w:p>
    <w:p>
      <w:pPr>
        <w:spacing w:after="0" w:line="183"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Net interest income was $112.5 million for the first quarter of 2024. This represented a $6.9 million, or 5.78%, decline from the fourth quarter of 2023, and a $13.3 million, or 10.55%, decrease from the first quarter of 2023. The quarter-over-quarter decrease in net interest income was primarily due to a 16 basis point decline in net interest margin driven by approximately $6 million in higher interest expense associated with time deposits and borrowings. The decline in net interest income compared to the first quarter of 2023 was due to a 35 basis point decrease in net interest margin and a $158.5 million decline in average earning assets. Interest expense from borrowings increased by approximately $12 million compared to the first quarter of 2023, as average borrowings grew by $1.02 billion.</w:t>
      </w:r>
    </w:p>
    <w:p>
      <w:pPr>
        <w:spacing w:after="0" w:line="187" w:lineRule="exact"/>
        <w:rPr>
          <w:sz w:val="20"/>
          <w:szCs w:val="20"/>
          <w:color w:val="auto"/>
        </w:rPr>
      </w:pPr>
    </w:p>
    <w:p>
      <w:pPr>
        <w:ind w:right="60" w:firstLine="469"/>
        <w:spacing w:after="0" w:line="261" w:lineRule="auto"/>
        <w:rPr>
          <w:sz w:val="20"/>
          <w:szCs w:val="20"/>
          <w:color w:val="auto"/>
        </w:rPr>
      </w:pPr>
      <w:r>
        <w:rPr>
          <w:rFonts w:ascii="Times New Roman" w:cs="Times New Roman" w:eastAsia="Times New Roman" w:hAnsi="Times New Roman"/>
          <w:sz w:val="18"/>
          <w:szCs w:val="18"/>
          <w:color w:val="auto"/>
        </w:rPr>
        <w:t>Noninterest income was $14.1 million for the first quarter of 2024, compared with $19.2 million for the fourth quarter of 2023 and $13.2 million for the first quarter of 2023. First quarter income from Bank Owned Life Insurance (“BOLI”) decreased by $4.3 million from the fourth quarter of 2023 and increased by $2.4 million compared to the first quarter of 2023, primarily due to restructuring and enhancements in BOLI policies in the fourth quarter of 2023.</w:t>
      </w:r>
    </w:p>
    <w:p>
      <w:pPr>
        <w:spacing w:after="0" w:line="180" w:lineRule="exact"/>
        <w:rPr>
          <w:sz w:val="20"/>
          <w:szCs w:val="20"/>
          <w:color w:val="auto"/>
        </w:rPr>
      </w:pPr>
    </w:p>
    <w:p>
      <w:pPr>
        <w:ind w:right="180" w:firstLine="469"/>
        <w:spacing w:after="0" w:line="258" w:lineRule="auto"/>
        <w:rPr>
          <w:sz w:val="20"/>
          <w:szCs w:val="20"/>
          <w:color w:val="auto"/>
        </w:rPr>
      </w:pPr>
      <w:r>
        <w:rPr>
          <w:rFonts w:ascii="Times New Roman" w:cs="Times New Roman" w:eastAsia="Times New Roman" w:hAnsi="Times New Roman"/>
          <w:sz w:val="18"/>
          <w:szCs w:val="18"/>
          <w:color w:val="auto"/>
        </w:rPr>
        <w:t>Noninterest expense for the first quarter of 2024 was $59.8 million, compared to $65.9 million for the fourth quarter of 2023 and $54.9 million for the first quarter of 2023. The $6.2 million quarter-over-quarter decrease was primarily due to the expense associated with the FDIC special assessment. The first quarter of 2024 reflected an additional accrual of $2.3 million for the FDIC special assessment. This is in addition to the $9.2 million accrued in the fourth quarter of 2023. The increase in the accrual was the result of the FDIC increasing its initial estimate of losses from last year’s bank failures by 25%, which was communicated in March of 2024.</w:t>
      </w:r>
    </w:p>
    <w:p>
      <w:pPr>
        <w:spacing w:after="0" w:line="183" w:lineRule="exact"/>
        <w:rPr>
          <w:sz w:val="20"/>
          <w:szCs w:val="20"/>
          <w:color w:val="auto"/>
        </w:rPr>
      </w:pPr>
    </w:p>
    <w:p>
      <w:pPr>
        <w:ind w:right="240" w:firstLine="469"/>
        <w:spacing w:after="0" w:line="261" w:lineRule="auto"/>
        <w:rPr>
          <w:sz w:val="20"/>
          <w:szCs w:val="20"/>
          <w:color w:val="auto"/>
        </w:rPr>
      </w:pPr>
      <w:r>
        <w:rPr>
          <w:rFonts w:ascii="Times New Roman" w:cs="Times New Roman" w:eastAsia="Times New Roman" w:hAnsi="Times New Roman"/>
          <w:sz w:val="18"/>
          <w:szCs w:val="18"/>
          <w:color w:val="auto"/>
        </w:rPr>
        <w:t>At March 31, 2024, total assets of $16.47 billion increased by $447.2 million, or 2.79%, from total assets of $16.02 billion at December 31, 2023. Interest-earning assets of $14.91 billion at March 31, 2024, increased by $448.9 million, or 3.10%, when compared with $14.46 billion at December 31, 2023. The increase in interest-earning assets was primarily due to a $707.7 million increase in interest-earning balances due from the Federal Reserve, offset by a $129.0 million decrease in investment securities, and a $134.2 million decrease in total loans.</w:t>
      </w:r>
    </w:p>
    <w:p>
      <w:pPr>
        <w:spacing w:after="0" w:line="180"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Total investment securities were $5.29 billion at March 31, 2024, a decrease of $129.0 million, or 2.38%, from $5.42 billion at December 31, 2023. At March 31, 2024, investment securities held-to-maturity (“HTM”) totaled $2.45 billion, a decrease of $10.0 million, or 0.41%, from December 31, 2023. At March 31, 2024, investment securities available-for-sale (“AFS”) totaled $2.84 billion, inclusive of a pre-tax net unrealized loss of $485.6 million. AFS securities decreased by $119.0 million, or 4.03%, from $2.96 billion at December 31, 2023. Pre-tax unrealized loss grew by $35.9 million from December 31, 2023. Our tax equivalent yield on investments was 2.64% for the quarter ended March 31, 2024, compared to 2.71% for the fourth quarter of 2023 and 2.37% for the first quarter of 2023. The 27 basis point increase in the yield on investment securities from the prior year was impacted by the positive spread generated from fair-value hedging of certain AFS securities, in which the Company receives daily SOFR and pays a weighted average fixed cost of approximately 3.8%.</w:t>
      </w:r>
    </w:p>
    <w:p>
      <w:pPr>
        <w:spacing w:after="0" w:line="192"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8"/>
          <w:szCs w:val="18"/>
          <w:color w:val="auto"/>
        </w:rPr>
        <w:t>In June 2023, fair value hedging transactions were executed in which $1 billion notional pay-fixed interest rate swaps were consummated with maturities ranging from four to five years, wherein the Company pays a weighted average fixed rate of approximately 3.8% and receives daily SOFR. The fair value of these instruments totaled $10.9 million and were reflected as an asset at March 31, 2024. These instruments generated interest income of $3.7 million for the quarter ended March 31, 2024. Refer to Note 9 – Derivative Financial Instruments of the notes to the unaudited condensed consolidated financial statements of this report for additional information.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1" w:name="page42"/>
    <w:bookmarkEnd w:id="41"/>
    <w:p>
      <w:pPr>
        <w:ind w:right="20" w:firstLine="469"/>
        <w:spacing w:after="0" w:line="254" w:lineRule="auto"/>
        <w:rPr>
          <w:sz w:val="20"/>
          <w:szCs w:val="20"/>
          <w:color w:val="auto"/>
        </w:rPr>
      </w:pPr>
      <w:r>
        <w:rPr>
          <w:rFonts w:ascii="Times New Roman" w:cs="Times New Roman" w:eastAsia="Times New Roman" w:hAnsi="Times New Roman"/>
          <w:sz w:val="18"/>
          <w:szCs w:val="18"/>
          <w:color w:val="auto"/>
        </w:rPr>
        <w:t>Total loans and leases, at amortized cost, of $8.77 billion at March 31, 2024, decreased by $134.2 million, or 1.51%, from December 31, 2023. The quarter-over-quarter decline in loans included decreases of $64.0 million in commercial real estate loans, $61.3 million in dairy &amp; livestock and agribusiness loans, $7.9 million in construction loans, $6.8 million in commercial and industrial loans, partially offset by an increase of $6.6 million in SFR mortgage loans. The decline in dairy and livestock loans primarily relates to the seasonal peak in line utilization at the end of every calendar year, demonstrated by a decline in utilization from 80% at the end of 2023 to 75% at March 31, 2024. Our yield on loans was 5.30% for the quarter ended March 31, 2024, compared to 5.18% for the fourth quarter of 2023 and 4.90% for the first quarter of 2023. This 40 basis point increase in our loan yields year-over-year was the result of recent increases in interest rates, highlighted by the 525 basis point increase in the Fed Funds rate since the end of the first quarter of 2022.</w:t>
      </w:r>
    </w:p>
    <w:p>
      <w:pPr>
        <w:spacing w:after="0" w:line="192"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The allowance for credit losses totaled $82.8 million at March 31, 2024, compared to $86.8 million at December 31, 2023. There was no provision for credit losses in the first quarter of 2024. The decline in the allowance was due to $4 million of net charge-offs in the first quarter of 2024, primarily due to two borrowers in which specific loan loss reserves were previously established in 2023. Projected loss rates continue to be driven primarily by economic forecast changes to various macroeconomic variables such as Real GDP growth and the rate of unemployment.</w:t>
      </w:r>
    </w:p>
    <w:p>
      <w:pPr>
        <w:spacing w:after="0" w:line="180"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8"/>
          <w:szCs w:val="18"/>
          <w:color w:val="auto"/>
        </w:rPr>
        <w:t>Since March of 2022 to March of 2024, the Federal Reserve has increased the Federal Funds rate by 525 basis points to the target range of 5.25% to 5.50%. In comparison to the rising Federal Funds rate, our average cost of deposits has increased from three basis points for the first quarter of 2022 to 74 basis points for the first quarter of 2024. The change in market interest rates that has resulted from the Federal Reserve's monetary policies has impacted the availability of higher interest rates on short-term alternatives to deposits, such as money market mutual funds and treasury notes. These higher yielding alternatives, as well as overall inflationary increases on spending, have impacted our deposit levels over the last two years.</w:t>
      </w:r>
    </w:p>
    <w:p>
      <w:pPr>
        <w:spacing w:after="0" w:line="183" w:lineRule="exact"/>
        <w:rPr>
          <w:sz w:val="20"/>
          <w:szCs w:val="20"/>
          <w:color w:val="auto"/>
        </w:rPr>
      </w:pPr>
    </w:p>
    <w:p>
      <w:pPr>
        <w:ind w:right="480" w:firstLine="469"/>
        <w:spacing w:after="0" w:line="266" w:lineRule="auto"/>
        <w:rPr>
          <w:sz w:val="20"/>
          <w:szCs w:val="20"/>
          <w:color w:val="auto"/>
        </w:rPr>
      </w:pPr>
      <w:r>
        <w:rPr>
          <w:rFonts w:ascii="Times New Roman" w:cs="Times New Roman" w:eastAsia="Times New Roman" w:hAnsi="Times New Roman"/>
          <w:sz w:val="18"/>
          <w:szCs w:val="18"/>
          <w:color w:val="auto"/>
        </w:rPr>
        <w:t>Noninterest-bearing deposits were $7.11 billion at March 31, 2024, a decrease of $93.4 million, or 1.30%, when compared to $7.21 billion at December 31, 2023 and a decrease of $731.5 million, or 9.33%, when compared to $7.84 billion at March 31, 2023. At March 31, 2024, noninterest-bearing deposits were 59.80% of total deposits, compared to 63.03% at December 31, 2023 and 63.92% at March 31, 2023.</w:t>
      </w:r>
    </w:p>
    <w:p>
      <w:pPr>
        <w:spacing w:after="0" w:line="176" w:lineRule="exact"/>
        <w:rPr>
          <w:sz w:val="20"/>
          <w:szCs w:val="20"/>
          <w:color w:val="auto"/>
        </w:rPr>
      </w:pPr>
    </w:p>
    <w:p>
      <w:pPr>
        <w:ind w:right="60" w:firstLine="469"/>
        <w:spacing w:after="0" w:line="256" w:lineRule="auto"/>
        <w:rPr>
          <w:sz w:val="20"/>
          <w:szCs w:val="20"/>
          <w:color w:val="auto"/>
        </w:rPr>
      </w:pPr>
      <w:r>
        <w:rPr>
          <w:rFonts w:ascii="Times New Roman" w:cs="Times New Roman" w:eastAsia="Times New Roman" w:hAnsi="Times New Roman"/>
          <w:sz w:val="18"/>
          <w:szCs w:val="18"/>
          <w:color w:val="auto"/>
        </w:rPr>
        <w:t>Interest-bearing deposits were $4.78 billion at March 31, 2024, an increase of $554.7 million, or 13.12%, when compared to $4.23 billion at December 31, 2023 and an increase of $354.6 million, or 8.01%, when compared to $4.43 billion at March 31, 2023. The increase in deposits included $300 million in new brokered deposits at March 31, 2024. These deposits, which mature every 90 days, were combined with cash flow hedges which resulted in a fixed rate of approximately 4.2%. Customer repurchase agreements totaled $275.7 million at March 31, 2024, compared to $271.6 million at December 31, 2023 and $490.2 million at March 31, 2023. Our average cost of total deposits including customer repurchase agreements was 0.73% for the first quarter of 2024, compared to 0.61% for the fourth quarter of 2023 and 0.17% for the first quarter of 2023.</w:t>
      </w:r>
    </w:p>
    <w:p>
      <w:pPr>
        <w:spacing w:after="0" w:line="187" w:lineRule="exact"/>
        <w:rPr>
          <w:sz w:val="20"/>
          <w:szCs w:val="20"/>
          <w:color w:val="auto"/>
        </w:rPr>
      </w:pPr>
    </w:p>
    <w:p>
      <w:pPr>
        <w:jc w:val="both"/>
        <w:ind w:right="120" w:firstLine="464"/>
        <w:spacing w:after="0" w:line="266" w:lineRule="auto"/>
        <w:rPr>
          <w:sz w:val="20"/>
          <w:szCs w:val="20"/>
          <w:color w:val="auto"/>
        </w:rPr>
      </w:pPr>
      <w:r>
        <w:rPr>
          <w:rFonts w:ascii="Times New Roman" w:cs="Times New Roman" w:eastAsia="Times New Roman" w:hAnsi="Times New Roman"/>
          <w:sz w:val="18"/>
          <w:szCs w:val="18"/>
          <w:color w:val="auto"/>
        </w:rPr>
        <w:t>At March 31, 2024, total borrowings, consisted of approximately $2.0 billion of one-year advances from the Federal Reserve’s Bank Term Funding Program ("BTFP"), at a weighted average cost of approximately 4.75%. The BTFP advances include maturities of $695 million in May and $1.3 billion in January of 2025.</w:t>
      </w:r>
    </w:p>
    <w:p>
      <w:pPr>
        <w:spacing w:after="0" w:line="176"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The Company’s total equity was $2.09 billion at March 31, 2024. This represented an overall increase of $8.9 million from total equity of $2.08 billion at December 31, 2023. Increases to equity included $48.6 million in net earnings, that were partially offset by $27.9 million in cash dividends and an $11.7 million decrease in other comprehensive income from the tax effected impact of the net decline in market value of available-for-sale securities and increase in value of pay fixed swaps. We engaged in no stock repurchases during the first quarter of 2024. Our tangible book value per share at March 31, 2024 was $9.36.</w:t>
      </w:r>
    </w:p>
    <w:p>
      <w:pPr>
        <w:spacing w:after="0" w:line="183" w:lineRule="exact"/>
        <w:rPr>
          <w:sz w:val="20"/>
          <w:szCs w:val="20"/>
          <w:color w:val="auto"/>
        </w:rPr>
      </w:pPr>
    </w:p>
    <w:p>
      <w:pPr>
        <w:ind w:right="60" w:firstLine="469"/>
        <w:spacing w:after="0" w:line="266" w:lineRule="auto"/>
        <w:rPr>
          <w:sz w:val="20"/>
          <w:szCs w:val="20"/>
          <w:color w:val="auto"/>
        </w:rPr>
      </w:pPr>
      <w:r>
        <w:rPr>
          <w:rFonts w:ascii="Times New Roman" w:cs="Times New Roman" w:eastAsia="Times New Roman" w:hAnsi="Times New Roman"/>
          <w:sz w:val="18"/>
          <w:szCs w:val="18"/>
          <w:color w:val="auto"/>
        </w:rPr>
        <w:t xml:space="preserve">Our capital ratios under the revised capital framework referred to as Basel III remain well-above regulatory requirements. As of March 31, 2024, the Company’s Tier 1 leverage capital ratio was 10.46%, common equity Tier 1 ratio was 14.95%, Tier 1 risk-based capital ratio was 14.95%, and total risk-based capital ratio was 15.77%. Refer to our </w:t>
      </w:r>
      <w:r>
        <w:rPr>
          <w:rFonts w:ascii="Times New Roman" w:cs="Times New Roman" w:eastAsia="Times New Roman" w:hAnsi="Times New Roman"/>
          <w:sz w:val="18"/>
          <w:szCs w:val="18"/>
          <w:i w:val="1"/>
          <w:iCs w:val="1"/>
          <w:color w:val="auto"/>
        </w:rPr>
        <w:t>Analysis of Financial Condition – Capital Resources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ANALYSIS OF THE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60" w:type="dxa"/>
            <w:vAlign w:val="bottom"/>
            <w:gridSpan w:val="9"/>
          </w:tcPr>
          <w:p>
            <w:pPr>
              <w:ind w:left="106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112,461</w:t>
            </w:r>
          </w:p>
        </w:tc>
        <w:tc>
          <w:tcPr>
            <w:tcW w:w="3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125,728</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(13,267 )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-10.55 %</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34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(1,500 )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14,113</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6.90 %</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3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(59,771 )</w:t>
            </w:r>
          </w:p>
        </w:tc>
        <w:tc>
          <w:tcPr>
            <w:tcW w:w="5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(54,881 )</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(4,890 )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-8.91 %</w:t>
            </w:r>
          </w:p>
        </w:tc>
        <w:tc>
          <w:tcPr>
            <w:tcW w:w="0" w:type="dxa"/>
            <w:vAlign w:val="bottom"/>
          </w:tcPr>
          <w:p>
            <w:pPr>
              <w:spacing w:after="0"/>
              <w:rPr>
                <w:sz w:val="1"/>
                <w:szCs w:val="1"/>
                <w:color w:val="auto"/>
              </w:rPr>
            </w:pPr>
          </w:p>
        </w:tc>
      </w:tr>
      <w:tr>
        <w:trPr>
          <w:trHeight w:val="246"/>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(18,204 )</w:t>
            </w:r>
          </w:p>
        </w:tc>
        <w:tc>
          <w:tcPr>
            <w:tcW w:w="5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(23,279 )</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21.80 %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48,599</w:t>
            </w:r>
          </w:p>
        </w:tc>
        <w:tc>
          <w:tcPr>
            <w:tcW w:w="3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59,270</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(10,671 )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-18.00 %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(0.07 )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32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(0.07 )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3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1.21 %</w:t>
            </w:r>
          </w:p>
        </w:tc>
        <w:tc>
          <w:tcPr>
            <w:tcW w:w="5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1.47 %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-0.26 %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9.31 %</w:t>
            </w:r>
          </w:p>
        </w:tc>
        <w:tc>
          <w:tcPr>
            <w:tcW w:w="5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12.15 %</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-2.84 %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3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47.22 %</w:t>
            </w:r>
          </w:p>
        </w:tc>
        <w:tc>
          <w:tcPr>
            <w:tcW w:w="5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39.50 %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7.72 %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3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1.48 %</w:t>
            </w: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1.36 %</w:t>
            </w:r>
          </w:p>
        </w:tc>
        <w:tc>
          <w:tcPr>
            <w:tcW w:w="3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0.12 %</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-1770380</wp:posOffset>
            </wp:positionV>
            <wp:extent cx="7132320" cy="1454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-1478915</wp:posOffset>
            </wp:positionV>
            <wp:extent cx="7132320" cy="1454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-1178560</wp:posOffset>
            </wp:positionV>
            <wp:extent cx="7132320" cy="1714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gridSpan w:val="5"/>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9"/>
                <w:szCs w:val="19"/>
                <w:color w:val="auto"/>
              </w:rPr>
            </w:pPr>
          </w:p>
        </w:tc>
        <w:tc>
          <w:tcPr>
            <w:tcW w:w="140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40" w:type="dxa"/>
            <w:vAlign w:val="bottom"/>
            <w:gridSpan w:val="9"/>
          </w:tcPr>
          <w:p>
            <w:pPr>
              <w:ind w:left="1140"/>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112,461</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119,356</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(6,895 )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-5.78 %</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26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(2,000 )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100.00 %</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(5,050 )</w:t>
            </w: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-26.35 %</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26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(59,771 )</w:t>
            </w:r>
          </w:p>
        </w:tc>
        <w:tc>
          <w:tcPr>
            <w:tcW w:w="1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(65,930 )</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9.34 %</w:t>
            </w:r>
          </w:p>
        </w:tc>
        <w:tc>
          <w:tcPr>
            <w:tcW w:w="0" w:type="dxa"/>
            <w:vAlign w:val="bottom"/>
          </w:tcPr>
          <w:p>
            <w:pPr>
              <w:spacing w:after="0"/>
              <w:rPr>
                <w:sz w:val="1"/>
                <w:szCs w:val="1"/>
                <w:color w:val="auto"/>
              </w:rPr>
            </w:pPr>
          </w:p>
        </w:tc>
      </w:tr>
      <w:tr>
        <w:trPr>
          <w:trHeight w:val="246"/>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(18,204 )</w:t>
            </w:r>
          </w:p>
        </w:tc>
        <w:tc>
          <w:tcPr>
            <w:tcW w:w="1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(26,081 )</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30.20 %</w:t>
            </w:r>
          </w:p>
        </w:tc>
        <w:tc>
          <w:tcPr>
            <w:tcW w:w="0" w:type="dxa"/>
            <w:vAlign w:val="bottom"/>
          </w:tcPr>
          <w:p>
            <w:pPr>
              <w:spacing w:after="0"/>
              <w:rPr>
                <w:sz w:val="1"/>
                <w:szCs w:val="1"/>
                <w:color w:val="auto"/>
              </w:rPr>
            </w:pPr>
          </w:p>
        </w:tc>
      </w:tr>
      <w:tr>
        <w:trPr>
          <w:trHeight w:val="226"/>
        </w:trPr>
        <w:tc>
          <w:tcPr>
            <w:tcW w:w="5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earnings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48,599</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48,508</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0.19 %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(0.05 )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(0.05 )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2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1.21 %</w:t>
            </w:r>
          </w:p>
        </w:tc>
        <w:tc>
          <w:tcPr>
            <w:tcW w:w="1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1.36 %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-0.15 %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9.31 %</w:t>
            </w:r>
          </w:p>
        </w:tc>
        <w:tc>
          <w:tcPr>
            <w:tcW w:w="14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11.03 %</w:t>
            </w: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-1.72 %</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2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47.22 %</w:t>
            </w:r>
          </w:p>
        </w:tc>
        <w:tc>
          <w:tcPr>
            <w:tcW w:w="1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40.86 %</w:t>
            </w:r>
          </w:p>
        </w:tc>
        <w:tc>
          <w:tcPr>
            <w:tcW w:w="3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6.36 %</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1.48 %</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1.32 %</w:t>
            </w:r>
          </w:p>
        </w:tc>
        <w:tc>
          <w:tcPr>
            <w:tcW w:w="3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0.16 %</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-1770380</wp:posOffset>
            </wp:positionV>
            <wp:extent cx="7132320" cy="1460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-1478915</wp:posOffset>
            </wp:positionV>
            <wp:extent cx="7132320" cy="1454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-1178560</wp:posOffset>
            </wp:positionV>
            <wp:extent cx="7132320" cy="1714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089"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Tangible Common Equity Reconciliation (Non-GAAP)</w:t>
      </w:r>
    </w:p>
    <w:p>
      <w:pPr>
        <w:spacing w:after="0" w:line="229" w:lineRule="exact"/>
        <w:rPr>
          <w:sz w:val="20"/>
          <w:szCs w:val="20"/>
          <w:color w:val="auto"/>
        </w:rPr>
      </w:pPr>
    </w:p>
    <w:p>
      <w:pPr>
        <w:ind w:right="160" w:firstLine="469"/>
        <w:spacing w:after="0" w:line="261" w:lineRule="auto"/>
        <w:rPr>
          <w:sz w:val="20"/>
          <w:szCs w:val="20"/>
          <w:color w:val="auto"/>
        </w:rPr>
      </w:pPr>
      <w:r>
        <w:rPr>
          <w:rFonts w:ascii="Times New Roman" w:cs="Times New Roman" w:eastAsia="Times New Roman" w:hAnsi="Times New Roman"/>
          <w:sz w:val="18"/>
          <w:szCs w:val="18"/>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6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8"/>
                <w:szCs w:val="18"/>
                <w:color w:val="auto"/>
              </w:rPr>
            </w:pP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gridSpan w:val="2"/>
          </w:tcPr>
          <w:p>
            <w:pPr>
              <w:spacing w:after="0"/>
              <w:rPr>
                <w:sz w:val="18"/>
                <w:szCs w:val="18"/>
                <w:color w:val="auto"/>
              </w:rPr>
            </w:pPr>
          </w:p>
        </w:tc>
      </w:tr>
      <w:tr>
        <w:trPr>
          <w:trHeight w:val="240"/>
        </w:trPr>
        <w:tc>
          <w:tcPr>
            <w:tcW w:w="6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1"/>
        </w:trPr>
        <w:tc>
          <w:tcPr>
            <w:tcW w:w="6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8"/>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48,599</w:t>
            </w:r>
          </w:p>
        </w:tc>
        <w:tc>
          <w:tcPr>
            <w:tcW w:w="1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48,508</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59,270</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 Amortization of intangible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Tax effect of amortization of intangible assets [1]</w:t>
            </w:r>
          </w:p>
        </w:tc>
        <w:tc>
          <w:tcPr>
            <w:tcW w:w="2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(425 )</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(427 )</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(508 )</w:t>
            </w:r>
          </w:p>
        </w:tc>
        <w:tc>
          <w:tcPr>
            <w:tcW w:w="40" w:type="dxa"/>
            <w:vAlign w:val="bottom"/>
          </w:tcPr>
          <w:p>
            <w:pPr>
              <w:spacing w:after="0"/>
              <w:rPr>
                <w:sz w:val="20"/>
                <w:szCs w:val="20"/>
                <w:color w:val="auto"/>
              </w:rPr>
            </w:pPr>
          </w:p>
        </w:tc>
      </w:tr>
      <w:tr>
        <w:trPr>
          <w:trHeight w:val="226"/>
        </w:trPr>
        <w:tc>
          <w:tcPr>
            <w:tcW w:w="61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Tangible net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49,612</w:t>
            </w:r>
          </w:p>
        </w:tc>
        <w:tc>
          <w:tcPr>
            <w:tcW w:w="16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49,527</w:t>
            </w:r>
          </w:p>
        </w:tc>
        <w:tc>
          <w:tcPr>
            <w:tcW w:w="30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60,482</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Average stockholders' equity</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2,098,868</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1,994,150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1,978,244</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Average goodwill</w:t>
            </w:r>
          </w:p>
        </w:tc>
        <w:tc>
          <w:tcPr>
            <w:tcW w:w="2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(765,822 )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(765,822 )</w:t>
            </w:r>
          </w:p>
        </w:tc>
        <w:tc>
          <w:tcPr>
            <w:tcW w:w="2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(765,822 )</w:t>
            </w:r>
          </w:p>
        </w:tc>
        <w:tc>
          <w:tcPr>
            <w:tcW w:w="40" w:type="dxa"/>
            <w:vAlign w:val="bottom"/>
          </w:tcPr>
          <w:p>
            <w:pPr>
              <w:spacing w:after="0"/>
              <w:rPr>
                <w:sz w:val="19"/>
                <w:szCs w:val="19"/>
                <w:color w:val="auto"/>
              </w:rPr>
            </w:pPr>
          </w:p>
        </w:tc>
      </w:tr>
      <w:tr>
        <w:trPr>
          <w:trHeight w:val="23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Average intangible assets</w:t>
            </w:r>
          </w:p>
        </w:tc>
        <w:tc>
          <w:tcPr>
            <w:tcW w:w="2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(14,585 )</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(15,993 )</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(20,983 )</w:t>
            </w:r>
          </w:p>
        </w:tc>
        <w:tc>
          <w:tcPr>
            <w:tcW w:w="40" w:type="dxa"/>
            <w:vAlign w:val="bottom"/>
          </w:tcPr>
          <w:p>
            <w:pPr>
              <w:spacing w:after="0"/>
              <w:rPr>
                <w:sz w:val="20"/>
                <w:szCs w:val="20"/>
                <w:color w:val="auto"/>
              </w:rPr>
            </w:pPr>
          </w:p>
        </w:tc>
      </w:tr>
      <w:tr>
        <w:trPr>
          <w:trHeight w:val="226"/>
        </w:trPr>
        <w:tc>
          <w:tcPr>
            <w:tcW w:w="61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Average tangible common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1,318,461</w:t>
            </w:r>
          </w:p>
        </w:tc>
        <w:tc>
          <w:tcPr>
            <w:tcW w:w="16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1,212,335</w:t>
            </w:r>
          </w:p>
        </w:tc>
        <w:tc>
          <w:tcPr>
            <w:tcW w:w="30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1,191,439</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equity, annualized</w:t>
            </w:r>
          </w:p>
        </w:tc>
        <w:tc>
          <w:tcPr>
            <w:tcW w:w="2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9.31 %</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9.65 %</w:t>
            </w:r>
          </w:p>
        </w:tc>
        <w:tc>
          <w:tcPr>
            <w:tcW w:w="2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12.15 %</w:t>
            </w: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tangible common equity, annualized</w:t>
            </w:r>
          </w:p>
        </w:tc>
        <w:tc>
          <w:tcPr>
            <w:tcW w:w="2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15.13 %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16.21 %</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454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-1367155</wp:posOffset>
            </wp:positionV>
            <wp:extent cx="774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-1367155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-1367155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-603885</wp:posOffset>
            </wp:positionV>
            <wp:extent cx="774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-603885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-603885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8"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effected at respective statutory rates.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02" w:lineRule="exact"/>
        <w:rPr>
          <w:sz w:val="20"/>
          <w:szCs w:val="20"/>
          <w:color w:val="auto"/>
        </w:rPr>
      </w:pPr>
    </w:p>
    <w:p>
      <w:pPr>
        <w:ind w:right="40" w:firstLine="469"/>
        <w:spacing w:after="0" w:line="253" w:lineRule="auto"/>
        <w:rPr>
          <w:sz w:val="20"/>
          <w:szCs w:val="20"/>
          <w:color w:val="auto"/>
        </w:rPr>
      </w:pPr>
      <w:r>
        <w:rPr>
          <w:rFonts w:ascii="Times New Roman" w:cs="Times New Roman" w:eastAsia="Times New Roman" w:hAnsi="Times New Roman"/>
          <w:sz w:val="18"/>
          <w:szCs w:val="18"/>
          <w:color w:val="auto"/>
        </w:rPr>
        <w:t xml:space="preserve">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three months ended March 31, 2024 and 2023.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See Item 2 – </w:t>
      </w:r>
      <w:r>
        <w:rPr>
          <w:rFonts w:ascii="Times New Roman" w:cs="Times New Roman" w:eastAsia="Times New Roman" w:hAnsi="Times New Roman"/>
          <w:sz w:val="18"/>
          <w:szCs w:val="18"/>
          <w:i w:val="1"/>
          <w:iCs w:val="1"/>
          <w:color w:val="auto"/>
        </w:rPr>
        <w:t>Management’s Discussion and Analysis of Financial Condition and Results of Operations – Asset/Liability and Market Risk Management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Rate Sensitivity Management </w:t>
      </w:r>
      <w:r>
        <w:rPr>
          <w:rFonts w:ascii="Times New Roman" w:cs="Times New Roman" w:eastAsia="Times New Roman" w:hAnsi="Times New Roman"/>
          <w:sz w:val="18"/>
          <w:szCs w:val="18"/>
          <w:color w:val="auto"/>
        </w:rPr>
        <w:t>included herein.</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305" w:right="299" w:bottom="1440" w:gutter="0" w:footer="0" w:header="0"/>
        </w:sectPr>
      </w:pPr>
    </w:p>
    <w:bookmarkStart w:id="44" w:name="page45"/>
    <w:bookmarkEnd w:id="44"/>
    <w:p>
      <w:pPr>
        <w:ind w:right="400" w:firstLine="464"/>
        <w:spacing w:after="0" w:line="266" w:lineRule="auto"/>
        <w:rPr>
          <w:sz w:val="20"/>
          <w:szCs w:val="20"/>
          <w:color w:val="auto"/>
        </w:rPr>
      </w:pPr>
      <w:r>
        <w:rPr>
          <w:rFonts w:ascii="Times New Roman" w:cs="Times New Roman" w:eastAsia="Times New Roman" w:hAnsi="Times New Roman"/>
          <w:sz w:val="18"/>
          <w:szCs w:val="18"/>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08"/>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128"/>
              <w:spacing w:after="0" w:line="158" w:lineRule="exact"/>
              <w:rPr>
                <w:sz w:val="20"/>
                <w:szCs w:val="20"/>
                <w:color w:val="auto"/>
              </w:rPr>
            </w:pPr>
            <w:r>
              <w:rPr>
                <w:rFonts w:ascii="Times New Roman" w:cs="Times New Roman" w:eastAsia="Times New Roman" w:hAnsi="Times New Roman"/>
                <w:sz w:val="14"/>
                <w:szCs w:val="14"/>
                <w:b w:val="1"/>
                <w:bCs w:val="1"/>
                <w:color w:val="auto"/>
              </w:rPr>
              <w:t>Yield/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68"/>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6"/>
                <w:szCs w:val="16"/>
                <w:color w:val="auto"/>
              </w:rPr>
            </w:pPr>
          </w:p>
        </w:tc>
        <w:tc>
          <w:tcPr>
            <w:tcW w:w="104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Pr>
          <w:p>
            <w:pPr>
              <w:spacing w:after="0"/>
              <w:rPr>
                <w:sz w:val="16"/>
                <w:szCs w:val="16"/>
                <w:color w:val="auto"/>
              </w:rPr>
            </w:pPr>
          </w:p>
        </w:tc>
        <w:tc>
          <w:tcPr>
            <w:tcW w:w="9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w w:val="91"/>
              </w:rPr>
              <w:t>in</w:t>
            </w:r>
          </w:p>
        </w:tc>
        <w:tc>
          <w:tcPr>
            <w:tcW w:w="1160" w:type="dxa"/>
            <w:vAlign w:val="bottom"/>
            <w:tcBorders>
              <w:top w:val="single" w:sz="8" w:color="auto"/>
            </w:tcBorders>
            <w:gridSpan w:val="2"/>
          </w:tcPr>
          <w:p>
            <w:pPr>
              <w:jc w:val="right"/>
              <w:ind w:right="568"/>
              <w:spacing w:after="0"/>
              <w:rPr>
                <w:sz w:val="20"/>
                <w:szCs w:val="20"/>
                <w:color w:val="auto"/>
              </w:rPr>
            </w:pPr>
            <w:r>
              <w:rPr>
                <w:rFonts w:ascii="Times New Roman" w:cs="Times New Roman" w:eastAsia="Times New Roman" w:hAnsi="Times New Roman"/>
                <w:sz w:val="14"/>
                <w:szCs w:val="14"/>
                <w:i w:val="1"/>
                <w:iCs w:val="1"/>
                <w:color w:val="auto"/>
                <w:w w:val="81"/>
              </w:rPr>
              <w:t>thousands)</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 securities (1)</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Taxable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2,874,642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21,280</w:t>
            </w: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2.96 %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3,190,462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19,428</w:t>
            </w: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w w:val="90"/>
              </w:rPr>
              <w:t>2.44 %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Tax-advantaged</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25,455</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3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3.13 %</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25,681</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120" w:type="dxa"/>
            <w:vAlign w:val="bottom"/>
            <w:gridSpan w:val="3"/>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w w:val="90"/>
              </w:rPr>
              <w:t>3.13 %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Taxable</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2,080,985</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10,984</w:t>
            </w:r>
          </w:p>
        </w:tc>
        <w:tc>
          <w:tcPr>
            <w:tcW w:w="13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2.11 %</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2,163,847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11,507</w:t>
            </w:r>
          </w:p>
        </w:tc>
        <w:tc>
          <w:tcPr>
            <w:tcW w:w="1120" w:type="dxa"/>
            <w:vAlign w:val="bottom"/>
            <w:gridSpan w:val="3"/>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w w:val="90"/>
              </w:rPr>
              <w:t>2.13 %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Tax-advantaged</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376,626</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3.11 %</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382,738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w w:val="90"/>
              </w:rPr>
              <w:t>3.10 %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in FHLB stock</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3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9.36 %</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28,868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120" w:type="dxa"/>
            <w:vAlign w:val="bottom"/>
            <w:gridSpan w:val="3"/>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w w:val="90"/>
              </w:rPr>
              <w:t>4.90 %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444,101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6,073</w:t>
            </w: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5.50 %</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w w:val="90"/>
              </w:rPr>
              <w:t>4.15 %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Loans (2)</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8,824,579</w:t>
            </w:r>
          </w:p>
        </w:tc>
        <w:tc>
          <w:tcPr>
            <w:tcW w:w="3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116,349</w:t>
            </w:r>
          </w:p>
        </w:tc>
        <w:tc>
          <w:tcPr>
            <w:tcW w:w="1300" w:type="dxa"/>
            <w:vAlign w:val="bottom"/>
            <w:tcBorders>
              <w:bottom w:val="single" w:sz="8" w:color="CFF0FC"/>
            </w:tcBorders>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5.30 %</w:t>
            </w: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8,963,323</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108,394</w:t>
            </w:r>
          </w:p>
        </w:tc>
        <w:tc>
          <w:tcPr>
            <w:tcW w:w="1120" w:type="dxa"/>
            <w:vAlign w:val="bottom"/>
            <w:tcBorders>
              <w:bottom w:val="single" w:sz="8" w:color="CFF0FC"/>
            </w:tcBorders>
            <w:gridSpan w:val="3"/>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w w:val="90"/>
              </w:rPr>
              <w:t>4.90 %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14,644,400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157,689</w:t>
            </w: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4.34 %</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14,802,853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142,786</w:t>
            </w: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w w:val="90"/>
              </w:rPr>
              <w:t>3.91 %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noninterest-earning assets</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1,561,013</w:t>
            </w:r>
          </w:p>
        </w:tc>
        <w:tc>
          <w:tcPr>
            <w:tcW w:w="3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1,510,283</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16,205,413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16,313,136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Savings deposits (3)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4,007,124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18,529</w:t>
            </w: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1.86 %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4,335,951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w w:val="90"/>
              </w:rPr>
              <w:t>0.49 %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Time deposits</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447,011</w:t>
            </w:r>
          </w:p>
        </w:tc>
        <w:tc>
          <w:tcPr>
            <w:tcW w:w="3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2,837</w:t>
            </w:r>
          </w:p>
        </w:tc>
        <w:tc>
          <w:tcPr>
            <w:tcW w:w="1300" w:type="dxa"/>
            <w:vAlign w:val="bottom"/>
            <w:tcBorders>
              <w:bottom w:val="single" w:sz="8" w:color="CFF0FC"/>
            </w:tcBorders>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2.55 %</w:t>
            </w: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285,296</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120" w:type="dxa"/>
            <w:vAlign w:val="bottom"/>
            <w:tcBorders>
              <w:bottom w:val="single" w:sz="8" w:color="CFF0FC"/>
            </w:tcBorders>
            <w:gridSpan w:val="3"/>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w w:val="90"/>
              </w:rPr>
              <w:t>0.17 %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4,454,135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21,366</w:t>
            </w: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1.93 %</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4,621,247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w w:val="90"/>
              </w:rPr>
              <w:t>0.47 %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4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FHLB advances, other borrowings, and customer</w:t>
            </w:r>
          </w:p>
        </w:tc>
        <w:tc>
          <w:tcPr>
            <w:tcW w:w="18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2,301,250</w:t>
            </w: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23,862</w:t>
            </w:r>
          </w:p>
        </w:tc>
        <w:tc>
          <w:tcPr>
            <w:tcW w:w="130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4.17 %</w:t>
            </w:r>
          </w:p>
        </w:tc>
        <w:tc>
          <w:tcPr>
            <w:tcW w:w="2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1,522,455</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11,693</w:t>
            </w:r>
          </w:p>
        </w:tc>
        <w:tc>
          <w:tcPr>
            <w:tcW w:w="1120" w:type="dxa"/>
            <w:vAlign w:val="bottom"/>
            <w:gridSpan w:val="3"/>
            <w:vMerge w:val="restart"/>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85"/>
              </w:rPr>
              <w:t>3.11 %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repurchase agreements</w:t>
            </w: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300" w:type="dxa"/>
            <w:vAlign w:val="bottom"/>
            <w:tcBorders>
              <w:bottom w:val="single" w:sz="8" w:color="CFF0FC"/>
            </w:tcBorders>
            <w:gridSpan w:val="3"/>
            <w:vMerge w:val="continue"/>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120" w:type="dxa"/>
            <w:vAlign w:val="bottom"/>
            <w:tcBorders>
              <w:bottom w:val="single" w:sz="8" w:color="CFF0FC"/>
            </w:tcBorders>
            <w:gridSpan w:val="3"/>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6,755,385</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45,228</w:t>
            </w: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2.69 %</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6,143,702</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17,058</w:t>
            </w:r>
          </w:p>
        </w:tc>
        <w:tc>
          <w:tcPr>
            <w:tcW w:w="1140" w:type="dxa"/>
            <w:vAlign w:val="bottom"/>
            <w:gridSpan w:val="4"/>
          </w:tcPr>
          <w:p>
            <w:pPr>
              <w:ind w:left="740"/>
              <w:spacing w:after="0"/>
              <w:rPr>
                <w:sz w:val="20"/>
                <w:szCs w:val="20"/>
                <w:color w:val="auto"/>
              </w:rPr>
            </w:pPr>
            <w:r>
              <w:rPr>
                <w:rFonts w:ascii="Times New Roman" w:cs="Times New Roman" w:eastAsia="Times New Roman" w:hAnsi="Times New Roman"/>
                <w:sz w:val="14"/>
                <w:szCs w:val="14"/>
                <w:color w:val="auto"/>
                <w:w w:val="95"/>
              </w:rPr>
              <w:t>1.13 %</w:t>
            </w:r>
          </w:p>
        </w:tc>
        <w:tc>
          <w:tcPr>
            <w:tcW w:w="0" w:type="dxa"/>
            <w:vAlign w:val="bottom"/>
          </w:tcPr>
          <w:p>
            <w:pPr>
              <w:spacing w:after="0"/>
              <w:rPr>
                <w:sz w:val="1"/>
                <w:szCs w:val="1"/>
                <w:color w:val="auto"/>
              </w:rPr>
            </w:pPr>
          </w:p>
        </w:tc>
      </w:tr>
      <w:tr>
        <w:trPr>
          <w:trHeight w:val="169"/>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7,182,718</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8,092,704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168,442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98,486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2,098,868</w:t>
            </w:r>
          </w:p>
        </w:tc>
        <w:tc>
          <w:tcPr>
            <w:tcW w:w="3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1,978,244</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2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16,205,413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16,313,136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2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112,461</w:t>
            </w:r>
          </w:p>
        </w:tc>
        <w:tc>
          <w:tcPr>
            <w:tcW w:w="2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125,728</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4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interest spread - tax equivalent</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1.65 %</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gridSpan w:val="4"/>
          </w:tcPr>
          <w:p>
            <w:pPr>
              <w:ind w:left="740"/>
              <w:spacing w:after="0"/>
              <w:rPr>
                <w:sz w:val="20"/>
                <w:szCs w:val="20"/>
                <w:color w:val="auto"/>
              </w:rPr>
            </w:pPr>
            <w:r>
              <w:rPr>
                <w:rFonts w:ascii="Times New Roman" w:cs="Times New Roman" w:eastAsia="Times New Roman" w:hAnsi="Times New Roman"/>
                <w:sz w:val="14"/>
                <w:szCs w:val="14"/>
                <w:color w:val="auto"/>
                <w:w w:val="95"/>
              </w:rPr>
              <w:t>2.78 %</w:t>
            </w:r>
          </w:p>
        </w:tc>
        <w:tc>
          <w:tcPr>
            <w:tcW w:w="0" w:type="dxa"/>
            <w:vAlign w:val="bottom"/>
          </w:tcPr>
          <w:p>
            <w:pPr>
              <w:spacing w:after="0"/>
              <w:rPr>
                <w:sz w:val="1"/>
                <w:szCs w:val="1"/>
                <w:color w:val="auto"/>
              </w:rPr>
            </w:pPr>
          </w:p>
        </w:tc>
      </w:tr>
      <w:tr>
        <w:trPr>
          <w:trHeight w:val="175"/>
        </w:trPr>
        <w:tc>
          <w:tcPr>
            <w:tcW w:w="4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interest margin</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3.08 %</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w w:val="90"/>
              </w:rPr>
              <w:t>3.43 %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interest margin - tax equivalent</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3.10 %</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w w:val="90"/>
              </w:rPr>
              <w:t>3.45 %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-2450465</wp:posOffset>
            </wp:positionV>
            <wp:extent cx="7683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-2450465</wp:posOffset>
            </wp:positionV>
            <wp:extent cx="7683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-2450465</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-2450465</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-2219325</wp:posOffset>
            </wp:positionV>
            <wp:extent cx="768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-2219325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-1627505</wp:posOffset>
            </wp:positionV>
            <wp:extent cx="768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-1627505</wp:posOffset>
            </wp:positionV>
            <wp:extent cx="768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-1627505</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-1627505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-1310640</wp:posOffset>
            </wp:positionV>
            <wp:extent cx="768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-1310640</wp:posOffset>
            </wp:positionV>
            <wp:extent cx="768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-1310640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-1310640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-847725</wp:posOffset>
            </wp:positionV>
            <wp:extent cx="7683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-847725</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-478790</wp:posOffset>
            </wp:positionV>
            <wp:extent cx="7683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-461645</wp:posOffset>
            </wp:positionV>
            <wp:extent cx="7683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-478790</wp:posOffset>
            </wp:positionV>
            <wp:extent cx="685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-461645</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 w:lineRule="exact"/>
        <w:rPr>
          <w:sz w:val="20"/>
          <w:szCs w:val="20"/>
          <w:color w:val="auto"/>
        </w:rPr>
      </w:pPr>
    </w:p>
    <w:p>
      <w:pPr>
        <w:ind w:left="1040" w:right="100" w:hanging="470"/>
        <w:spacing w:after="0" w:line="233" w:lineRule="auto"/>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tax equivalent (TE) adjustments utilizing federal statutory rates of 21% in effect for the three months ended March 31, 2024 and March 31, 2023. The non TE rates for total investment securities were 2.60% and 2.33% for the three months ended March 31, 2024 and March 31, 2023, respectively.</w:t>
      </w:r>
    </w:p>
    <w:p>
      <w:pPr>
        <w:ind w:left="1040" w:right="120" w:hanging="462"/>
        <w:spacing w:after="0" w:line="221" w:lineRule="auto"/>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loan fees of $706,000 and $781,000 for the three months ended March 31, 2024 and March 31, 2023, respectively. Prepayment penalty fees of $630,000 and $583,000 are included in interest income for the three months ended March 31, 2024 and March 31, 2023, respectively.</w:t>
      </w:r>
    </w:p>
    <w:p>
      <w:pPr>
        <w:ind w:left="1040" w:hanging="470"/>
        <w:spacing w:after="0"/>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interest-bearing demand and money market accounts.</w:t>
      </w:r>
    </w:p>
    <w:p>
      <w:pPr>
        <w:spacing w:after="0" w:line="219" w:lineRule="exact"/>
        <w:rPr>
          <w:sz w:val="20"/>
          <w:szCs w:val="20"/>
          <w:color w:val="auto"/>
        </w:rPr>
      </w:pPr>
    </w:p>
    <w:p>
      <w:pPr>
        <w:ind w:right="220" w:firstLine="562"/>
        <w:spacing w:after="0" w:line="258" w:lineRule="auto"/>
        <w:rPr>
          <w:sz w:val="20"/>
          <w:szCs w:val="20"/>
          <w:color w:val="auto"/>
        </w:rPr>
      </w:pPr>
      <w:r>
        <w:rPr>
          <w:rFonts w:ascii="Times New Roman" w:cs="Times New Roman" w:eastAsia="Times New Roman" w:hAnsi="Times New Roman"/>
          <w:sz w:val="18"/>
          <w:szCs w:val="18"/>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93"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Rate and Volume Analysis for Changes in Interest Income, Interest Expense and Net Interest Income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7"/>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Comparison of Three Months Ended March 31,</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00" w:type="dxa"/>
            <w:vAlign w:val="bottom"/>
            <w:gridSpan w:val="5"/>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2024 Compared to 2023</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5"/>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Increase (Decrease) Due to</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Rate</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00" w:type="dxa"/>
            <w:vAlign w:val="bottom"/>
            <w:gridSpan w:val="5"/>
          </w:tcPr>
          <w:p>
            <w:pPr>
              <w:jc w:val="center"/>
              <w:ind w:right="6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(1,913 )</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(427 )</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3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(1 )</w:t>
            </w:r>
          </w:p>
        </w:tc>
        <w:tc>
          <w:tcPr>
            <w:tcW w:w="2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3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(438 )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(85 )</w:t>
            </w:r>
          </w:p>
        </w:tc>
        <w:tc>
          <w:tcPr>
            <w:tcW w:w="2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(523 )</w:t>
            </w: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(38 )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(1 )</w:t>
            </w: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in FHLB stock</w:t>
            </w:r>
          </w:p>
        </w:tc>
        <w:tc>
          <w:tcPr>
            <w:tcW w:w="3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(132 )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(118 )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Interest-earning deposits with other institutions</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Loans</w:t>
            </w:r>
          </w:p>
        </w:tc>
        <w:tc>
          <w:tcPr>
            <w:tcW w:w="3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(1,691 )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interest income</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(121 )</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13,492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49"/>
        </w:trPr>
        <w:tc>
          <w:tcPr>
            <w:tcW w:w="4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Savings deposits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(401 )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14,759</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(1,076 )</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Time deposits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FHLB advances, other borrowings, and</w:t>
            </w:r>
          </w:p>
        </w:tc>
        <w:tc>
          <w:tcPr>
            <w:tcW w:w="30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480" w:type="dxa"/>
            <w:vAlign w:val="bottom"/>
            <w:vMerge w:val="restart"/>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customer repurchase agreements</w:t>
            </w:r>
          </w:p>
        </w:tc>
        <w:tc>
          <w:tcPr>
            <w:tcW w:w="300" w:type="dxa"/>
            <w:vAlign w:val="bottom"/>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120" w:type="dxa"/>
            <w:vAlign w:val="bottom"/>
            <w:vMerge w:val="continue"/>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16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14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480" w:type="dxa"/>
            <w:vAlign w:val="bottom"/>
            <w:tcBorders>
              <w:bottom w:val="single" w:sz="8" w:color="CFF0FC"/>
            </w:tcBorders>
            <w:vMerge w:val="continue"/>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1180" w:type="dxa"/>
            <w:vAlign w:val="bottom"/>
            <w:tcBorders>
              <w:bottom w:val="single" w:sz="8" w:color="auto"/>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spacing w:after="0"/>
              <w:rPr>
                <w:sz w:val="9"/>
                <w:szCs w:val="9"/>
                <w:color w:val="auto"/>
              </w:rPr>
            </w:pPr>
          </w:p>
        </w:tc>
        <w:tc>
          <w:tcPr>
            <w:tcW w:w="1120" w:type="dxa"/>
            <w:vAlign w:val="bottom"/>
            <w:tcBorders>
              <w:bottom w:val="single" w:sz="8" w:color="auto"/>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1160" w:type="dxa"/>
            <w:vAlign w:val="bottom"/>
            <w:tcBorders>
              <w:bottom w:val="single" w:sz="8" w:color="auto"/>
            </w:tcBorders>
            <w:shd w:val="clear" w:color="auto" w:fill="CFF0FC"/>
          </w:tcPr>
          <w:p>
            <w:pPr>
              <w:spacing w:after="0"/>
              <w:rPr>
                <w:sz w:val="9"/>
                <w:szCs w:val="9"/>
                <w:color w:val="auto"/>
              </w:rPr>
            </w:pPr>
          </w:p>
        </w:tc>
        <w:tc>
          <w:tcPr>
            <w:tcW w:w="26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spacing w:after="0"/>
              <w:rPr>
                <w:sz w:val="9"/>
                <w:szCs w:val="9"/>
                <w:color w:val="auto"/>
              </w:rPr>
            </w:pPr>
          </w:p>
        </w:tc>
        <w:tc>
          <w:tcPr>
            <w:tcW w:w="114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4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interest income</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(5,818 )</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(6,955 )</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(494 )</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(13,267 )</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-1191260</wp:posOffset>
            </wp:positionV>
            <wp:extent cx="774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-1191260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-1191260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-334010</wp:posOffset>
            </wp:positionV>
            <wp:extent cx="7747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-334010</wp:posOffset>
            </wp:positionV>
            <wp:extent cx="685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-334010</wp:posOffset>
            </wp:positionV>
            <wp:extent cx="6858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7747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-8255</wp:posOffset>
            </wp:positionV>
            <wp:extent cx="7747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First Quarter of 2024 Compared to the First Quarter of 2023</w:t>
      </w:r>
    </w:p>
    <w:p>
      <w:pPr>
        <w:spacing w:after="0" w:line="200"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8"/>
          <w:szCs w:val="18"/>
          <w:color w:val="auto"/>
        </w:rPr>
        <w:t>Net interest income, before provision for credit losses, of $112.5 million for the first quarter of 2024 decreased by $13.3 million, or 10.55%, from the first quarter of 2023. The decline in net interest income compared to the first quarter of 2023 was due to a $158.5 million decline in average earning assets and a 35 basis point decrease in net interest margin. The decline in net interest margin was the result of an 82 basis point increase in funding costs, which was partially offset by a 43 basis point increase in the earning asset yield. The increase in funding costs includes interest expense from borrowings, which increased by approximately $12 million compared to the first quarter of 2023, as average borrowings grew by $1.02 billion.</w:t>
      </w:r>
    </w:p>
    <w:p>
      <w:pPr>
        <w:spacing w:after="0" w:line="183" w:lineRule="exact"/>
        <w:rPr>
          <w:sz w:val="20"/>
          <w:szCs w:val="20"/>
          <w:color w:val="auto"/>
        </w:rPr>
      </w:pPr>
    </w:p>
    <w:p>
      <w:pPr>
        <w:ind w:right="200" w:firstLine="469"/>
        <w:spacing w:after="0" w:line="258" w:lineRule="auto"/>
        <w:rPr>
          <w:sz w:val="20"/>
          <w:szCs w:val="20"/>
          <w:color w:val="auto"/>
        </w:rPr>
      </w:pPr>
      <w:r>
        <w:rPr>
          <w:rFonts w:ascii="Times New Roman" w:cs="Times New Roman" w:eastAsia="Times New Roman" w:hAnsi="Times New Roman"/>
          <w:sz w:val="18"/>
          <w:szCs w:val="18"/>
          <w:color w:val="auto"/>
        </w:rPr>
        <w:t>Total interest income of $157.7 million grew by $14.9 million, or 10.44%, when compared to the first quarter of 2023. This increase was primarily due to a 43 basis point expansion of the yield on earning assets, which offset a $158.5 million decline in average interest-earning assets. Average loan balances declined by $138.7 million. Loan yields grew from 4.90% for the first quarter of 2023 to 5.30% for the first quarter of 2024. Likewise, the yield on investment securities increased by 27 basis points from the prior year. Compared to the first quarter of 2023, the average balance of investment securities decreased by $405.0 million, while the average amount of funds held at the Federal Reserve increased by $396.5 million.</w:t>
      </w:r>
    </w:p>
    <w:p>
      <w:pPr>
        <w:spacing w:after="0" w:line="183"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Total interest income and fees on loans for the first quarter of 2024 was $116.3 million, an increase of $8.0 million, or 7.34%, from the first quarter of 2023. This increase in income was primarily due to higher loan yields, which grew from 4.90% in the first quarter of 2023 to 5.30% in the first quarter of 2024. Loan yields grew year-over-year, as rising interest rates contributed to an increase in yields on loans indexed to the Prime rate or other short-term indexes, as well as higher rates from newly originated loans.</w:t>
      </w:r>
    </w:p>
    <w:p>
      <w:pPr>
        <w:spacing w:after="0" w:line="180"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8"/>
          <w:szCs w:val="18"/>
          <w:color w:val="auto"/>
        </w:rPr>
        <w:t>Interest income from investment securities was $34.8 million, an increase of $1.3 million, or 3.86%, from the first quarter of 2023. The increase was driven by a 27 basis point increase in the yield on securities, compared to 2023. The increase in yield includes the positive carry on the fair value hedges during the first quarter of 2024, which resulted in $3.7 million of interest income associated with these interest rate swaps. Excluding the impact of these swaps, interest income on investment securities would have declined by $2.4 million, as average investment securities declined by $405.0 million when compared with the first quarter of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ind w:firstLine="469"/>
        <w:spacing w:after="0" w:line="258" w:lineRule="auto"/>
        <w:rPr>
          <w:sz w:val="20"/>
          <w:szCs w:val="20"/>
          <w:color w:val="auto"/>
        </w:rPr>
      </w:pPr>
      <w:r>
        <w:rPr>
          <w:rFonts w:ascii="Times New Roman" w:cs="Times New Roman" w:eastAsia="Times New Roman" w:hAnsi="Times New Roman"/>
          <w:sz w:val="18"/>
          <w:szCs w:val="18"/>
          <w:color w:val="auto"/>
        </w:rPr>
        <w:t>Interest expense of $45.2 million for the first quarter of 2024, increased $28.2 million, compared to the first quarter of 2023. Total cost of funds of 1.31% for the first quarter of 2024 increased from 0.49% for the year ago quarter. This 82 basis point increase in cost of funds was the result of a 146 basis point increase in the cost of interest-bearing deposits and an average cost of 4.76% on $1.99 billion of average borrowings for the first quarter of 2024, compared with 4.81% on $971.7 million of borrowings for the first quarter of 2023. Average noninterest-bearing deposits were 61.72% of total deposits for the first quarter of 2024, compared to 63.65% for the first quarter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229" w:lineRule="exact"/>
        <w:rPr>
          <w:sz w:val="20"/>
          <w:szCs w:val="20"/>
          <w:color w:val="auto"/>
        </w:rPr>
      </w:pPr>
    </w:p>
    <w:p>
      <w:pPr>
        <w:ind w:right="940" w:firstLine="469"/>
        <w:spacing w:after="0" w:line="282" w:lineRule="auto"/>
        <w:rPr>
          <w:sz w:val="20"/>
          <w:szCs w:val="20"/>
          <w:color w:val="auto"/>
        </w:rPr>
      </w:pPr>
      <w:r>
        <w:rPr>
          <w:rFonts w:ascii="Times New Roman" w:cs="Times New Roman" w:eastAsia="Times New Roman" w:hAnsi="Times New Roman"/>
          <w:sz w:val="18"/>
          <w:szCs w:val="18"/>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62" w:lineRule="exact"/>
        <w:rPr>
          <w:sz w:val="20"/>
          <w:szCs w:val="20"/>
          <w:color w:val="auto"/>
        </w:rPr>
      </w:pPr>
    </w:p>
    <w:p>
      <w:pPr>
        <w:ind w:right="60" w:firstLine="469"/>
        <w:spacing w:after="0" w:line="255" w:lineRule="auto"/>
        <w:rPr>
          <w:sz w:val="20"/>
          <w:szCs w:val="20"/>
          <w:color w:val="auto"/>
        </w:rPr>
      </w:pPr>
      <w:r>
        <w:rPr>
          <w:rFonts w:ascii="Times New Roman" w:cs="Times New Roman" w:eastAsia="Times New Roman" w:hAnsi="Times New Roman"/>
          <w:sz w:val="18"/>
          <w:szCs w:val="18"/>
          <w:color w:val="auto"/>
        </w:rPr>
        <w:t xml:space="preserve">There was no provision for credit losses in the first quarter of 2024, compared to $1.5 million in provision in the first quarter of 2023. Projected loss rates were 0.94% at March 31, 2024, compared to 0.97% at March 31, 2023. Excluding specific reserves associated with nonperforming or substandard loans, the projected loss rate on performing loans increased from 0.91% at the end of 2023 to 0.94% on March 31, 2024. The modest increase in these projected loss rates continues to be driven primarily by economic forecast changes to various macroeconomic variables such as Real GDP growth, commercial real estate values and the rate of unemployment. Refer to the discussion of “Allowance for Credit Losses” in Item 2 –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contained herein for discussion concerning observed changes in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of various components of our loan portfolio as well as changes and refinements to our methodology.</w:t>
      </w:r>
    </w:p>
    <w:p>
      <w:pPr>
        <w:spacing w:after="0" w:line="189"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8"/>
          <w:szCs w:val="18"/>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from the recent rise in interest rates, geopolitical events in Europe, and global inflation will have on future interest rates, unemployment, the overall economy and resulting impact on our customers. See “Allowance for Credit Losses” under </w:t>
      </w:r>
      <w:r>
        <w:rPr>
          <w:rFonts w:ascii="Times New Roman" w:cs="Times New Roman" w:eastAsia="Times New Roman" w:hAnsi="Times New Roman"/>
          <w:sz w:val="18"/>
          <w:szCs w:val="18"/>
          <w:i w:val="1"/>
          <w:iCs w:val="1"/>
          <w:color w:val="auto"/>
        </w:rPr>
        <w:t>Analysis of Financial Condition</w:t>
      </w:r>
      <w:r>
        <w:rPr>
          <w:rFonts w:ascii="Times New Roman" w:cs="Times New Roman" w:eastAsia="Times New Roman" w:hAnsi="Times New Roman"/>
          <w:sz w:val="18"/>
          <w:szCs w:val="18"/>
          <w:color w:val="auto"/>
        </w:rPr>
        <w:t xml:space="preserve"> herein.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ind w:right="220" w:firstLine="469"/>
        <w:spacing w:after="0" w:line="261" w:lineRule="auto"/>
        <w:rPr>
          <w:sz w:val="20"/>
          <w:szCs w:val="20"/>
          <w:color w:val="auto"/>
        </w:rPr>
      </w:pPr>
      <w:r>
        <w:rPr>
          <w:rFonts w:ascii="Times New Roman" w:cs="Times New Roman" w:eastAsia="Times New Roman" w:hAnsi="Times New Roman"/>
          <w:sz w:val="18"/>
          <w:szCs w:val="18"/>
          <w:color w:val="auto"/>
        </w:rPr>
        <w:t>Noninterest income includes income derived from financial services offered to our customers, such as CitizensTrust, merchant processing and 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noninterest income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7"/>
        </w:trPr>
        <w:tc>
          <w:tcPr>
            <w:tcW w:w="5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w:t>
            </w:r>
          </w:p>
        </w:tc>
        <w:tc>
          <w:tcPr>
            <w:tcW w:w="10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7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5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5,036</w:t>
            </w:r>
          </w:p>
        </w:tc>
        <w:tc>
          <w:tcPr>
            <w:tcW w:w="104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5,344</w:t>
            </w:r>
          </w:p>
        </w:tc>
        <w:tc>
          <w:tcPr>
            <w:tcW w:w="104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(308 )</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-5.76 %</w:t>
            </w:r>
          </w:p>
        </w:tc>
        <w:tc>
          <w:tcPr>
            <w:tcW w:w="20" w:type="dxa"/>
            <w:vAlign w:val="bottom"/>
          </w:tcPr>
          <w:p>
            <w:pPr>
              <w:spacing w:after="0"/>
              <w:rPr>
                <w:sz w:val="15"/>
                <w:szCs w:val="15"/>
                <w:color w:val="auto"/>
              </w:rPr>
            </w:pPr>
          </w:p>
        </w:tc>
      </w:tr>
      <w:tr>
        <w:trPr>
          <w:trHeight w:val="175"/>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Trust and investment services</w:t>
            </w:r>
          </w:p>
        </w:tc>
        <w:tc>
          <w:tcPr>
            <w:tcW w:w="7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3,224</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2,914</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310</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10.64 %</w:t>
            </w:r>
          </w:p>
        </w:tc>
        <w:tc>
          <w:tcPr>
            <w:tcW w:w="20" w:type="dxa"/>
            <w:vAlign w:val="bottom"/>
          </w:tcPr>
          <w:p>
            <w:pPr>
              <w:spacing w:after="0"/>
              <w:rPr>
                <w:sz w:val="15"/>
                <w:szCs w:val="15"/>
                <w:color w:val="auto"/>
              </w:rPr>
            </w:pPr>
          </w:p>
        </w:tc>
      </w:tr>
      <w:tr>
        <w:trPr>
          <w:trHeight w:val="176"/>
        </w:trPr>
        <w:tc>
          <w:tcPr>
            <w:tcW w:w="5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Bankcard services</w:t>
            </w:r>
          </w:p>
        </w:tc>
        <w:tc>
          <w:tcPr>
            <w:tcW w:w="760" w:type="dxa"/>
            <w:vAlign w:val="bottom"/>
          </w:tcPr>
          <w:p>
            <w:pPr>
              <w:spacing w:after="0"/>
              <w:rPr>
                <w:sz w:val="15"/>
                <w:szCs w:val="15"/>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385</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377</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2.12 %</w:t>
            </w:r>
          </w:p>
        </w:tc>
        <w:tc>
          <w:tcPr>
            <w:tcW w:w="20" w:type="dxa"/>
            <w:vAlign w:val="bottom"/>
          </w:tcPr>
          <w:p>
            <w:pPr>
              <w:spacing w:after="0"/>
              <w:rPr>
                <w:sz w:val="15"/>
                <w:szCs w:val="15"/>
                <w:color w:val="auto"/>
              </w:rPr>
            </w:pPr>
          </w:p>
        </w:tc>
      </w:tr>
      <w:tr>
        <w:trPr>
          <w:trHeight w:val="176"/>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BOLI income</w:t>
            </w:r>
          </w:p>
        </w:tc>
        <w:tc>
          <w:tcPr>
            <w:tcW w:w="7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3,593</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1,189</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2,404</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202.19 %</w:t>
            </w:r>
          </w:p>
        </w:tc>
        <w:tc>
          <w:tcPr>
            <w:tcW w:w="20" w:type="dxa"/>
            <w:vAlign w:val="bottom"/>
          </w:tcPr>
          <w:p>
            <w:pPr>
              <w:spacing w:after="0"/>
              <w:rPr>
                <w:sz w:val="15"/>
                <w:szCs w:val="15"/>
                <w:color w:val="auto"/>
              </w:rPr>
            </w:pPr>
          </w:p>
        </w:tc>
      </w:tr>
      <w:tr>
        <w:trPr>
          <w:trHeight w:val="175"/>
        </w:trPr>
        <w:tc>
          <w:tcPr>
            <w:tcW w:w="5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1,875</w:t>
            </w:r>
          </w:p>
        </w:tc>
        <w:tc>
          <w:tcPr>
            <w:tcW w:w="2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3,378</w:t>
            </w:r>
          </w:p>
        </w:tc>
        <w:tc>
          <w:tcPr>
            <w:tcW w:w="2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(1,503 )</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-44.49 %</w:t>
            </w:r>
          </w:p>
        </w:tc>
        <w:tc>
          <w:tcPr>
            <w:tcW w:w="20" w:type="dxa"/>
            <w:vAlign w:val="bottom"/>
          </w:tcPr>
          <w:p>
            <w:pPr>
              <w:spacing w:after="0"/>
              <w:rPr>
                <w:sz w:val="15"/>
                <w:szCs w:val="15"/>
                <w:color w:val="auto"/>
              </w:rPr>
            </w:pPr>
          </w:p>
        </w:tc>
      </w:tr>
      <w:tr>
        <w:trPr>
          <w:trHeight w:val="209"/>
        </w:trPr>
        <w:tc>
          <w:tcPr>
            <w:tcW w:w="5160" w:type="dxa"/>
            <w:vAlign w:val="bottom"/>
            <w:tcBorders>
              <w:bottom w:val="single" w:sz="8" w:color="CFF0FC"/>
            </w:tcBorders>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noninterest income</w:t>
            </w:r>
          </w:p>
        </w:tc>
        <w:tc>
          <w:tcPr>
            <w:tcW w:w="760" w:type="dxa"/>
            <w:vAlign w:val="bottom"/>
            <w:tcBorders>
              <w:bottom w:val="single" w:sz="8" w:color="auto"/>
            </w:tcBorders>
            <w:shd w:val="clear" w:color="auto" w:fill="CFF0FC"/>
          </w:tcPr>
          <w:p>
            <w:pPr>
              <w:jc w:val="right"/>
              <w:ind w:right="6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14,113</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6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13,202</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6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911</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6.90 %</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-25400</wp:posOffset>
            </wp:positionV>
            <wp:extent cx="15430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15430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14541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14541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12001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12001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First Quarter of 2024 Compared to the First Quarter of 2023</w:t>
      </w:r>
    </w:p>
    <w:p>
      <w:pPr>
        <w:spacing w:after="0" w:line="187"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8"/>
          <w:szCs w:val="18"/>
          <w:color w:val="auto"/>
        </w:rPr>
        <w:t>The $911,000 increase in noninterest income included a $2.4 million increase in BOLI income primarily due to the restructuring and enhancements in our BOLI policies completed in the fourth quarter of 2023. CRA investment income declined by approximately $800,000, due to both changes in the net asset value of certain equity investments, and a recapture of an impairment charge in the first quarter of 2023 of $500,000 as a result of the payoff of a CRA investment that was previously identified as impaired. The first quarter of 2023 also included approximately $550,000 in interest rate swap related fees resulting from the conversion to SOFR of all of our previously originated interest rate swaps indexed to LIBOR.</w:t>
      </w:r>
    </w:p>
    <w:p>
      <w:pPr>
        <w:spacing w:after="0" w:line="183" w:lineRule="exact"/>
        <w:rPr>
          <w:sz w:val="20"/>
          <w:szCs w:val="20"/>
          <w:color w:val="auto"/>
        </w:rPr>
      </w:pPr>
    </w:p>
    <w:p>
      <w:pPr>
        <w:ind w:right="120" w:firstLine="469"/>
        <w:spacing w:after="0" w:line="254" w:lineRule="auto"/>
        <w:rPr>
          <w:sz w:val="20"/>
          <w:szCs w:val="20"/>
          <w:color w:val="auto"/>
        </w:rPr>
      </w:pPr>
      <w:r>
        <w:rPr>
          <w:rFonts w:ascii="Times New Roman" w:cs="Times New Roman" w:eastAsia="Times New Roman" w:hAnsi="Times New Roman"/>
          <w:sz w:val="18"/>
          <w:szCs w:val="18"/>
          <w:color w:val="auto"/>
        </w:rPr>
        <w:t>Trust and Investment Services represents our CitizensTrust group. The CitizensTrust group is made up of wealth management and investment services. They provide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March 31, 2024, CitizensTrust had approximately $4.3 billion in assets under management and administration, including $3.09 billion in assets under management. CitizensTrust generated fees of $3.2 million for the first quarter of 2024, compared to $2.9 million for the first quarter of 2023. We have experienced growth in managed assets from the transition of customer deposits that are now being managed by CitizensTrust in various liquidity strategies. The increase in fees in 2024 included both the impact on market values of changes in equity and fixed income markets but also increased flows of funds from customers, including liquidity management of funds formerly on deposit with the Bank.</w:t>
      </w:r>
    </w:p>
    <w:p>
      <w:pPr>
        <w:spacing w:after="0" w:line="192" w:lineRule="exact"/>
        <w:rPr>
          <w:sz w:val="20"/>
          <w:szCs w:val="20"/>
          <w:color w:val="auto"/>
        </w:rPr>
      </w:pPr>
    </w:p>
    <w:p>
      <w:pPr>
        <w:ind w:right="40" w:firstLine="469"/>
        <w:spacing w:after="0" w:line="256" w:lineRule="auto"/>
        <w:rPr>
          <w:sz w:val="20"/>
          <w:szCs w:val="20"/>
          <w:color w:val="auto"/>
        </w:rPr>
      </w:pPr>
      <w:r>
        <w:rPr>
          <w:rFonts w:ascii="Times New Roman" w:cs="Times New Roman" w:eastAsia="Times New Roman" w:hAnsi="Times New Roman"/>
          <w:sz w:val="18"/>
          <w:szCs w:val="18"/>
          <w:color w:val="auto"/>
        </w:rPr>
        <w:t>The Bank’s investment in BOLI includes life insurance policies generally acquired through acquisitions or the purchase of life insurance by the Bank on a select group of employees to fund deferred compensation plans.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The increase in BOLI income was primarily due to the restructuring and enhancements in our BOLI policies in the fourth quarter of 2023. The first quarter of 2024 also included $531,000 in death benefits that exceeded the asset value on certain policies, compared with no death benefits for the first quarter of 2023.</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89"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various components of noninterest expense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8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36,401</w:t>
            </w:r>
          </w:p>
        </w:tc>
        <w:tc>
          <w:tcPr>
            <w:tcW w:w="240" w:type="dxa"/>
            <w:vAlign w:val="bottom"/>
          </w:tcPr>
          <w:p>
            <w:pPr>
              <w:spacing w:after="0"/>
              <w:rPr>
                <w:sz w:val="15"/>
                <w:szCs w:val="15"/>
                <w:color w:val="auto"/>
              </w:rPr>
            </w:pP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35,247</w:t>
            </w:r>
          </w:p>
        </w:tc>
        <w:tc>
          <w:tcPr>
            <w:tcW w:w="220" w:type="dxa"/>
            <w:vAlign w:val="bottom"/>
          </w:tcPr>
          <w:p>
            <w:pPr>
              <w:spacing w:after="0"/>
              <w:rPr>
                <w:sz w:val="15"/>
                <w:szCs w:val="15"/>
                <w:color w:val="auto"/>
              </w:rPr>
            </w:pP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1,154</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Occupancy</w:t>
            </w:r>
          </w:p>
        </w:tc>
        <w:tc>
          <w:tcPr>
            <w:tcW w:w="8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4,570</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4,594</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-0.52 %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Equipment</w:t>
            </w:r>
          </w:p>
        </w:tc>
        <w:tc>
          <w:tcPr>
            <w:tcW w:w="84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995</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856</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Professional services</w:t>
            </w:r>
          </w:p>
        </w:tc>
        <w:tc>
          <w:tcPr>
            <w:tcW w:w="8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2,255</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1,696</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559</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32.96 %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Computer software expense</w:t>
            </w:r>
          </w:p>
        </w:tc>
        <w:tc>
          <w:tcPr>
            <w:tcW w:w="84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3,525</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3,408</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Marketing and promotion</w:t>
            </w:r>
          </w:p>
        </w:tc>
        <w:tc>
          <w:tcPr>
            <w:tcW w:w="8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1,630</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1,715</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84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1,438</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Telecommunications expense</w:t>
            </w:r>
          </w:p>
        </w:tc>
        <w:tc>
          <w:tcPr>
            <w:tcW w:w="8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493</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503</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Regulatory assessments</w:t>
            </w:r>
          </w:p>
        </w:tc>
        <w:tc>
          <w:tcPr>
            <w:tcW w:w="84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4,445</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2,072</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2,373</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Insurance</w:t>
            </w:r>
          </w:p>
        </w:tc>
        <w:tc>
          <w:tcPr>
            <w:tcW w:w="8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507</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505</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Loan expense</w:t>
            </w:r>
          </w:p>
        </w:tc>
        <w:tc>
          <w:tcPr>
            <w:tcW w:w="84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286</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299</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OREO expense</w:t>
            </w:r>
          </w:p>
        </w:tc>
        <w:tc>
          <w:tcPr>
            <w:tcW w:w="8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unfunded loan commitments</w:t>
            </w:r>
          </w:p>
        </w:tc>
        <w:tc>
          <w:tcPr>
            <w:tcW w:w="84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176"/>
        </w:trPr>
        <w:tc>
          <w:tcPr>
            <w:tcW w:w="4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Directors' expenses</w:t>
            </w:r>
          </w:p>
        </w:tc>
        <w:tc>
          <w:tcPr>
            <w:tcW w:w="8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328</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289</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13.49 %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Stationery and supplies</w:t>
            </w:r>
          </w:p>
        </w:tc>
        <w:tc>
          <w:tcPr>
            <w:tcW w:w="84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229</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286</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2,639</w:t>
            </w:r>
          </w:p>
        </w:tc>
        <w:tc>
          <w:tcPr>
            <w:tcW w:w="2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1,191</w:t>
            </w:r>
          </w:p>
        </w:tc>
        <w:tc>
          <w:tcPr>
            <w:tcW w:w="2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1,448</w:t>
            </w:r>
          </w:p>
        </w:tc>
        <w:tc>
          <w:tcPr>
            <w:tcW w:w="1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121.58 %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6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noninterest expense</w:t>
            </w:r>
          </w:p>
        </w:tc>
        <w:tc>
          <w:tcPr>
            <w:tcW w:w="840" w:type="dxa"/>
            <w:vAlign w:val="bottom"/>
            <w:tcBorders>
              <w:bottom w:val="single" w:sz="8" w:color="auto"/>
            </w:tcBorders>
          </w:tcPr>
          <w:p>
            <w:pPr>
              <w:jc w:val="right"/>
              <w:ind w:right="6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59,771</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ind w:right="6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54,881</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ind w:right="3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4,890</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8.91 %</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7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Noninterest expense to average</w:t>
            </w:r>
          </w:p>
        </w:tc>
        <w:tc>
          <w:tcPr>
            <w:tcW w:w="84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1.48 %</w:t>
            </w:r>
          </w:p>
        </w:tc>
        <w:tc>
          <w:tcPr>
            <w:tcW w:w="8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1.36 %</w:t>
            </w:r>
          </w:p>
        </w:tc>
        <w:tc>
          <w:tcPr>
            <w:tcW w:w="5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assets</w:t>
            </w:r>
          </w:p>
        </w:tc>
        <w:tc>
          <w:tcPr>
            <w:tcW w:w="840" w:type="dxa"/>
            <w:vAlign w:val="bottom"/>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Efficiency ratio (1)</w:t>
            </w:r>
          </w:p>
        </w:tc>
        <w:tc>
          <w:tcPr>
            <w:tcW w:w="8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47.22 %</w:t>
            </w:r>
          </w:p>
        </w:tc>
        <w:tc>
          <w:tcPr>
            <w:tcW w:w="8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39.50 %</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-581660</wp:posOffset>
            </wp:positionV>
            <wp:extent cx="15430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-581660</wp:posOffset>
            </wp:positionV>
            <wp:extent cx="14605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-581660</wp:posOffset>
            </wp:positionV>
            <wp:extent cx="11112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1" w:lineRule="exact"/>
        <w:rPr>
          <w:sz w:val="20"/>
          <w:szCs w:val="20"/>
          <w:color w:val="auto"/>
        </w:rPr>
      </w:pPr>
    </w:p>
    <w:p>
      <w:pPr>
        <w:ind w:left="1500" w:hanging="369"/>
        <w:spacing w:after="0"/>
        <w:tabs>
          <w:tab w:leader="none" w:pos="1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expense divided by net interest income before provision for credit losses plus noninterest income.</w:t>
      </w:r>
    </w:p>
    <w:p>
      <w:pPr>
        <w:spacing w:after="0" w:line="194" w:lineRule="exact"/>
        <w:rPr>
          <w:sz w:val="20"/>
          <w:szCs w:val="20"/>
          <w:color w:val="auto"/>
        </w:rPr>
      </w:pPr>
    </w:p>
    <w:p>
      <w:pPr>
        <w:ind w:right="160" w:firstLine="469"/>
        <w:spacing w:after="0" w:line="266"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asset growth can be measured in terms of total noninterest expenses as a percentage of average assets. Noninterest expense as a percentage of average assets was 1.48% for both the first quarter of 2024, compared to 1.36% and the first quarter of 2023. This ratio was negatively impacted by an additional accrual of $2.3 million for the FDIC special assessment in the first quarter of 2024.</w:t>
      </w:r>
    </w:p>
    <w:p>
      <w:pPr>
        <w:spacing w:after="0" w:line="176" w:lineRule="exact"/>
        <w:rPr>
          <w:sz w:val="20"/>
          <w:szCs w:val="20"/>
          <w:color w:val="auto"/>
        </w:rPr>
      </w:pPr>
    </w:p>
    <w:p>
      <w:pPr>
        <w:ind w:right="160" w:firstLine="469"/>
        <w:spacing w:after="0" w:line="261"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for the first quarter of 2024 was 47.22%, compared to 39.50% for the first quarter of 2023. The increase in the efficiency ratio for the first quarter of 2024 was primarily due to increased regulatory assessment expense, including the FDIC special assessment, and inflationary pressures on staff related expenses.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First Quarter of 2024 Compared to the First Quarter of 2023</w:t>
      </w:r>
    </w:p>
    <w:p>
      <w:pPr>
        <w:spacing w:after="0" w:line="200" w:lineRule="exact"/>
        <w:rPr>
          <w:sz w:val="20"/>
          <w:szCs w:val="20"/>
          <w:color w:val="auto"/>
        </w:rPr>
      </w:pPr>
    </w:p>
    <w:p>
      <w:pPr>
        <w:ind w:right="180" w:firstLine="464"/>
        <w:spacing w:after="0" w:line="255" w:lineRule="auto"/>
        <w:rPr>
          <w:sz w:val="20"/>
          <w:szCs w:val="20"/>
          <w:color w:val="auto"/>
        </w:rPr>
      </w:pPr>
      <w:r>
        <w:rPr>
          <w:rFonts w:ascii="Times New Roman" w:cs="Times New Roman" w:eastAsia="Times New Roman" w:hAnsi="Times New Roman"/>
          <w:sz w:val="18"/>
          <w:szCs w:val="18"/>
          <w:color w:val="auto"/>
        </w:rPr>
        <w:t>Noninterest expense of $59.8 million for the first quarter of 2024 was $4.9 million, or 8.91%, higher than the first quarter of 2023. The first quarter of 2024 reflected an additional accrual of $2.3 million for the FDIC special assessment resulting from a 25% increase in the FDIC's initial loss estimate, which was $9.2 million as reflected in the fourth quarter of 2023. Year-over-year expense growth included increased staff related expenses of $1.2 million, or 3.27%. Professional services also increased $559,000 year-over-year, including a $430,000 increase in legal expense. The increase in other expense year-over-year was due to higher data processing costs, an increase in deferred compensation expense and various expense accruals. There was no provision or recapture of provision for unfunded loan commitments in the first quarter of 2024, compared to $500,000 in provision for the first quarter of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80" w:firstLine="469"/>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2024 was 27.25%, compared to 28.20% for the three months ended March 31, 2023, respectively. Our estimated annual effective tax rate also varies depending upon the level of tax-advantaged income from municipal securities and BOLI, as well as available tax credits.</w:t>
      </w:r>
    </w:p>
    <w:p>
      <w:pPr>
        <w:spacing w:after="0" w:line="176" w:lineRule="exact"/>
        <w:rPr>
          <w:sz w:val="20"/>
          <w:szCs w:val="20"/>
          <w:color w:val="auto"/>
        </w:rPr>
      </w:pPr>
    </w:p>
    <w:p>
      <w:pPr>
        <w:ind w:right="320" w:firstLine="469"/>
        <w:spacing w:after="0" w:line="261" w:lineRule="auto"/>
        <w:rPr>
          <w:sz w:val="20"/>
          <w:szCs w:val="20"/>
          <w:color w:val="auto"/>
        </w:rPr>
      </w:pPr>
      <w:r>
        <w:rPr>
          <w:rFonts w:ascii="Times New Roman" w:cs="Times New Roman" w:eastAsia="Times New Roman" w:hAnsi="Times New Roman"/>
          <w:sz w:val="18"/>
          <w:szCs w:val="18"/>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jc w:val="center"/>
        <w:ind w:right="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089" w:right="2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ANALYSIS OF FINANCIAL CONDITION</w:t>
      </w:r>
    </w:p>
    <w:p>
      <w:pPr>
        <w:spacing w:after="0" w:line="229" w:lineRule="exact"/>
        <w:rPr>
          <w:sz w:val="20"/>
          <w:szCs w:val="20"/>
          <w:color w:val="auto"/>
        </w:rPr>
      </w:pPr>
    </w:p>
    <w:p>
      <w:pPr>
        <w:ind w:right="260" w:firstLine="469"/>
        <w:spacing w:after="0" w:line="261" w:lineRule="auto"/>
        <w:rPr>
          <w:sz w:val="20"/>
          <w:szCs w:val="20"/>
          <w:color w:val="auto"/>
        </w:rPr>
      </w:pPr>
      <w:r>
        <w:rPr>
          <w:rFonts w:ascii="Times New Roman" w:cs="Times New Roman" w:eastAsia="Times New Roman" w:hAnsi="Times New Roman"/>
          <w:sz w:val="18"/>
          <w:szCs w:val="18"/>
          <w:color w:val="auto"/>
        </w:rPr>
        <w:t>Total assets of $16.47 billion at March 31, 2024 increased by $447.2 million, or 2.79%, from total assets of $16.02 billion at December 31, 2023. Interest-earning assets of $14.91 billion at March 31, 2024, increased by $448.9 million, or 3.10%, when compared with $14.46 billion at December 31, 2023. The increase in interest-earning assets was primarily due to a $707.7 million increase in interest-earning balances due from the Federal Reserve, offset by a $129.0 million decrease in investment securities, and a $134.2 million decrease in total loans.</w:t>
      </w:r>
    </w:p>
    <w:p>
      <w:pPr>
        <w:spacing w:after="0" w:line="180"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Total liabilities were $14.38 billion at March 31, 2024, an increase of $438.3 million, or 3.14%, from total liabilities of $13.94 billion at December 31, 2023. The increase of $461.3 million in total deposits at March 31, 2024 included the addition of $300 million in brokered deposits that were added between the end February and the end of March. These deposits, which mature every 90 days, were combined with cash flow hedges which resulted in a fixed rate of approximately 4.2%. Borrowings decreased by $75.0 million from December 31, 2023. At March 31, 2024, total borrowings consisted of $2.0 billion of one-year advances from the Federal Reserve’s Bank Term Funding Program, at an average cost of approximately 4.75%. The BTFP advances include maturities of $695 million in May and $1.3 billion in January of 2025.</w:t>
      </w:r>
    </w:p>
    <w:p>
      <w:pPr>
        <w:spacing w:after="0" w:line="187" w:lineRule="exact"/>
        <w:rPr>
          <w:sz w:val="20"/>
          <w:szCs w:val="20"/>
          <w:color w:val="auto"/>
        </w:rPr>
      </w:pPr>
    </w:p>
    <w:p>
      <w:pPr>
        <w:ind w:right="140" w:firstLine="469"/>
        <w:spacing w:after="0" w:line="266" w:lineRule="auto"/>
        <w:rPr>
          <w:sz w:val="20"/>
          <w:szCs w:val="20"/>
          <w:color w:val="auto"/>
        </w:rPr>
      </w:pPr>
      <w:r>
        <w:rPr>
          <w:rFonts w:ascii="Times New Roman" w:cs="Times New Roman" w:eastAsia="Times New Roman" w:hAnsi="Times New Roman"/>
          <w:sz w:val="18"/>
          <w:szCs w:val="18"/>
          <w:color w:val="auto"/>
        </w:rPr>
        <w:t>Total equity increased $8.9 million to $2.09 billion at March 31, 2024, compared to total equity of $2.08 billion at December 31, 2023. Increases to equity included $48.6 million in net earnings, that were partially offset by $27.9 million in cash dividends and an $11.7 million decrease in other comprehensive income. We engaged in no stock repurchases during the first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ind w:right="20" w:firstLine="469"/>
        <w:spacing w:after="0" w:line="253" w:lineRule="auto"/>
        <w:rPr>
          <w:sz w:val="20"/>
          <w:szCs w:val="20"/>
          <w:color w:val="auto"/>
        </w:rPr>
      </w:pPr>
      <w:r>
        <w:rPr>
          <w:rFonts w:ascii="Times New Roman" w:cs="Times New Roman" w:eastAsia="Times New Roman" w:hAnsi="Times New Roman"/>
          <w:sz w:val="18"/>
          <w:szCs w:val="18"/>
          <w:color w:val="auto"/>
        </w:rPr>
        <w:t>The Company maintains a portfolio of investment securities to provide interest income and to serve as a source of liquidity for its ongoing operations. We continued to shrink our investment portfolio. At March 31, 2024, total investment securities were $5.29 billion. This represented a decrease of $129.0 million, or 2.38%, from $5.42 billion at December 31, 2023. The overall decrease in investment securities was primarily due to a $119.0 million decline in our AFS securities. At March 31, 2024, our AFS investment securities totaled $2.84 billion, inclusive of a pre-tax net unrealized loss of $485.6 million, compared to $449.8 million at December 31, 2023. The $36 million decrease in fair value of our AFS securities was partially offset by an $18 million increase in the fair value of our derivatives that hedge the change in value of our AFS portfolio. The after-tax unrealized loss reported in AOCI on our AFS investment securities at March 31, 2024 was $335.8 million. The changes in the net unrealized holding loss resulted primarily from fluctuations in market interest rates. At March 31, 2024, investment securities HTM totaled $2.45 billion. For the three months ended March 31, 2024 and 2023, repayments/maturities of investment securities totaled $115.5 million and $107.0 million, respectively. The Company purchased $11.5 million of HTM securities during the first quarter of 2024. There were no purchases of investment securities in the first quarter of 2023 as cashflows generated from the portfolio were not reinvested during the first quarter. There were no investment securities sold during the first quarter of 2024 and 2023.</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0" w:name="page51"/>
    <w:bookmarkEnd w:id="50"/>
    <w:p>
      <w:pPr>
        <w:ind w:left="480"/>
        <w:spacing w:after="0"/>
        <w:rPr>
          <w:sz w:val="20"/>
          <w:szCs w:val="20"/>
          <w:color w:val="auto"/>
        </w:rPr>
      </w:pPr>
      <w:r>
        <w:rPr>
          <w:rFonts w:ascii="Times New Roman" w:cs="Times New Roman" w:eastAsia="Times New Roman" w:hAnsi="Times New Roman"/>
          <w:sz w:val="18"/>
          <w:szCs w:val="18"/>
          <w:color w:val="auto"/>
        </w:rPr>
        <w:t>The tables below set forth our investment securities AFS and HTM portfolio by type for the dates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1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1"/>
                <w:szCs w:val="21"/>
                <w:color w:val="auto"/>
              </w:rPr>
            </w:pPr>
          </w:p>
        </w:tc>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89"/>
              </w:rPr>
              <w:t>(Dollars in thousands)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32,640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2,766,695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(367,613 )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2,399,107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84.56 %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495,576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(116,682 )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378,894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13.35 %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26,480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25,144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0.89 %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1,315</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140" w:type="dxa"/>
            <w:vAlign w:val="bottom"/>
          </w:tcPr>
          <w:p>
            <w:pPr>
              <w:spacing w:after="0"/>
              <w:rPr>
                <w:sz w:val="19"/>
                <w:szCs w:val="19"/>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10,893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(10,893 )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19"/>
                <w:szCs w:val="19"/>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(1)</w:t>
            </w:r>
          </w:p>
        </w:tc>
        <w:tc>
          <w:tcPr>
            <w:tcW w:w="1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3,333,603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(496,564 )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2,837,100</w:t>
            </w: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526,752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(103,672 )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423,080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21.46 %</w:t>
            </w:r>
          </w:p>
        </w:tc>
        <w:tc>
          <w:tcPr>
            <w:tcW w:w="0" w:type="dxa"/>
            <w:vAlign w:val="bottom"/>
          </w:tcPr>
          <w:p>
            <w:pPr>
              <w:spacing w:after="0"/>
              <w:rPr>
                <w:sz w:val="1"/>
                <w:szCs w:val="1"/>
                <w:color w:val="auto"/>
              </w:rPr>
            </w:pPr>
          </w:p>
        </w:tc>
      </w:tr>
      <w:tr>
        <w:trPr>
          <w:trHeight w:val="238"/>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652,864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(109,336 )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543,528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26.60 %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798,226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(162,528 )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635,698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32.52 %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465,289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(37,242 )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430,270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18.96 %</w:t>
            </w:r>
          </w:p>
        </w:tc>
        <w:tc>
          <w:tcPr>
            <w:tcW w:w="0" w:type="dxa"/>
            <w:vAlign w:val="bottom"/>
          </w:tcPr>
          <w:p>
            <w:pPr>
              <w:spacing w:after="0"/>
              <w:rPr>
                <w:sz w:val="1"/>
                <w:szCs w:val="1"/>
                <w:color w:val="auto"/>
              </w:rPr>
            </w:pPr>
          </w:p>
        </w:tc>
      </w:tr>
      <w:tr>
        <w:trPr>
          <w:trHeight w:val="257"/>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11,455</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11,455</w:t>
            </w:r>
          </w:p>
        </w:tc>
        <w:tc>
          <w:tcPr>
            <w:tcW w:w="14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0.46 %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2,454,586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(412,778 )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2,044,031</w:t>
            </w: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1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1"/>
                <w:szCs w:val="21"/>
                <w:color w:val="auto"/>
              </w:rPr>
            </w:pPr>
          </w:p>
        </w:tc>
        <w:tc>
          <w:tcPr>
            <w:tcW w:w="1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Percent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w w:val="89"/>
              </w:rPr>
              <w:t>(Dollars in thousands)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32,229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32,253</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2,843,744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(336,107 )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2,507,679</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84.83 %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502,234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(112,872 )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389,362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26,477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25,635</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0.87 %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2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portfolio layer fair value basis</w:t>
            </w:r>
          </w:p>
        </w:tc>
        <w:tc>
          <w:tcPr>
            <w:tcW w:w="14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(6,938 )</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19"/>
                <w:szCs w:val="19"/>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(1)</w:t>
            </w:r>
          </w:p>
        </w:tc>
        <w:tc>
          <w:tcPr>
            <w:tcW w:w="1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3,398,942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(449,867 )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2,956,125</w:t>
            </w: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530,656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(97,972 )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432,684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21.53 %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663,090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(97,436 )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565,654</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26.90 %</w:t>
            </w:r>
          </w:p>
        </w:tc>
        <w:tc>
          <w:tcPr>
            <w:tcW w:w="0" w:type="dxa"/>
            <w:vAlign w:val="bottom"/>
          </w:tcPr>
          <w:p>
            <w:pPr>
              <w:spacing w:after="0"/>
              <w:rPr>
                <w:sz w:val="1"/>
                <w:szCs w:val="1"/>
                <w:color w:val="auto"/>
              </w:rPr>
            </w:pPr>
          </w:p>
        </w:tc>
      </w:tr>
      <w:tr>
        <w:trPr>
          <w:trHeight w:val="243"/>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802,892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(156,155 )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646,737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32.58 %</w:t>
            </w:r>
          </w:p>
        </w:tc>
        <w:tc>
          <w:tcPr>
            <w:tcW w:w="0" w:type="dxa"/>
            <w:vAlign w:val="bottom"/>
          </w:tcPr>
          <w:p>
            <w:pPr>
              <w:spacing w:after="0"/>
              <w:rPr>
                <w:sz w:val="1"/>
                <w:szCs w:val="1"/>
                <w:color w:val="auto"/>
              </w:rPr>
            </w:pPr>
          </w:p>
        </w:tc>
      </w:tr>
      <w:tr>
        <w:trPr>
          <w:trHeight w:val="256"/>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467,972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(33,604 )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437,806</w:t>
            </w:r>
          </w:p>
        </w:tc>
        <w:tc>
          <w:tcPr>
            <w:tcW w:w="14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18.99 %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2,464,610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(385,167 )</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2,082,881</w:t>
            </w: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-5605780</wp:posOffset>
            </wp:positionV>
            <wp:extent cx="7132320" cy="1543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-5297170</wp:posOffset>
            </wp:positionV>
            <wp:extent cx="7132320" cy="15430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-4208145</wp:posOffset>
            </wp:positionV>
            <wp:extent cx="7132320" cy="15430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-3900170</wp:posOffset>
            </wp:positionV>
            <wp:extent cx="7132320" cy="15430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-4988560</wp:posOffset>
            </wp:positionV>
            <wp:extent cx="7132320" cy="2914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-3582670</wp:posOffset>
            </wp:positionV>
            <wp:extent cx="7132320" cy="17970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32320" cy="15430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5430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15430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7970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jc w:val="both"/>
        <w:ind w:right="80" w:firstLine="469"/>
        <w:spacing w:after="0" w:line="266" w:lineRule="auto"/>
        <w:rPr>
          <w:sz w:val="20"/>
          <w:szCs w:val="20"/>
          <w:color w:val="auto"/>
        </w:rPr>
      </w:pPr>
      <w:r>
        <w:rPr>
          <w:rFonts w:ascii="Times New Roman" w:cs="Times New Roman" w:eastAsia="Times New Roman" w:hAnsi="Times New Roman"/>
          <w:sz w:val="18"/>
          <w:szCs w:val="18"/>
          <w:color w:val="auto"/>
        </w:rPr>
        <w:t>As of March 31, 2024, approximately $30.1 million in U.S. government agency bonds are callable. The Agency CMO/REMIC securities are backed by agency-pooled collateral. Municipal bonds, which represented approximately 9% of the total investment portfolio, are predominately AA or higher rated securities.</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51" w:name="page52"/>
    <w:bookmarkEnd w:id="51"/>
    <w:p>
      <w:pPr>
        <w:ind w:right="20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available-for-sale and held-to-maturity investment securities, by investment category, in an unrealized loss position for which an allowance for credit losses has not been recorded as of March 31, 2024 and December 31,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2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9"/>
                <w:szCs w:val="19"/>
                <w:color w:val="auto"/>
              </w:rPr>
            </w:pPr>
          </w:p>
        </w:tc>
      </w:tr>
      <w:tr>
        <w:trPr>
          <w:trHeight w:val="221"/>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2,397,803</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(367,613 )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2,397,825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(367,613 )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378,893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(116,682 )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378,893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(116,682 )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17,743</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(1,227 )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24,268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(1,372 )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2,794,439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(485,522 )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2,833,626</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(485,671 )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423,080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(103,672 )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423,080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(103,672 )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543,529</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(109,336 )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543,529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(109,336 )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635,698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(162,528 )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635,698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(162,528 )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46,060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(649 )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289,996</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(36,593 )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336,056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(37,242 )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1,892,303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(412,129 )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1,938,363</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(412,778 )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2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1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Holding</w:t>
            </w:r>
          </w:p>
        </w:tc>
      </w:tr>
      <w:tr>
        <w:trPr>
          <w:trHeight w:val="225"/>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9"/>
                <w:szCs w:val="19"/>
                <w:color w:val="auto"/>
              </w:rPr>
            </w:pPr>
          </w:p>
        </w:tc>
      </w:tr>
      <w:tr>
        <w:trPr>
          <w:trHeight w:val="221"/>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2,506,162</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(336,107 )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2,506,210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(336,107 )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(112,872 )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389,359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(112,872 )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(871 )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21,391</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(888 )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2,913,626</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(449,850 )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2,916,960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(449,867 )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(97,972 )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432,684</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(97,972 )</w:t>
            </w:r>
          </w:p>
        </w:tc>
      </w:tr>
      <w:tr>
        <w:trPr>
          <w:trHeight w:val="239"/>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(97,436 )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565,655</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(97,436 )</w:t>
            </w:r>
          </w:p>
        </w:tc>
      </w:tr>
      <w:tr>
        <w:trPr>
          <w:trHeight w:val="220"/>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(156,155 )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(156,155 )</w:t>
            </w:r>
          </w:p>
        </w:tc>
      </w:tr>
      <w:tr>
        <w:trPr>
          <w:trHeight w:val="236"/>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293,467</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(33,404 )</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314,076</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(33,604 )</w:t>
            </w:r>
          </w:p>
        </w:tc>
      </w:tr>
      <w:tr>
        <w:trPr>
          <w:trHeight w:val="20"/>
        </w:trPr>
        <w:tc>
          <w:tcPr>
            <w:tcW w:w="35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5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1,938,543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(384,967 )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1,959,152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(385,167 )</w:t>
            </w:r>
          </w:p>
        </w:tc>
      </w:tr>
      <w:tr>
        <w:trPr>
          <w:trHeight w:val="20"/>
        </w:trPr>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-4182745</wp:posOffset>
            </wp:positionV>
            <wp:extent cx="7683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-4182745</wp:posOffset>
            </wp:positionV>
            <wp:extent cx="7683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-4182745</wp:posOffset>
            </wp:positionV>
            <wp:extent cx="7747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-4182745</wp:posOffset>
            </wp:positionV>
            <wp:extent cx="685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-4182745</wp:posOffset>
            </wp:positionV>
            <wp:extent cx="6858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-4182745</wp:posOffset>
            </wp:positionV>
            <wp:extent cx="685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-3274060</wp:posOffset>
            </wp:positionV>
            <wp:extent cx="7683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-3274060</wp:posOffset>
            </wp:positionV>
            <wp:extent cx="7683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-3274060</wp:posOffset>
            </wp:positionV>
            <wp:extent cx="7747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-3274060</wp:posOffset>
            </wp:positionV>
            <wp:extent cx="685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-3274060</wp:posOffset>
            </wp:positionV>
            <wp:extent cx="685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-1233805</wp:posOffset>
            </wp:positionV>
            <wp:extent cx="7683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-1233805</wp:posOffset>
            </wp:positionV>
            <wp:extent cx="7683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-1233805</wp:posOffset>
            </wp:positionV>
            <wp:extent cx="7747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-1233805</wp:posOffset>
            </wp:positionV>
            <wp:extent cx="6858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-1233805</wp:posOffset>
            </wp:positionV>
            <wp:extent cx="685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-179705</wp:posOffset>
            </wp:positionV>
            <wp:extent cx="7683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-179705</wp:posOffset>
            </wp:positionV>
            <wp:extent cx="7683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-179705</wp:posOffset>
            </wp:positionV>
            <wp:extent cx="7747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-179705</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-179705</wp:posOffset>
            </wp:positionV>
            <wp:extent cx="685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420" w:firstLine="469"/>
        <w:spacing w:after="0" w:line="266" w:lineRule="auto"/>
        <w:rPr>
          <w:sz w:val="20"/>
          <w:szCs w:val="20"/>
          <w:color w:val="auto"/>
        </w:rPr>
      </w:pPr>
      <w:r>
        <w:rPr>
          <w:rFonts w:ascii="Times New Roman" w:cs="Times New Roman" w:eastAsia="Times New Roman" w:hAnsi="Times New Roman"/>
          <w:sz w:val="18"/>
          <w:szCs w:val="18"/>
          <w:color w:val="auto"/>
        </w:rPr>
        <w:t>Once it is determined that a credit loss has occurred, an allowance for credit losses is established on our available-for-sale and held-to-maturity securities. Management determined that credit losses did not exist for securities in an unrealized loss position as of March 31, 2024 and December 31, 2023.</w:t>
      </w:r>
    </w:p>
    <w:p>
      <w:pPr>
        <w:spacing w:after="0" w:line="174" w:lineRule="exact"/>
        <w:rPr>
          <w:sz w:val="20"/>
          <w:szCs w:val="20"/>
          <w:color w:val="auto"/>
        </w:rPr>
      </w:pPr>
    </w:p>
    <w:p>
      <w:pPr>
        <w:ind w:right="700" w:firstLine="374"/>
        <w:spacing w:after="0" w:line="262" w:lineRule="auto"/>
        <w:rPr>
          <w:sz w:val="20"/>
          <w:szCs w:val="20"/>
          <w:color w:val="auto"/>
        </w:rPr>
      </w:pPr>
      <w:r>
        <w:rPr>
          <w:rFonts w:ascii="Times New Roman" w:cs="Times New Roman" w:eastAsia="Times New Roman" w:hAnsi="Times New Roman"/>
          <w:sz w:val="18"/>
          <w:szCs w:val="18"/>
          <w:color w:val="auto"/>
        </w:rPr>
        <w:t xml:space="preserve">Refer to Note 4 –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xml:space="preserve"> of the notes to the unaudited condensed consolidated financial statements of this report for additional information on our investment securities portfolio.</w:t>
      </w: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8"/>
          <w:szCs w:val="18"/>
          <w:color w:val="auto"/>
        </w:rPr>
        <w:t>Total loans and leases, at amortized cost, of $8.77 billion at March 31, 2024 decreased by $134.2 million, or 1.51%, from December 31, 2023. The decrease in total loans quarter-over-quarter included decreases of $64.0 million in commercial real estate loans, $61.3 million in dairy &amp; livestock and agribusiness loans, $7.9 million in construction loans, $6.8 million in commercial and industrial loans, and, partially offset by an increase of $6.6 million in SFR mortgage loans. The decline in dairy and livestock loans primarily relates to the seasonal peak in line utilization at the end of every calendar year, demonstrated by a decline in the utilization rate from 80% at the end of 2023 to 75% at March 31, 2024.</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our loan portfolio by type as of the dates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Distribution of Loan Portfolio by Type</w:t>
            </w: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39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23"/>
        </w:trPr>
        <w:tc>
          <w:tcPr>
            <w:tcW w:w="3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40" w:type="dxa"/>
            <w:vAlign w:val="bottom"/>
            <w:gridSpan w:val="5"/>
          </w:tcPr>
          <w:p>
            <w:pPr>
              <w:jc w:val="right"/>
              <w:ind w:right="14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63"/>
        </w:trPr>
        <w:tc>
          <w:tcPr>
            <w:tcW w:w="39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6,720,538</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6,784,505</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58,806</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66,734</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3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268,320</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270,619</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Paycheck Protection Program (PPP)</w:t>
            </w:r>
          </w:p>
        </w:tc>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963,120</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969,895</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351,624</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412,891</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3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72,032</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73,590</w:t>
            </w:r>
          </w:p>
        </w:tc>
        <w:tc>
          <w:tcPr>
            <w:tcW w:w="100" w:type="dxa"/>
            <w:vAlign w:val="bottom"/>
            <w:shd w:val="clear" w:color="auto" w:fill="CFF0FC"/>
          </w:tcPr>
          <w:p>
            <w:pPr>
              <w:spacing w:after="0"/>
              <w:rPr>
                <w:sz w:val="21"/>
                <w:szCs w:val="21"/>
                <w:color w:val="auto"/>
              </w:rPr>
            </w:pPr>
          </w:p>
        </w:tc>
      </w:tr>
      <w:tr>
        <w:trPr>
          <w:trHeight w:val="23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276,475</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269,868</w:t>
            </w:r>
          </w:p>
        </w:tc>
        <w:tc>
          <w:tcPr>
            <w:tcW w:w="100" w:type="dxa"/>
            <w:vAlign w:val="bottom"/>
          </w:tcPr>
          <w:p>
            <w:pPr>
              <w:spacing w:after="0"/>
              <w:rPr>
                <w:sz w:val="20"/>
                <w:szCs w:val="20"/>
                <w:color w:val="auto"/>
              </w:rPr>
            </w:pPr>
          </w:p>
        </w:tc>
      </w:tr>
      <w:tr>
        <w:trPr>
          <w:trHeight w:val="247"/>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0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57,549</w:t>
            </w:r>
          </w:p>
        </w:tc>
        <w:tc>
          <w:tcPr>
            <w:tcW w:w="3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3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8,770,713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8,904,910</w:t>
            </w:r>
          </w:p>
        </w:tc>
        <w:tc>
          <w:tcPr>
            <w:tcW w:w="100" w:type="dxa"/>
            <w:vAlign w:val="bottom"/>
          </w:tcPr>
          <w:p>
            <w:pPr>
              <w:spacing w:after="0"/>
              <w:rPr>
                <w:sz w:val="20"/>
                <w:szCs w:val="20"/>
                <w:color w:val="auto"/>
              </w:rPr>
            </w:pPr>
          </w:p>
        </w:tc>
      </w:tr>
      <w:tr>
        <w:trPr>
          <w:trHeight w:val="24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(82,817 )</w:t>
            </w:r>
          </w:p>
        </w:tc>
        <w:tc>
          <w:tcPr>
            <w:tcW w:w="18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(86,842 )</w:t>
            </w:r>
          </w:p>
        </w:tc>
      </w:tr>
      <w:tr>
        <w:trPr>
          <w:trHeight w:val="237"/>
        </w:trPr>
        <w:tc>
          <w:tcPr>
            <w:tcW w:w="390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30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8,687,896</w:t>
            </w:r>
          </w:p>
        </w:tc>
        <w:tc>
          <w:tcPr>
            <w:tcW w:w="3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8,818,068</w:t>
            </w:r>
          </w:p>
        </w:tc>
        <w:tc>
          <w:tcPr>
            <w:tcW w:w="100" w:type="dxa"/>
            <w:vAlign w:val="bottom"/>
            <w:tcBorders>
              <w:top w:val="single" w:sz="8" w:color="CFF0FC"/>
            </w:tcBorders>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-505460</wp:posOffset>
            </wp:positionV>
            <wp:extent cx="6858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8"/>
          <w:szCs w:val="18"/>
          <w:color w:val="auto"/>
        </w:rPr>
        <w:t>As of March 31, 2024, $498.2 million, or 7.41% of the total commercial real estate loans included loans secured by farmland, compared to $497.7 million, or 7.34%, at December 31, 2023. The loans secured by farmland included $121.4 million for loans secured by dairy &amp; livestock land and $376.8 million secured by agricultural land at March 31, 2024, compared to $122.4 million for loans secured by dairy &amp; livestock land and $375.3 million for loans secured by agricultural land at December 31, 2023. As of March 31, 2024, dairy &amp; livestock and agribusiness loans of $351.6 million were comprised of $308.5 million for dairy &amp; livestock loans and $43.1 million for agribusiness loans, compared to $412.9 million were comprised of $374.9 million for dairy &amp; livestock loans and $38.0 million for agribusiness loans at December 31, 2023.</w:t>
      </w:r>
    </w:p>
    <w:p>
      <w:pPr>
        <w:spacing w:after="0" w:line="187"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83" w:lineRule="exact"/>
        <w:rPr>
          <w:sz w:val="20"/>
          <w:szCs w:val="20"/>
          <w:color w:val="auto"/>
        </w:rPr>
      </w:pPr>
    </w:p>
    <w:p>
      <w:pPr>
        <w:ind w:right="40" w:firstLine="469"/>
        <w:spacing w:after="0" w:line="272" w:lineRule="auto"/>
        <w:rPr>
          <w:sz w:val="20"/>
          <w:szCs w:val="20"/>
          <w:color w:val="auto"/>
        </w:rPr>
      </w:pPr>
      <w:r>
        <w:rPr>
          <w:rFonts w:ascii="Times New Roman" w:cs="Times New Roman" w:eastAsia="Times New Roman" w:hAnsi="Times New Roman"/>
          <w:sz w:val="17"/>
          <w:szCs w:val="17"/>
          <w:color w:val="auto"/>
        </w:rPr>
        <w:t>As of March 31, 2024, the Company had $197.5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March 31, 2024, the Company had $70.8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72" w:lineRule="exact"/>
        <w:rPr>
          <w:sz w:val="20"/>
          <w:szCs w:val="20"/>
          <w:color w:val="auto"/>
        </w:rPr>
      </w:pPr>
    </w:p>
    <w:p>
      <w:pPr>
        <w:ind w:right="260" w:firstLine="469"/>
        <w:spacing w:after="0" w:line="257" w:lineRule="auto"/>
        <w:rPr>
          <w:sz w:val="20"/>
          <w:szCs w:val="20"/>
          <w:color w:val="auto"/>
        </w:rPr>
      </w:pPr>
      <w:r>
        <w:rPr>
          <w:rFonts w:ascii="Times New Roman" w:cs="Times New Roman" w:eastAsia="Times New Roman" w:hAnsi="Times New Roman"/>
          <w:sz w:val="18"/>
          <w:szCs w:val="18"/>
          <w:color w:val="auto"/>
        </w:rPr>
        <w:t>As of March 31,2024, the Company had $58.8 million in construction loans. This represents 0.67% of total gross loans held-for-investment. Although our construction loans are located throughout our market footprint, the majority of construction loans consist of commercial land development and construction projects throughout California. There were no nonperforming construction loans at March 31,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ind w:right="440" w:firstLine="464"/>
        <w:spacing w:after="0" w:line="282" w:lineRule="auto"/>
        <w:rPr>
          <w:sz w:val="20"/>
          <w:szCs w:val="20"/>
          <w:color w:val="auto"/>
        </w:rPr>
      </w:pPr>
      <w:r>
        <w:rPr>
          <w:rFonts w:ascii="Times New Roman" w:cs="Times New Roman" w:eastAsia="Times New Roman" w:hAnsi="Times New Roman"/>
          <w:sz w:val="18"/>
          <w:szCs w:val="18"/>
          <w:color w:val="auto"/>
        </w:rPr>
        <w:t>Our loan portfolio is geographically disbursed throughout our marketplace. The following is the breakdown of our total held-for-investment and commercial real estate loans, by region as of March 31,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0"/>
        </w:trPr>
        <w:tc>
          <w:tcPr>
            <w:tcW w:w="5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Commercial Real</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50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9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Estate Loans</w:t>
            </w:r>
          </w:p>
        </w:tc>
        <w:tc>
          <w:tcPr>
            <w:tcW w:w="7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5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w w:val="98"/>
              </w:rPr>
              <w:t>(Dollars in</w:t>
            </w:r>
          </w:p>
        </w:tc>
        <w:tc>
          <w:tcPr>
            <w:tcW w:w="9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 Angeles County</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3,204,076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36.5 %</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2,349,745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35.0 %</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Central Valley and Sacramento</w:t>
            </w:r>
          </w:p>
        </w:tc>
        <w:tc>
          <w:tcPr>
            <w:tcW w:w="4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2,076,644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23.7 %</w:t>
            </w:r>
          </w:p>
        </w:tc>
        <w:tc>
          <w:tcPr>
            <w:tcW w:w="6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1,664,015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24.8 %</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Orange County</w:t>
            </w:r>
          </w:p>
        </w:tc>
        <w:tc>
          <w:tcPr>
            <w:tcW w:w="4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1,154,124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13.2 %</w:t>
            </w:r>
          </w:p>
        </w:tc>
        <w:tc>
          <w:tcPr>
            <w:tcW w:w="6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679,001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Inland Empire</w:t>
            </w:r>
          </w:p>
        </w:tc>
        <w:tc>
          <w:tcPr>
            <w:tcW w:w="4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1,002,479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11.4 %</w:t>
            </w:r>
          </w:p>
        </w:tc>
        <w:tc>
          <w:tcPr>
            <w:tcW w:w="6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883,428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13.1 %</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Central Coast</w:t>
            </w:r>
          </w:p>
        </w:tc>
        <w:tc>
          <w:tcPr>
            <w:tcW w:w="4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478,068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5.4 %</w:t>
            </w:r>
          </w:p>
        </w:tc>
        <w:tc>
          <w:tcPr>
            <w:tcW w:w="6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389,610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 Diego</w:t>
            </w:r>
          </w:p>
        </w:tc>
        <w:tc>
          <w:tcPr>
            <w:tcW w:w="4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336,174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3.8 %</w:t>
            </w:r>
          </w:p>
        </w:tc>
        <w:tc>
          <w:tcPr>
            <w:tcW w:w="6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339,372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California</w:t>
            </w:r>
          </w:p>
        </w:tc>
        <w:tc>
          <w:tcPr>
            <w:tcW w:w="4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153,797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1.8 %</w:t>
            </w:r>
          </w:p>
        </w:tc>
        <w:tc>
          <w:tcPr>
            <w:tcW w:w="6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97,015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 of State</w:t>
            </w:r>
          </w:p>
        </w:tc>
        <w:tc>
          <w:tcPr>
            <w:tcW w:w="4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365,351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4.2 %</w:t>
            </w:r>
          </w:p>
        </w:tc>
        <w:tc>
          <w:tcPr>
            <w:tcW w:w="6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318,352</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3"/>
        </w:trPr>
        <w:tc>
          <w:tcPr>
            <w:tcW w:w="50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50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8,770,713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100.0 %</w:t>
            </w: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6,720,538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0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460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454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454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breaks down our commercial real estate portfolio.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00"/>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9"/>
              </w:rPr>
              <w:t>Owner-</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25"/>
        </w:trPr>
        <w:tc>
          <w:tcPr>
            <w:tcW w:w="5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Loan Balance</w:t>
            </w:r>
          </w:p>
        </w:tc>
        <w:tc>
          <w:tcPr>
            <w:tcW w:w="18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24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Occupied (1)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Loan Balance</w:t>
            </w:r>
          </w:p>
        </w:tc>
      </w:tr>
      <w:tr>
        <w:trPr>
          <w:trHeight w:val="221"/>
        </w:trPr>
        <w:tc>
          <w:tcPr>
            <w:tcW w:w="50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w:t>
            </w:r>
          </w:p>
        </w:tc>
        <w:tc>
          <w:tcPr>
            <w:tcW w:w="18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38"/>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r>
      <w:tr>
        <w:trPr>
          <w:trHeight w:val="220"/>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Industrial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2,257,765</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33.6 %</w:t>
            </w:r>
          </w:p>
        </w:tc>
        <w:tc>
          <w:tcPr>
            <w:tcW w:w="12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6"/>
              </w:rPr>
              <w:t>49.1 %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1,621</w:t>
            </w:r>
          </w:p>
        </w:tc>
      </w:tr>
      <w:tr>
        <w:trPr>
          <w:trHeight w:val="239"/>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Office</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1,099,264</w:t>
            </w:r>
          </w:p>
        </w:tc>
        <w:tc>
          <w:tcPr>
            <w:tcW w:w="1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16.4 %</w:t>
            </w:r>
          </w:p>
        </w:tc>
        <w:tc>
          <w:tcPr>
            <w:tcW w:w="12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6"/>
              </w:rPr>
              <w:t>24.5 %</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1,702</w:t>
            </w:r>
          </w:p>
        </w:tc>
      </w:tr>
      <w:tr>
        <w:trPr>
          <w:trHeight w:val="220"/>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2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928,888</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13.8 %</w:t>
            </w:r>
          </w:p>
        </w:tc>
        <w:tc>
          <w:tcPr>
            <w:tcW w:w="12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6"/>
              </w:rPr>
              <w:t>11.3 %</w:t>
            </w:r>
          </w:p>
        </w:tc>
        <w:tc>
          <w:tcPr>
            <w:tcW w:w="1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1,686</w:t>
            </w:r>
          </w:p>
        </w:tc>
      </w:tr>
      <w:tr>
        <w:trPr>
          <w:trHeight w:val="239"/>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Multi-family</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835,289</w:t>
            </w:r>
          </w:p>
        </w:tc>
        <w:tc>
          <w:tcPr>
            <w:tcW w:w="1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12.4 %</w:t>
            </w:r>
          </w:p>
        </w:tc>
        <w:tc>
          <w:tcPr>
            <w:tcW w:w="12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0.2 %</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1,594</w:t>
            </w:r>
          </w:p>
        </w:tc>
      </w:tr>
      <w:tr>
        <w:trPr>
          <w:trHeight w:val="220"/>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Secured by farmland (2)</w:t>
            </w:r>
          </w:p>
        </w:tc>
        <w:tc>
          <w:tcPr>
            <w:tcW w:w="2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498,171</w:t>
            </w:r>
          </w:p>
        </w:tc>
        <w:tc>
          <w:tcPr>
            <w:tcW w:w="15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7.4 %</w:t>
            </w:r>
          </w:p>
        </w:tc>
        <w:tc>
          <w:tcPr>
            <w:tcW w:w="12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6"/>
              </w:rPr>
              <w:t>98.9 %</w:t>
            </w:r>
          </w:p>
        </w:tc>
        <w:tc>
          <w:tcPr>
            <w:tcW w:w="1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1,496</w:t>
            </w:r>
          </w:p>
        </w:tc>
      </w:tr>
      <w:tr>
        <w:trPr>
          <w:trHeight w:val="239"/>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Medical</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307,167</w:t>
            </w:r>
          </w:p>
        </w:tc>
        <w:tc>
          <w:tcPr>
            <w:tcW w:w="1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4.6 %</w:t>
            </w:r>
          </w:p>
        </w:tc>
        <w:tc>
          <w:tcPr>
            <w:tcW w:w="12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6"/>
              </w:rPr>
              <w:t>32.8 %</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1,477</w:t>
            </w:r>
          </w:p>
        </w:tc>
      </w:tr>
      <w:tr>
        <w:trPr>
          <w:trHeight w:val="227"/>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(3)</w:t>
            </w:r>
          </w:p>
        </w:tc>
        <w:tc>
          <w:tcPr>
            <w:tcW w:w="2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793,994</w:t>
            </w: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11.8 %</w:t>
            </w:r>
          </w:p>
        </w:tc>
        <w:tc>
          <w:tcPr>
            <w:tcW w:w="12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6"/>
              </w:rPr>
              <w:t>41.7 %</w:t>
            </w:r>
          </w:p>
        </w:tc>
        <w:tc>
          <w:tcPr>
            <w:tcW w:w="1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1,620</w:t>
            </w:r>
          </w:p>
        </w:tc>
      </w:tr>
      <w:tr>
        <w:trPr>
          <w:trHeight w:val="20"/>
        </w:trPr>
        <w:tc>
          <w:tcPr>
            <w:tcW w:w="5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4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6,720,538</w:t>
            </w: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100.0 %</w:t>
            </w:r>
          </w:p>
        </w:tc>
        <w:tc>
          <w:tcPr>
            <w:tcW w:w="12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6"/>
              </w:rPr>
              <w:t>35.9 %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1,621</w:t>
            </w: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-24765</wp:posOffset>
            </wp:positionV>
            <wp:extent cx="11112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11112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1176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1176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3" w:lineRule="exact"/>
        <w:rPr>
          <w:sz w:val="20"/>
          <w:szCs w:val="20"/>
          <w:color w:val="auto"/>
        </w:rPr>
      </w:pPr>
    </w:p>
    <w:p>
      <w:pPr>
        <w:ind w:left="1320" w:hanging="473"/>
        <w:spacing w:after="0"/>
        <w:tabs>
          <w:tab w:leader="none" w:pos="1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reported owner-occupied at origination in each real estate loan category.</w:t>
      </w:r>
    </w:p>
    <w:p>
      <w:pPr>
        <w:spacing w:after="0" w:line="3" w:lineRule="exact"/>
        <w:rPr>
          <w:rFonts w:ascii="Times New Roman" w:cs="Times New Roman" w:eastAsia="Times New Roman" w:hAnsi="Times New Roman"/>
          <w:sz w:val="14"/>
          <w:szCs w:val="14"/>
          <w:color w:val="auto"/>
        </w:rPr>
      </w:pPr>
    </w:p>
    <w:p>
      <w:pPr>
        <w:ind w:left="1320" w:right="180" w:hanging="470"/>
        <w:spacing w:after="0" w:line="221" w:lineRule="auto"/>
        <w:tabs>
          <w:tab w:leader="none" w:pos="1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loans secured by farmland included $121.4 million for loans secured by dairy &amp; livestock land and $376.8 million for loans secured by agricultural land at March 31, 2024.</w:t>
      </w:r>
    </w:p>
    <w:p>
      <w:pPr>
        <w:ind w:left="1320" w:hanging="470"/>
        <w:spacing w:after="0"/>
        <w:tabs>
          <w:tab w:leader="none" w:pos="1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loans consist of a variety of loan types, none of which exceeded 2.0% of total commercial real estate loans at March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on nonperforming assets as of the dates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2"/>
          </w:tcPr>
          <w:p>
            <w:pPr>
              <w:jc w:val="right"/>
              <w:ind w:right="60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9"/>
                <w:szCs w:val="19"/>
                <w:color w:val="auto"/>
              </w:rPr>
            </w:pPr>
          </w:p>
        </w:tc>
        <w:tc>
          <w:tcPr>
            <w:tcW w:w="18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1"/>
        </w:trPr>
        <w:tc>
          <w:tcPr>
            <w:tcW w:w="7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w w:val="72"/>
              </w:rPr>
              <w:t>in</w:t>
            </w:r>
          </w:p>
        </w:tc>
        <w:tc>
          <w:tcPr>
            <w:tcW w:w="1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40" w:type="dxa"/>
            <w:vAlign w:val="bottom"/>
            <w:gridSpan w:val="2"/>
          </w:tcPr>
          <w:p>
            <w:pPr>
              <w:spacing w:after="0"/>
              <w:rPr>
                <w:sz w:val="19"/>
                <w:szCs w:val="19"/>
                <w:color w:val="auto"/>
              </w:rPr>
            </w:pPr>
          </w:p>
        </w:tc>
      </w:tr>
      <w:tr>
        <w:trPr>
          <w:trHeight w:val="238"/>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past due 90 days or more and still accruing interest</w:t>
            </w:r>
          </w:p>
        </w:tc>
        <w:tc>
          <w:tcPr>
            <w:tcW w:w="260" w:type="dxa"/>
            <w:vAlign w:val="bottom"/>
          </w:tcPr>
          <w:p>
            <w:pPr>
              <w:spacing w:after="0"/>
              <w:rPr>
                <w:sz w:val="18"/>
                <w:szCs w:val="18"/>
                <w:color w:val="auto"/>
              </w:rPr>
            </w:pPr>
          </w:p>
        </w:tc>
        <w:tc>
          <w:tcPr>
            <w:tcW w:w="1900" w:type="dxa"/>
            <w:vAlign w:val="bottom"/>
            <w:gridSpan w:val="2"/>
          </w:tcPr>
          <w:p>
            <w:pPr>
              <w:jc w:val="right"/>
              <w:ind w:right="22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r>
      <w:tr>
        <w:trPr>
          <w:trHeight w:val="24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Nonperforming modified loans to borrowers experiencing financial difficulty</w:t>
            </w:r>
          </w:p>
        </w:tc>
        <w:tc>
          <w:tcPr>
            <w:tcW w:w="26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22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09"/>
        </w:trPr>
        <w:tc>
          <w:tcPr>
            <w:tcW w:w="7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Total nonperforming loans</w:t>
            </w:r>
          </w:p>
        </w:tc>
        <w:tc>
          <w:tcPr>
            <w:tcW w:w="2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13,810</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100" w:type="dxa"/>
            <w:vAlign w:val="bottom"/>
            <w:tcBorders>
              <w:top w:val="single" w:sz="8" w:color="CFF0FC"/>
            </w:tcBorders>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OREO, net</w:t>
            </w:r>
          </w:p>
        </w:tc>
        <w:tc>
          <w:tcPr>
            <w:tcW w:w="26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26"/>
        </w:trPr>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nonperforming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14,457</w:t>
            </w: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21,302</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Modified loans to borrowers experiencing financial difficulty</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10,765</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9,460</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412"/>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nonperforming loans and performing modified loans to borrowers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experiencing financial difficulty</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24,575</w:t>
            </w:r>
          </w:p>
        </w:tc>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51"/>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loans and performing modified loans to</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borrowers experiencing financial difficulty to total loans, at amortized cost</w:t>
            </w:r>
          </w:p>
        </w:tc>
        <w:tc>
          <w:tcPr>
            <w:tcW w:w="260" w:type="dxa"/>
            <w:vAlign w:val="bottom"/>
          </w:tcPr>
          <w:p>
            <w:pPr>
              <w:spacing w:after="0"/>
              <w:rPr>
                <w:sz w:val="18"/>
                <w:szCs w:val="18"/>
                <w:color w:val="auto"/>
              </w:rPr>
            </w:pPr>
          </w:p>
        </w:tc>
        <w:tc>
          <w:tcPr>
            <w:tcW w:w="190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0.28 %</w:t>
            </w:r>
          </w:p>
        </w:tc>
        <w:tc>
          <w:tcPr>
            <w:tcW w:w="18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0.35 %</w:t>
            </w:r>
          </w:p>
        </w:tc>
      </w:tr>
      <w:tr>
        <w:trPr>
          <w:trHeight w:val="451"/>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loans, at amortized cost,</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OREO</w:t>
            </w:r>
          </w:p>
        </w:tc>
        <w:tc>
          <w:tcPr>
            <w:tcW w:w="260" w:type="dxa"/>
            <w:vAlign w:val="bottom"/>
          </w:tcPr>
          <w:p>
            <w:pPr>
              <w:spacing w:after="0"/>
              <w:rPr>
                <w:sz w:val="18"/>
                <w:szCs w:val="18"/>
                <w:color w:val="auto"/>
              </w:rPr>
            </w:pPr>
          </w:p>
        </w:tc>
        <w:tc>
          <w:tcPr>
            <w:tcW w:w="190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0.16 %</w:t>
            </w:r>
          </w:p>
        </w:tc>
        <w:tc>
          <w:tcPr>
            <w:tcW w:w="18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0.24 %</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assets</w:t>
            </w:r>
          </w:p>
        </w:tc>
        <w:tc>
          <w:tcPr>
            <w:tcW w:w="260" w:type="dxa"/>
            <w:vAlign w:val="bottom"/>
          </w:tcPr>
          <w:p>
            <w:pPr>
              <w:spacing w:after="0"/>
              <w:rPr>
                <w:sz w:val="19"/>
                <w:szCs w:val="19"/>
                <w:color w:val="auto"/>
              </w:rPr>
            </w:pPr>
          </w:p>
        </w:tc>
        <w:tc>
          <w:tcPr>
            <w:tcW w:w="1900" w:type="dxa"/>
            <w:vAlign w:val="bottom"/>
            <w:gridSpan w:val="2"/>
          </w:tcPr>
          <w:p>
            <w:pPr>
              <w:jc w:val="right"/>
              <w:ind w:right="69"/>
              <w:spacing w:after="0"/>
              <w:rPr>
                <w:sz w:val="20"/>
                <w:szCs w:val="20"/>
                <w:color w:val="auto"/>
              </w:rPr>
            </w:pPr>
            <w:r>
              <w:rPr>
                <w:rFonts w:ascii="Times New Roman" w:cs="Times New Roman" w:eastAsia="Times New Roman" w:hAnsi="Times New Roman"/>
                <w:sz w:val="16"/>
                <w:szCs w:val="16"/>
                <w:color w:val="auto"/>
              </w:rPr>
              <w:t>0.09 %</w:t>
            </w:r>
          </w:p>
        </w:tc>
        <w:tc>
          <w:tcPr>
            <w:tcW w:w="18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2743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-2044065</wp:posOffset>
            </wp:positionV>
            <wp:extent cx="6858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-2044065</wp:posOffset>
            </wp:positionV>
            <wp:extent cx="6858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-1744345</wp:posOffset>
            </wp:positionV>
            <wp:extent cx="6858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-1744345</wp:posOffset>
            </wp:positionV>
            <wp:extent cx="6858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-1418590</wp:posOffset>
            </wp:positionV>
            <wp:extent cx="6858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-1401445</wp:posOffset>
            </wp:positionV>
            <wp:extent cx="6858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-1418590</wp:posOffset>
            </wp:positionV>
            <wp:extent cx="6858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-1401445</wp:posOffset>
            </wp:positionV>
            <wp:extent cx="6858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309" w:right="299" w:bottom="744"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 of Loans to Borrowers Experiencing Financial Difficulty</w:t>
      </w:r>
    </w:p>
    <w:p>
      <w:pPr>
        <w:spacing w:after="0" w:line="229" w:lineRule="exact"/>
        <w:rPr>
          <w:sz w:val="20"/>
          <w:szCs w:val="20"/>
          <w:color w:val="auto"/>
        </w:rPr>
      </w:pPr>
    </w:p>
    <w:p>
      <w:pPr>
        <w:ind w:right="400" w:firstLine="469"/>
        <w:spacing w:after="0" w:line="266" w:lineRule="auto"/>
        <w:rPr>
          <w:sz w:val="20"/>
          <w:szCs w:val="20"/>
          <w:color w:val="auto"/>
        </w:rPr>
      </w:pPr>
      <w:r>
        <w:rPr>
          <w:rFonts w:ascii="Times New Roman" w:cs="Times New Roman" w:eastAsia="Times New Roman" w:hAnsi="Times New Roman"/>
          <w:sz w:val="18"/>
          <w:szCs w:val="18"/>
          <w:color w:val="auto"/>
        </w:rPr>
        <w:t>The Company adopted Accounting Standards Update (“ASU”) 2022-02, Financial Instruments - Credit Losses (Topic 326) Troubled Debt Restructurings and Vintage Disclosures (“ASU 2022-02”) effective January 1, 2023. The amendments in ASU 2022-02 eliminated the recognition and measurement of TDRs and enhanced disclosures for loan modifications to borrowers experiencing financial difficulty.</w:t>
      </w:r>
    </w:p>
    <w:p>
      <w:pPr>
        <w:spacing w:after="0" w:line="176" w:lineRule="exact"/>
        <w:rPr>
          <w:sz w:val="20"/>
          <w:szCs w:val="20"/>
          <w:color w:val="auto"/>
        </w:rPr>
      </w:pPr>
    </w:p>
    <w:p>
      <w:pPr>
        <w:jc w:val="both"/>
        <w:ind w:right="380" w:firstLine="469"/>
        <w:spacing w:after="0" w:line="266" w:lineRule="auto"/>
        <w:rPr>
          <w:sz w:val="20"/>
          <w:szCs w:val="20"/>
          <w:color w:val="auto"/>
        </w:rPr>
      </w:pPr>
      <w:r>
        <w:rPr>
          <w:rFonts w:ascii="Times New Roman" w:cs="Times New Roman" w:eastAsia="Times New Roman" w:hAnsi="Times New Roman"/>
          <w:sz w:val="18"/>
          <w:szCs w:val="18"/>
          <w:color w:val="auto"/>
        </w:rPr>
        <w:t>There were three loans to borrowers experiencing financial difficulty that were modified during the three months ended March 31, 2024 with an amortized cost totaling $1.3 million as of March 31, 2024, including one dairy &amp; livestock and agribusiness loan of $962,000 and two commercial and industrial loans totaling $350,000.</w:t>
      </w:r>
    </w:p>
    <w:p>
      <w:pPr>
        <w:spacing w:after="0" w:line="176" w:lineRule="exact"/>
        <w:rPr>
          <w:sz w:val="20"/>
          <w:szCs w:val="20"/>
          <w:color w:val="auto"/>
        </w:rPr>
      </w:pPr>
    </w:p>
    <w:p>
      <w:pPr>
        <w:ind w:right="140" w:firstLine="464"/>
        <w:spacing w:after="0" w:line="282" w:lineRule="auto"/>
        <w:rPr>
          <w:sz w:val="20"/>
          <w:szCs w:val="20"/>
          <w:color w:val="auto"/>
        </w:rPr>
      </w:pPr>
      <w:r>
        <w:rPr>
          <w:rFonts w:ascii="Times New Roman" w:cs="Times New Roman" w:eastAsia="Times New Roman" w:hAnsi="Times New Roman"/>
          <w:sz w:val="18"/>
          <w:szCs w:val="18"/>
          <w:color w:val="auto"/>
        </w:rPr>
        <w:t>The table below reflects the amortized cost of loans by type made to borrowers experiencing financial difficulty that were modified as of March 31, 2024 and March 31, 2023, and the financial effect of those modifications.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Combination-Term Extension and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6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120" w:type="dxa"/>
            <w:vAlign w:val="bottom"/>
          </w:tcPr>
          <w:p>
            <w:pPr>
              <w:spacing w:after="0"/>
              <w:rPr>
                <w:sz w:val="21"/>
                <w:szCs w:val="21"/>
                <w:color w:val="auto"/>
              </w:rPr>
            </w:pPr>
          </w:p>
        </w:tc>
        <w:tc>
          <w:tcPr>
            <w:tcW w:w="308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Interest Rate Reduction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 Class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 Class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4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 Financing</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Financing</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340" w:type="dxa"/>
            <w:vAlign w:val="bottom"/>
          </w:tcPr>
          <w:p>
            <w:pPr>
              <w:spacing w:after="0"/>
              <w:rPr>
                <w:sz w:val="21"/>
                <w:szCs w:val="21"/>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2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30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280" w:type="dxa"/>
            <w:vAlign w:val="bottom"/>
          </w:tcPr>
          <w:p>
            <w:pPr>
              <w:spacing w:after="0"/>
              <w:rPr>
                <w:sz w:val="21"/>
                <w:szCs w:val="21"/>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0.03 %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8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0.07 %</w:t>
            </w: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0.03 %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financial effect of the loan modifications made to borrowers experiencing financial difficulty during the three months ended March 31, 2024.</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Loan Type</w:t>
            </w:r>
          </w:p>
        </w:tc>
        <w:tc>
          <w:tcPr>
            <w:tcW w:w="440" w:type="dxa"/>
            <w:vAlign w:val="bottom"/>
          </w:tcPr>
          <w:p>
            <w:pPr>
              <w:spacing w:after="0"/>
              <w:rPr>
                <w:sz w:val="21"/>
                <w:szCs w:val="21"/>
                <w:color w:val="auto"/>
              </w:rPr>
            </w:pPr>
          </w:p>
        </w:tc>
        <w:tc>
          <w:tcPr>
            <w:tcW w:w="60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Financial Effect</w:t>
            </w:r>
          </w:p>
        </w:tc>
      </w:tr>
      <w:tr>
        <w:trPr>
          <w:trHeight w:val="480"/>
        </w:trPr>
        <w:tc>
          <w:tcPr>
            <w:tcW w:w="4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Term Extension</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4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218"/>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440" w:type="dxa"/>
            <w:vAlign w:val="bottom"/>
            <w:shd w:val="clear" w:color="auto" w:fill="CFF0FC"/>
          </w:tcPr>
          <w:p>
            <w:pPr>
              <w:spacing w:after="0"/>
              <w:rPr>
                <w:sz w:val="18"/>
                <w:szCs w:val="18"/>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Added a weighted-average 1.3 years to the life of loans, which reduced monthly</w:t>
            </w:r>
          </w:p>
        </w:tc>
      </w:tr>
      <w:tr>
        <w:trPr>
          <w:trHeight w:val="248"/>
        </w:trPr>
        <w:tc>
          <w:tcPr>
            <w:tcW w:w="4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amounts for the borrowers.</w:t>
            </w:r>
          </w:p>
        </w:tc>
      </w:tr>
      <w:tr>
        <w:trPr>
          <w:trHeight w:val="21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Added a weighted-average 0.7 years to the life of loans, which reduced monthly</w:t>
            </w:r>
          </w:p>
        </w:tc>
      </w:tr>
      <w:tr>
        <w:trPr>
          <w:trHeight w:val="241"/>
        </w:trPr>
        <w:tc>
          <w:tcPr>
            <w:tcW w:w="4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amounts for the borrowers.</w:t>
            </w:r>
          </w:p>
        </w:tc>
      </w:tr>
      <w:tr>
        <w:trPr>
          <w:trHeight w:val="218"/>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440" w:type="dxa"/>
            <w:vAlign w:val="bottom"/>
            <w:shd w:val="clear" w:color="auto" w:fill="CFF0FC"/>
          </w:tcPr>
          <w:p>
            <w:pPr>
              <w:spacing w:after="0"/>
              <w:rPr>
                <w:sz w:val="18"/>
                <w:szCs w:val="18"/>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Added a weighted-average 0.6 years to the life of loans, which reduced monthly</w:t>
            </w:r>
          </w:p>
        </w:tc>
      </w:tr>
      <w:tr>
        <w:trPr>
          <w:trHeight w:val="248"/>
        </w:trPr>
        <w:tc>
          <w:tcPr>
            <w:tcW w:w="4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amounts for the borrowers.</w:t>
            </w:r>
          </w:p>
        </w:tc>
      </w:tr>
      <w:tr>
        <w:trPr>
          <w:trHeight w:val="480"/>
        </w:trPr>
        <w:tc>
          <w:tcPr>
            <w:tcW w:w="4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Term Extension</w:t>
            </w: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44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218"/>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440" w:type="dxa"/>
            <w:vAlign w:val="bottom"/>
            <w:shd w:val="clear" w:color="auto" w:fill="CFF0FC"/>
          </w:tcPr>
          <w:p>
            <w:pPr>
              <w:spacing w:after="0"/>
              <w:rPr>
                <w:sz w:val="18"/>
                <w:szCs w:val="18"/>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Added a weighted-average 1.1 years to the life of loans, which reduced monthly</w:t>
            </w:r>
          </w:p>
        </w:tc>
      </w:tr>
      <w:tr>
        <w:trPr>
          <w:trHeight w:val="248"/>
        </w:trPr>
        <w:tc>
          <w:tcPr>
            <w:tcW w:w="4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amounts for the borrowers.</w:t>
            </w:r>
          </w:p>
        </w:tc>
      </w:tr>
      <w:tr>
        <w:trPr>
          <w:trHeight w:val="21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4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Added a weighted-average 0.8 years to the life of loans, which reduced monthly</w:t>
            </w:r>
          </w:p>
        </w:tc>
      </w:tr>
      <w:tr>
        <w:trPr>
          <w:trHeight w:val="241"/>
        </w:trPr>
        <w:tc>
          <w:tcPr>
            <w:tcW w:w="4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amounts for the borrowers.</w:t>
            </w:r>
          </w:p>
        </w:tc>
      </w:tr>
      <w:tr>
        <w:trPr>
          <w:trHeight w:val="218"/>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440" w:type="dxa"/>
            <w:vAlign w:val="bottom"/>
            <w:shd w:val="clear" w:color="auto" w:fill="CFF0FC"/>
          </w:tcPr>
          <w:p>
            <w:pPr>
              <w:spacing w:after="0"/>
              <w:rPr>
                <w:sz w:val="18"/>
                <w:szCs w:val="18"/>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Added a weighted-average 1.2 years to the life of loans, which reduced monthly</w:t>
            </w:r>
          </w:p>
        </w:tc>
      </w:tr>
      <w:tr>
        <w:trPr>
          <w:trHeight w:val="248"/>
        </w:trPr>
        <w:tc>
          <w:tcPr>
            <w:tcW w:w="4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amounts for the borrowers.</w:t>
            </w:r>
          </w:p>
        </w:tc>
      </w:tr>
      <w:tr>
        <w:trPr>
          <w:trHeight w:val="432"/>
        </w:trPr>
        <w:tc>
          <w:tcPr>
            <w:tcW w:w="4800" w:type="dxa"/>
            <w:vAlign w:val="bottom"/>
          </w:tcPr>
          <w:p>
            <w:pPr>
              <w:spacing w:after="0"/>
              <w:rPr>
                <w:sz w:val="24"/>
                <w:szCs w:val="24"/>
                <w:color w:val="auto"/>
              </w:rPr>
            </w:pPr>
          </w:p>
        </w:tc>
        <w:tc>
          <w:tcPr>
            <w:tcW w:w="644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56</w:t>
            </w:r>
          </w:p>
        </w:tc>
      </w:tr>
      <w:tr>
        <w:trPr>
          <w:trHeight w:val="763"/>
        </w:trPr>
        <w:tc>
          <w:tcPr>
            <w:tcW w:w="4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ind w:right="360" w:firstLine="464"/>
        <w:spacing w:after="0" w:line="266" w:lineRule="auto"/>
        <w:rPr>
          <w:sz w:val="20"/>
          <w:szCs w:val="20"/>
          <w:color w:val="auto"/>
        </w:rPr>
      </w:pPr>
      <w:r>
        <w:rPr>
          <w:rFonts w:ascii="Times New Roman" w:cs="Times New Roman" w:eastAsia="Times New Roman" w:hAnsi="Times New Roman"/>
          <w:sz w:val="18"/>
          <w:szCs w:val="18"/>
          <w:color w:val="auto"/>
        </w:rPr>
        <w:t>As of March 31, 2024 and March 31, 2023, the Company did not have any loans made to borrowers experiencing financial difficulty that were modified during the first quarter of 2024 and 2023 that subsequently defaulted. Payment default is defined as movement to nonaccrual (nonperforming) status, foreclosure or charge-off, whichever occurs first.</w:t>
      </w:r>
    </w:p>
    <w:p>
      <w:pPr>
        <w:spacing w:after="0" w:line="176" w:lineRule="exact"/>
        <w:rPr>
          <w:sz w:val="20"/>
          <w:szCs w:val="20"/>
          <w:color w:val="auto"/>
        </w:rPr>
      </w:pPr>
    </w:p>
    <w:p>
      <w:pPr>
        <w:ind w:right="24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at amortized cost (including nonaccrual loans), by type of loans, made to borrowers experiencing financial difficulty as of March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Status (amortized cost basis)</w:t>
            </w: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320" w:type="dxa"/>
            <w:vAlign w:val="bottom"/>
          </w:tcPr>
          <w:p>
            <w:pPr>
              <w:spacing w:after="0"/>
              <w:rPr>
                <w:sz w:val="18"/>
                <w:szCs w:val="18"/>
                <w:color w:val="auto"/>
              </w:rPr>
            </w:pP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100" w:type="dxa"/>
            <w:vAlign w:val="bottom"/>
          </w:tcPr>
          <w:p>
            <w:pPr>
              <w:spacing w:after="0"/>
              <w:rPr>
                <w:sz w:val="18"/>
                <w:szCs w:val="18"/>
                <w:color w:val="auto"/>
              </w:rPr>
            </w:pPr>
          </w:p>
        </w:tc>
      </w:tr>
      <w:tr>
        <w:trPr>
          <w:trHeight w:val="245"/>
        </w:trPr>
        <w:tc>
          <w:tcPr>
            <w:tcW w:w="4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320" w:type="dxa"/>
            <w:vAlign w:val="bottom"/>
          </w:tcPr>
          <w:p>
            <w:pPr>
              <w:spacing w:after="0"/>
              <w:rPr>
                <w:sz w:val="21"/>
                <w:szCs w:val="21"/>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Past Due</w:t>
            </w:r>
          </w:p>
        </w:tc>
      </w:tr>
      <w:tr>
        <w:trPr>
          <w:trHeight w:val="240"/>
        </w:trPr>
        <w:tc>
          <w:tcPr>
            <w:tcW w:w="45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5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45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3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3"/>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6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5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3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80" w:type="dxa"/>
            <w:vAlign w:val="bottom"/>
            <w:gridSpan w:val="3"/>
            <w:shd w:val="clear" w:color="auto" w:fill="CFF0FC"/>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5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20" w:type="dxa"/>
            <w:vAlign w:val="bottom"/>
            <w:tcBorders>
              <w:top w:val="single" w:sz="8" w:color="auto"/>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469"/>
        <w:spacing w:after="0" w:line="266" w:lineRule="auto"/>
        <w:rPr>
          <w:sz w:val="20"/>
          <w:szCs w:val="20"/>
          <w:color w:val="auto"/>
        </w:rPr>
      </w:pPr>
      <w:r>
        <w:rPr>
          <w:rFonts w:ascii="Times New Roman" w:cs="Times New Roman" w:eastAsia="Times New Roman" w:hAnsi="Times New Roman"/>
          <w:sz w:val="18"/>
          <w:szCs w:val="18"/>
          <w:color w:val="auto"/>
        </w:rPr>
        <w:t>At March 31, 2024 and December 31, 2023, there was no ACL allocated to modified loans to borrowers experiencing financial difficulty. Impairment amounts identified are typically charged off against the allowance at the time the loan is considered uncollectible. There were no charge-offs on loans to borrowers experiencing financial difficulty for the three months ended March 31, 2024 and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 and Delinquencies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provides trends in our nonperforming assets and delinquencies as of the dates presented.</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w w:val="96"/>
              </w:rPr>
              <w:t>(Dollars in thousands)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Borders>
              <w:left w:val="single" w:sz="8" w:color="CFF0FC"/>
            </w:tcBorders>
            <w:gridSpan w:val="4"/>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Nonperforming loans:</w:t>
            </w: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 w:type="dxa"/>
            <w:vAlign w:val="bottom"/>
            <w:tcBorders>
              <w:left w:val="single" w:sz="8" w:color="CFF0FC"/>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3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70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Commercial real estate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10,661</w:t>
            </w:r>
          </w:p>
        </w:tc>
        <w:tc>
          <w:tcPr>
            <w:tcW w:w="3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15,440</w:t>
            </w:r>
          </w:p>
        </w:tc>
        <w:tc>
          <w:tcPr>
            <w:tcW w:w="22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26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Construction</w:t>
            </w:r>
          </w:p>
        </w:tc>
        <w:tc>
          <w:tcPr>
            <w:tcW w:w="2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4,672</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SFR mortgage</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00" w:type="dxa"/>
            <w:vAlign w:val="bottom"/>
            <w:tcBorders>
              <w:left w:val="single" w:sz="8" w:color="CFF0FC"/>
              <w:bottom w:val="single" w:sz="8" w:color="CFF0FC"/>
            </w:tcBorders>
            <w:gridSpan w:val="4"/>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13,810</w:t>
            </w:r>
          </w:p>
        </w:tc>
        <w:tc>
          <w:tcPr>
            <w:tcW w:w="3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21,302</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9,963</w:t>
            </w: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6,454</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6,175</w:t>
            </w: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7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2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0.16 %</w:t>
            </w:r>
          </w:p>
        </w:tc>
        <w:tc>
          <w:tcPr>
            <w:tcW w:w="14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0.24 %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0.11 %</w:t>
            </w:r>
          </w:p>
        </w:tc>
        <w:tc>
          <w:tcPr>
            <w:tcW w:w="2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0.07 %</w:t>
            </w:r>
          </w:p>
        </w:tc>
        <w:tc>
          <w:tcPr>
            <w:tcW w:w="20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0.07 %</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tcBorders>
              <w:left w:val="single" w:sz="8" w:color="CFF0FC"/>
            </w:tcBorders>
            <w:gridSpan w:val="4"/>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Past due 30-89 days:</w:t>
            </w: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00" w:type="dxa"/>
            <w:vAlign w:val="bottom"/>
            <w:tcBorders>
              <w:left w:val="single" w:sz="8" w:color="CFF0FC"/>
            </w:tcBorders>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3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70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Commercial real estate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19,781</w:t>
            </w:r>
          </w:p>
        </w:tc>
        <w:tc>
          <w:tcPr>
            <w:tcW w:w="3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26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Construction</w:t>
            </w:r>
          </w:p>
        </w:tc>
        <w:tc>
          <w:tcPr>
            <w:tcW w:w="2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0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SFR mortgage</w:t>
            </w:r>
          </w:p>
        </w:tc>
        <w:tc>
          <w:tcPr>
            <w:tcW w:w="2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00" w:type="dxa"/>
            <w:vAlign w:val="bottom"/>
            <w:tcBorders>
              <w:left w:val="single" w:sz="8" w:color="CFF0FC"/>
              <w:bottom w:val="single" w:sz="8" w:color="CFF0FC"/>
            </w:tcBorders>
            <w:gridSpan w:val="4"/>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20,195</w:t>
            </w:r>
          </w:p>
        </w:tc>
        <w:tc>
          <w:tcPr>
            <w:tcW w:w="3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639</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136</w:t>
            </w: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1,087</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1,183</w:t>
            </w: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7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2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0.23 %</w:t>
            </w:r>
          </w:p>
        </w:tc>
        <w:tc>
          <w:tcPr>
            <w:tcW w:w="14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0.01 %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0.00 %</w:t>
            </w:r>
          </w:p>
        </w:tc>
        <w:tc>
          <w:tcPr>
            <w:tcW w:w="2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0.01 %</w:t>
            </w:r>
          </w:p>
        </w:tc>
        <w:tc>
          <w:tcPr>
            <w:tcW w:w="20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0.01 %</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 w:type="dxa"/>
            <w:vAlign w:val="bottom"/>
            <w:tcBorders>
              <w:left w:val="single" w:sz="8" w:color="CFF0FC"/>
              <w:bottom w:val="single" w:sz="8" w:color="auto"/>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OREO:</w:t>
            </w:r>
          </w:p>
        </w:tc>
        <w:tc>
          <w:tcPr>
            <w:tcW w:w="3200" w:type="dxa"/>
            <w:vAlign w:val="bottom"/>
            <w:tcBorders>
              <w:bottom w:val="single" w:sz="8" w:color="CFF0FC"/>
            </w:tcBorders>
            <w:gridSpan w:val="3"/>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0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Commercial real estate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Borders>
              <w:lef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SBA</w:t>
            </w:r>
          </w:p>
        </w:tc>
        <w:tc>
          <w:tcPr>
            <w:tcW w:w="20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Borders>
              <w:left w:val="single" w:sz="8" w:color="CFF0FC"/>
              <w:bottom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SFR mortgage</w:t>
            </w: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647</w:t>
            </w:r>
          </w:p>
        </w:tc>
        <w:tc>
          <w:tcPr>
            <w:tcW w:w="3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00" w:type="dxa"/>
            <w:vAlign w:val="bottom"/>
            <w:tcBorders>
              <w:left w:val="single" w:sz="8" w:color="CFF0FC"/>
            </w:tcBorders>
            <w:shd w:val="clear" w:color="auto" w:fill="CFF0FC"/>
          </w:tcPr>
          <w:p>
            <w:pPr>
              <w:spacing w:after="0"/>
              <w:rPr>
                <w:sz w:val="11"/>
                <w:szCs w:val="11"/>
                <w:color w:val="auto"/>
              </w:rPr>
            </w:pPr>
          </w:p>
        </w:tc>
        <w:tc>
          <w:tcPr>
            <w:tcW w:w="3200" w:type="dxa"/>
            <w:vAlign w:val="bottom"/>
            <w:gridSpan w:val="3"/>
            <w:shd w:val="clear" w:color="auto" w:fill="CFF0FC"/>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Total nonperforming, past due,</w:t>
            </w: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34,652</w:t>
            </w:r>
          </w:p>
        </w:tc>
        <w:tc>
          <w:tcPr>
            <w:tcW w:w="3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21,941</w:t>
            </w:r>
          </w:p>
        </w:tc>
        <w:tc>
          <w:tcPr>
            <w:tcW w:w="22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10,099</w:t>
            </w: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7,541</w:t>
            </w:r>
          </w:p>
        </w:tc>
        <w:tc>
          <w:tcPr>
            <w:tcW w:w="26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7,358</w:t>
            </w:r>
          </w:p>
        </w:tc>
        <w:tc>
          <w:tcPr>
            <w:tcW w:w="10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00" w:type="dxa"/>
            <w:vAlign w:val="bottom"/>
            <w:tcBorders>
              <w:left w:val="single" w:sz="8" w:color="CFF0FC"/>
              <w:bottom w:val="single" w:sz="8" w:color="CFF0FC"/>
            </w:tcBorders>
            <w:shd w:val="clear" w:color="auto" w:fill="CFF0FC"/>
          </w:tcPr>
          <w:p>
            <w:pPr>
              <w:spacing w:after="0"/>
              <w:rPr>
                <w:sz w:val="16"/>
                <w:szCs w:val="16"/>
                <w:color w:val="auto"/>
              </w:rPr>
            </w:pPr>
          </w:p>
        </w:tc>
        <w:tc>
          <w:tcPr>
            <w:tcW w:w="3200" w:type="dxa"/>
            <w:vAlign w:val="bottom"/>
            <w:tcBorders>
              <w:bottom w:val="single" w:sz="8" w:color="CFF0FC"/>
            </w:tcBorders>
            <w:gridSpan w:val="3"/>
            <w:shd w:val="clear" w:color="auto" w:fill="CFF0FC"/>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and OREO</w:t>
            </w: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1040" w:type="dxa"/>
            <w:vAlign w:val="bottom"/>
            <w:tcBorders>
              <w:bottom w:val="single" w:sz="8" w:color="auto"/>
            </w:tcBorders>
            <w:vMerge w:val="continue"/>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vMerge w:val="continue"/>
            <w:shd w:val="clear" w:color="auto" w:fill="CFF0FC"/>
          </w:tcPr>
          <w:p>
            <w:pPr>
              <w:spacing w:after="0"/>
              <w:rPr>
                <w:sz w:val="16"/>
                <w:szCs w:val="16"/>
                <w:color w:val="auto"/>
              </w:rPr>
            </w:pPr>
          </w:p>
        </w:tc>
        <w:tc>
          <w:tcPr>
            <w:tcW w:w="11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vMerge w:val="continue"/>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112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104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3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20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0.40 %</w:t>
            </w:r>
          </w:p>
        </w:tc>
        <w:tc>
          <w:tcPr>
            <w:tcW w:w="14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0.25 %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0.11 %</w:t>
            </w:r>
          </w:p>
        </w:tc>
        <w:tc>
          <w:tcPr>
            <w:tcW w:w="22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0.08 %</w:t>
            </w: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0.08 %</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00" w:type="dxa"/>
            <w:vAlign w:val="bottom"/>
            <w:tcBorders>
              <w:left w:val="single" w:sz="8" w:color="CFF0FC"/>
              <w:bottom w:val="single" w:sz="8" w:color="CFF0FC"/>
            </w:tcBorders>
            <w:gridSpan w:val="4"/>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Classified Loans</w:t>
            </w: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103,080</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102,197</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92,246</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77,834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66,977</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-2733675</wp:posOffset>
            </wp:positionV>
            <wp:extent cx="7683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-2733675</wp:posOffset>
            </wp:positionV>
            <wp:extent cx="7747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-2733675</wp:posOffset>
            </wp:positionV>
            <wp:extent cx="7747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-2733675</wp:posOffset>
            </wp:positionV>
            <wp:extent cx="685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-1490980</wp:posOffset>
            </wp:positionV>
            <wp:extent cx="7683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-1490980</wp:posOffset>
            </wp:positionV>
            <wp:extent cx="7747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-1490980</wp:posOffset>
            </wp:positionV>
            <wp:extent cx="7747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-1490980</wp:posOffset>
            </wp:positionV>
            <wp:extent cx="6858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-702310</wp:posOffset>
            </wp:positionV>
            <wp:extent cx="7683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-702310</wp:posOffset>
            </wp:positionV>
            <wp:extent cx="7747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-702310</wp:posOffset>
            </wp:positionV>
            <wp:extent cx="7747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-702310</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-393700</wp:posOffset>
            </wp:positionV>
            <wp:extent cx="7683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-376555</wp:posOffset>
            </wp:positionV>
            <wp:extent cx="7683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-393700</wp:posOffset>
            </wp:positionV>
            <wp:extent cx="7747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-376555</wp:posOffset>
            </wp:positionV>
            <wp:extent cx="7747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-393700</wp:posOffset>
            </wp:positionV>
            <wp:extent cx="7747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-376555</wp:posOffset>
            </wp:positionV>
            <wp:extent cx="7747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-393700</wp:posOffset>
            </wp:positionV>
            <wp:extent cx="6858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-376555</wp:posOffset>
            </wp:positionV>
            <wp:extent cx="6858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-25400</wp:posOffset>
            </wp:positionV>
            <wp:extent cx="7683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-8255</wp:posOffset>
            </wp:positionV>
            <wp:extent cx="7683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7747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-8255</wp:posOffset>
            </wp:positionV>
            <wp:extent cx="7747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7747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7747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 million of nonaccrual loans past due 30-89 days at September 30, 2023.</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309" w:right="299" w:bottom="1440" w:gutter="0" w:footer="0" w:header="0"/>
        </w:sectPr>
      </w:pPr>
    </w:p>
    <w:bookmarkStart w:id="56" w:name="page57"/>
    <w:bookmarkEnd w:id="56"/>
    <w:p>
      <w:pPr>
        <w:ind w:right="80" w:firstLine="469"/>
        <w:spacing w:after="0" w:line="258" w:lineRule="auto"/>
        <w:rPr>
          <w:sz w:val="20"/>
          <w:szCs w:val="20"/>
          <w:color w:val="auto"/>
        </w:rPr>
      </w:pPr>
      <w:r>
        <w:rPr>
          <w:rFonts w:ascii="Times New Roman" w:cs="Times New Roman" w:eastAsia="Times New Roman" w:hAnsi="Times New Roman"/>
          <w:sz w:val="18"/>
          <w:szCs w:val="18"/>
          <w:color w:val="auto"/>
        </w:rPr>
        <w:t>Nonperforming loans, defined as nonaccrual loans, nonperforming modified/TDR loans and loans past due 90 days or more and still accruing interest, were $13.8 million at March 31, 2024, or 0.16% of total loans. This compares to nonperforming loans of $21.3 million, or 0.24% of total loans, at December 31, 2023 and $6.2 million, or 0.07% of total loans, at March 31, 2023. The $7.5 million decrease in nonperforming loans from December 31, 2023 was primarily due to the payoff of two nonperforming commercial real estate loans totaling $2.5 million, a $2.3 million charge-off of one nonperforming commercial real estate loan, and the charge-off of one nonperforming commercial industrial loan totaling $1.1 million.</w:t>
      </w:r>
    </w:p>
    <w:p>
      <w:pPr>
        <w:spacing w:after="0" w:line="183" w:lineRule="exact"/>
        <w:rPr>
          <w:sz w:val="20"/>
          <w:szCs w:val="20"/>
          <w:color w:val="auto"/>
        </w:rPr>
      </w:pPr>
    </w:p>
    <w:p>
      <w:pPr>
        <w:ind w:right="160" w:firstLine="469"/>
        <w:spacing w:after="0" w:line="266" w:lineRule="auto"/>
        <w:rPr>
          <w:sz w:val="20"/>
          <w:szCs w:val="20"/>
          <w:color w:val="auto"/>
        </w:rPr>
      </w:pPr>
      <w:r>
        <w:rPr>
          <w:rFonts w:ascii="Times New Roman" w:cs="Times New Roman" w:eastAsia="Times New Roman" w:hAnsi="Times New Roman"/>
          <w:sz w:val="18"/>
          <w:szCs w:val="18"/>
          <w:color w:val="auto"/>
        </w:rPr>
        <w:t>Classified loans are loans that are graded “substandard” or worse. Classified loans increased $883,000 quarter-over-quarter, primarily due to increases of $2.1 million in classified construction loans and $484,000 commercial real estate loans, partially offset by a $1.7 million decline in classified commercial and industrial loans primarily due the charge-off of one nonperforming commercial and industrial loan.</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March 31, 2024, we had one OREO property totaling $647,000. At December 31, 2023 and March 31, 2023, we had no OREO properties.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20" w:firstLine="469"/>
        <w:spacing w:after="0" w:line="253" w:lineRule="auto"/>
        <w:rPr>
          <w:sz w:val="20"/>
          <w:szCs w:val="20"/>
          <w:color w:val="auto"/>
        </w:rPr>
      </w:pPr>
      <w:r>
        <w:rPr>
          <w:rFonts w:ascii="Times New Roman" w:cs="Times New Roman" w:eastAsia="Times New Roman" w:hAnsi="Times New Roman"/>
          <w:sz w:val="18"/>
          <w:szCs w:val="18"/>
          <w:color w:val="auto"/>
        </w:rPr>
        <w:t>The allowance for credit losses totaled $82.8 million as of March 31, 2024, compared to $86.8 million as of December 31, 2023 and $86.5 million as of March 31, 2023. Our allowance for credit losses at March 31, 2024 was 0.94% of total loans. This compares to 0.98% and 0.97% at December 31, 2023 and March 31, 2023, respectively. The decrease in our allowance for credit losses from December 31, 2023 was due to net charge-offs of $4.0 million reflected in the first quarter of 2024, primarily due to two borrowers in which we previously established specific loan loss reserves in 2023. Our allowance for credit losses that is established on a collective pool basis for performing loans grew from $80.9 million at December 31, 2023 to $82.8 million at March 31, 2024. The changes in our allowance over the last few quarters have been primarily due to changes in our economic forecast, as well as reserves established on specific loans. There was no provision for credit losses recorded in the first quarter of 2024, as the $1.9 million increase in the allowance for those loans evaluated on a collective pooled basis, was offset by the net impact from the $5.9 million reduction in specific reserves and the $4 million of net charge-offs. For the quarter ended March 31, 2023, we recorded $1.5 million in provision for credit losses. Net charge-offs were $77,000 for the quarter ended March 31, 2023.</w:t>
      </w:r>
    </w:p>
    <w:p>
      <w:pPr>
        <w:spacing w:after="0" w:line="194" w:lineRule="exact"/>
        <w:rPr>
          <w:sz w:val="20"/>
          <w:szCs w:val="20"/>
          <w:color w:val="auto"/>
        </w:rPr>
      </w:pPr>
    </w:p>
    <w:p>
      <w:pPr>
        <w:ind w:firstLine="469"/>
        <w:spacing w:after="0" w:line="252" w:lineRule="auto"/>
        <w:rPr>
          <w:sz w:val="20"/>
          <w:szCs w:val="20"/>
          <w:color w:val="auto"/>
        </w:rPr>
      </w:pPr>
      <w:r>
        <w:rPr>
          <w:rFonts w:ascii="Times New Roman" w:cs="Times New Roman" w:eastAsia="Times New Roman" w:hAnsi="Times New Roman"/>
          <w:sz w:val="18"/>
          <w:szCs w:val="18"/>
          <w:color w:val="auto"/>
        </w:rPr>
        <w:t>The allowance for credit losses as of March 31, 2024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Original Loan to Value ratios ("OLTV"), origination year, loan seasoning, and macroeconomic variables that include Real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Paycheck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96" w:lineRule="exact"/>
        <w:rPr>
          <w:sz w:val="20"/>
          <w:szCs w:val="20"/>
          <w:color w:val="auto"/>
        </w:rPr>
      </w:pPr>
    </w:p>
    <w:p>
      <w:pPr>
        <w:ind w:right="40" w:firstLine="469"/>
        <w:spacing w:after="0" w:line="256" w:lineRule="auto"/>
        <w:rPr>
          <w:sz w:val="20"/>
          <w:szCs w:val="20"/>
          <w:color w:val="auto"/>
        </w:rPr>
      </w:pPr>
      <w:r>
        <w:rPr>
          <w:rFonts w:ascii="Times New Roman" w:cs="Times New Roman" w:eastAsia="Times New Roman" w:hAnsi="Times New Roman"/>
          <w:sz w:val="18"/>
          <w:szCs w:val="18"/>
          <w:color w:val="auto"/>
        </w:rPr>
        <w:t>Our economic forecast continues to be a blend of multiple forecasts produced by Moody’s. The baseline forecast continues to represent the largest weighting in our multi-weighted forecast scenario, with downside risks weighted among multiple forecasts. As of March 31, 2024, the resulting weighted forecast resulted in Real GDP growth declining in the third and fourth quarters of 2024. Real GDP growth is forecasted to be below 2% for 2025, before returning to growth between 2% and 2.5% in 2026. Commercial real estate values are forecasted to continue their decline until reaching their lowest level in the third quarter 2024. Unemployment is forecasted to rise in 2024, peaking around 6% in the first quarter of 2025. The unemployment rate is forecasted to stay elevated through 2026.</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ind w:right="280" w:firstLine="469"/>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charge-offs and recoveries by type, the provision for credit losses on loans, and the resulting allowance for credit losses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As of and For the</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3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50"/>
        </w:trPr>
        <w:tc>
          <w:tcPr>
            <w:tcW w:w="76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gridSpan w:val="3"/>
          </w:tcPr>
          <w:p>
            <w:pPr>
              <w:jc w:val="center"/>
              <w:ind w:left="55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86,842</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(2,258 )</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3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SBA</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(90 )</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(1,917 )</w:t>
            </w:r>
          </w:p>
        </w:tc>
        <w:tc>
          <w:tcPr>
            <w:tcW w:w="5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SFR mortgage</w:t>
            </w:r>
          </w:p>
        </w:tc>
        <w:tc>
          <w:tcPr>
            <w:tcW w:w="3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(2 )</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charge-offs</w:t>
            </w:r>
          </w:p>
        </w:tc>
        <w:tc>
          <w:tcPr>
            <w:tcW w:w="3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(4,267 )</w:t>
            </w:r>
          </w:p>
        </w:tc>
        <w:tc>
          <w:tcPr>
            <w:tcW w:w="5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36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SBA</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SFR mortgage</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6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recoveries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36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(4,025 )</w:t>
            </w:r>
          </w:p>
        </w:tc>
        <w:tc>
          <w:tcPr>
            <w:tcW w:w="5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(recapture of) credit losses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82,817</w:t>
            </w:r>
          </w:p>
        </w:tc>
        <w:tc>
          <w:tcPr>
            <w:tcW w:w="32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86,540</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Summary of reserve for unfunded loan commitments: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at beginning of period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Provision for unfunded loan commitments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to total unfunded loan</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commitments</w:t>
            </w:r>
          </w:p>
        </w:tc>
        <w:tc>
          <w:tcPr>
            <w:tcW w:w="36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0.40 %</w:t>
            </w:r>
          </w:p>
        </w:tc>
        <w:tc>
          <w:tcPr>
            <w:tcW w:w="58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0.46 %</w:t>
            </w:r>
          </w:p>
        </w:tc>
        <w:tc>
          <w:tcPr>
            <w:tcW w:w="0" w:type="dxa"/>
            <w:vAlign w:val="bottom"/>
          </w:tcPr>
          <w:p>
            <w:pPr>
              <w:spacing w:after="0"/>
              <w:rPr>
                <w:sz w:val="1"/>
                <w:szCs w:val="1"/>
                <w:color w:val="auto"/>
              </w:rPr>
            </w:pPr>
          </w:p>
        </w:tc>
      </w:tr>
      <w:tr>
        <w:trPr>
          <w:trHeight w:val="49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total loans at end of period (1)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8,770,713</w:t>
            </w:r>
          </w:p>
        </w:tc>
        <w:tc>
          <w:tcPr>
            <w:tcW w:w="32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8,942,489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total loans outstanding (1)</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8,824,579</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8,963,323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average total loans</w:t>
            </w:r>
          </w:p>
        </w:tc>
        <w:tc>
          <w:tcPr>
            <w:tcW w:w="360" w:type="dxa"/>
            <w:vAlign w:val="bottom"/>
          </w:tcPr>
          <w:p>
            <w:pPr>
              <w:spacing w:after="0"/>
              <w:rPr>
                <w:sz w:val="24"/>
                <w:szCs w:val="24"/>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58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total loans at end of period</w:t>
            </w:r>
          </w:p>
        </w:tc>
        <w:tc>
          <w:tcPr>
            <w:tcW w:w="3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-0.05 %</w:t>
            </w:r>
          </w:p>
        </w:tc>
        <w:tc>
          <w:tcPr>
            <w:tcW w:w="5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to average total loans</w:t>
            </w:r>
          </w:p>
        </w:tc>
        <w:tc>
          <w:tcPr>
            <w:tcW w:w="3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0.94 %</w:t>
            </w:r>
          </w:p>
        </w:tc>
        <w:tc>
          <w:tcPr>
            <w:tcW w:w="5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0.97 %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to total loans at end of period</w:t>
            </w:r>
          </w:p>
        </w:tc>
        <w:tc>
          <w:tcPr>
            <w:tcW w:w="3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0.94 %</w:t>
            </w:r>
          </w:p>
        </w:tc>
        <w:tc>
          <w:tcPr>
            <w:tcW w:w="5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0.97 %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allowance for credit losses</w:t>
            </w:r>
          </w:p>
        </w:tc>
        <w:tc>
          <w:tcPr>
            <w:tcW w:w="3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-4.86 %</w:t>
            </w:r>
          </w:p>
        </w:tc>
        <w:tc>
          <w:tcPr>
            <w:tcW w:w="5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provision for credit losses</w:t>
            </w:r>
          </w:p>
        </w:tc>
        <w:tc>
          <w:tcPr>
            <w:tcW w:w="3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0.00 %</w:t>
            </w:r>
          </w:p>
        </w:tc>
        <w:tc>
          <w:tcPr>
            <w:tcW w:w="58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-1824990</wp:posOffset>
            </wp:positionV>
            <wp:extent cx="7132320" cy="29146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5430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-4859655</wp:posOffset>
            </wp:positionV>
            <wp:extent cx="7747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-4859655</wp:posOffset>
            </wp:positionV>
            <wp:extent cx="6858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-3291205</wp:posOffset>
            </wp:positionV>
            <wp:extent cx="7747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-2973705</wp:posOffset>
            </wp:positionV>
            <wp:extent cx="7747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-2167890</wp:posOffset>
            </wp:positionV>
            <wp:extent cx="7747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1220" w:hanging="463"/>
        <w:spacing w:after="0"/>
        <w:tabs>
          <w:tab w:leader="none" w:pos="12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loan origination fees, costs and discounts (amortized cost).</w:t>
      </w:r>
    </w:p>
    <w:p>
      <w:pPr>
        <w:spacing w:after="0" w:line="208" w:lineRule="exact"/>
        <w:rPr>
          <w:sz w:val="20"/>
          <w:szCs w:val="20"/>
          <w:color w:val="auto"/>
        </w:rPr>
      </w:pPr>
    </w:p>
    <w:p>
      <w:pPr>
        <w:ind w:right="140" w:firstLine="469"/>
        <w:spacing w:after="0" w:line="266" w:lineRule="auto"/>
        <w:rPr>
          <w:sz w:val="20"/>
          <w:szCs w:val="20"/>
          <w:color w:val="auto"/>
        </w:rPr>
      </w:pPr>
      <w:r>
        <w:rPr>
          <w:rFonts w:ascii="Times New Roman" w:cs="Times New Roman" w:eastAsia="Times New Roman" w:hAnsi="Times New Roman"/>
          <w:sz w:val="18"/>
          <w:szCs w:val="18"/>
          <w:color w:val="auto"/>
        </w:rPr>
        <w:t>The Bank’s ACL methodology also produced an allowance of $7.5 million for our off-balance sheet credit exposures as of March 31, 2024, compared with $7.5 million and $8.5 million as of December 31, 2023 and March 31, 2023, respectively. The year-over-year decrease included a $500,000 recapture of provision for unfunded loan commitments in the fourth quarter of 2023 and $500,000 in provision in first quarter of 2023.</w:t>
      </w: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58" w:name="page59"/>
    <w:bookmarkEnd w:id="58"/>
    <w:p>
      <w:pPr>
        <w:ind w:right="200" w:firstLine="469"/>
        <w:spacing w:after="0" w:line="261" w:lineRule="auto"/>
        <w:rPr>
          <w:sz w:val="20"/>
          <w:szCs w:val="20"/>
          <w:color w:val="auto"/>
        </w:rPr>
      </w:pPr>
      <w:r>
        <w:rPr>
          <w:rFonts w:ascii="Times New Roman" w:cs="Times New Roman" w:eastAsia="Times New Roman" w:hAnsi="Times New Roman"/>
          <w:sz w:val="18"/>
          <w:szCs w:val="18"/>
          <w:color w:val="auto"/>
        </w:rPr>
        <w:t>While we believe that the allowance at March 31, 2024 was appropriate to absorb losses from known or inherent risks in the portfolio, no assurance can be given that future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80" w:lineRule="exact"/>
        <w:rPr>
          <w:sz w:val="20"/>
          <w:szCs w:val="20"/>
          <w:color w:val="auto"/>
        </w:rPr>
      </w:pPr>
    </w:p>
    <w:p>
      <w:pPr>
        <w:ind w:right="260" w:firstLine="469"/>
        <w:spacing w:after="0" w:line="258" w:lineRule="auto"/>
        <w:rPr>
          <w:sz w:val="20"/>
          <w:szCs w:val="20"/>
          <w:color w:val="auto"/>
        </w:rPr>
      </w:pPr>
      <w:r>
        <w:rPr>
          <w:rFonts w:ascii="Times New Roman" w:cs="Times New Roman" w:eastAsia="Times New Roman" w:hAnsi="Times New Roman"/>
          <w:sz w:val="18"/>
          <w:szCs w:val="18"/>
          <w:color w:val="auto"/>
        </w:rPr>
        <w:t>Changes in economic and business conditions could have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cs="Times New Roman" w:eastAsia="Times New Roman" w:hAnsi="Times New Roman"/>
          <w:sz w:val="18"/>
          <w:szCs w:val="18"/>
          <w:i w:val="1"/>
          <w:iCs w:val="1"/>
          <w:color w:val="auto"/>
        </w:rPr>
        <w:t>Risk Management – Credit Risk Management</w:t>
      </w:r>
      <w:r>
        <w:rPr>
          <w:rFonts w:ascii="Times New Roman" w:cs="Times New Roman" w:eastAsia="Times New Roman" w:hAnsi="Times New Roman"/>
          <w:sz w:val="18"/>
          <w:szCs w:val="18"/>
          <w:color w:val="auto"/>
        </w:rPr>
        <w:t>” contained in our Annual Report on Form 10-K for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primary source of funds to support earning assets (loans and investments) is the generation of deposits.</w:t>
      </w:r>
    </w:p>
    <w:p>
      <w:pPr>
        <w:spacing w:after="0" w:line="225" w:lineRule="exact"/>
        <w:rPr>
          <w:sz w:val="20"/>
          <w:szCs w:val="20"/>
          <w:color w:val="auto"/>
        </w:rPr>
      </w:pPr>
    </w:p>
    <w:p>
      <w:pPr>
        <w:ind w:right="160" w:firstLine="469"/>
        <w:spacing w:after="0" w:line="282" w:lineRule="auto"/>
        <w:rPr>
          <w:sz w:val="20"/>
          <w:szCs w:val="20"/>
          <w:color w:val="auto"/>
        </w:rPr>
      </w:pPr>
      <w:r>
        <w:rPr>
          <w:rFonts w:ascii="Times New Roman" w:cs="Times New Roman" w:eastAsia="Times New Roman" w:hAnsi="Times New Roman"/>
          <w:sz w:val="18"/>
          <w:szCs w:val="18"/>
          <w:color w:val="auto"/>
        </w:rPr>
        <w:t>Total deposits were $11.89 billion at March 31, 2024. This represented an increase of $461.3 million, or 4.03%, from total deposits of $11.43 billion at December 31, 2023. The increase in total deposits at March 31, 2024 included $300 million in brokered deposits.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composition of deposits is summarized as of the dates presented in the table below.</w:t>
      </w:r>
    </w:p>
    <w:p>
      <w:pPr>
        <w:sectPr>
          <w:pgSz w:w="11900" w:h="16838" w:orient="portrait"/>
          <w:cols w:equalWidth="0" w:num="1">
            <w:col w:w="11300"/>
          </w:cols>
          <w:pgMar w:left="320" w:top="1093" w:right="279" w:bottom="1440" w:gutter="0" w:footer="0" w:header="0"/>
        </w:sectPr>
      </w:pPr>
    </w:p>
    <w:p>
      <w:pPr>
        <w:spacing w:after="0" w:line="23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28575</wp:posOffset>
            </wp:positionV>
            <wp:extent cx="223710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0" w:lineRule="exact"/>
        <w:rPr>
          <w:sz w:val="20"/>
          <w:szCs w:val="20"/>
          <w:color w:val="auto"/>
        </w:rPr>
      </w:pPr>
    </w:p>
    <w:p>
      <w:pPr>
        <w:ind w:left="4880"/>
        <w:spacing w:after="0"/>
        <w:tabs>
          <w:tab w:leader="none" w:pos="6740" w:val="left"/>
        </w:tabs>
        <w:rPr>
          <w:sz w:val="20"/>
          <w:szCs w:val="20"/>
          <w:color w:val="auto"/>
        </w:rPr>
      </w:pPr>
      <w:r>
        <w:rPr>
          <w:rFonts w:ascii="Times New Roman" w:cs="Times New Roman" w:eastAsia="Times New Roman" w:hAnsi="Times New Roman"/>
          <w:sz w:val="17"/>
          <w:szCs w:val="17"/>
          <w:b w:val="1"/>
          <w:bCs w:val="1"/>
          <w:color w:val="auto"/>
        </w:rPr>
        <w:t>Balance</w:t>
      </w:r>
      <w:r>
        <w:rPr>
          <w:sz w:val="20"/>
          <w:szCs w:val="20"/>
          <w:color w:val="auto"/>
        </w:rPr>
        <w:tab/>
      </w:r>
      <w:r>
        <w:rPr>
          <w:rFonts w:ascii="Times New Roman" w:cs="Times New Roman" w:eastAsia="Times New Roman" w:hAnsi="Times New Roman"/>
          <w:sz w:val="17"/>
          <w:szCs w:val="17"/>
          <w:b w:val="1"/>
          <w:bCs w:val="1"/>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35560</wp:posOffset>
            </wp:positionV>
            <wp:extent cx="223710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28575</wp:posOffset>
            </wp:positionV>
            <wp:extent cx="203136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0"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Balance</w:t>
      </w:r>
      <w:r>
        <w:rPr>
          <w:sz w:val="20"/>
          <w:szCs w:val="20"/>
          <w:color w:val="auto"/>
        </w:rPr>
        <w:tab/>
      </w:r>
      <w:r>
        <w:rPr>
          <w:rFonts w:ascii="Times New Roman" w:cs="Times New Roman" w:eastAsia="Times New Roman" w:hAnsi="Times New Roman"/>
          <w:sz w:val="18"/>
          <w:szCs w:val="18"/>
          <w:b w:val="1"/>
          <w:bCs w:val="1"/>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28575</wp:posOffset>
            </wp:positionV>
            <wp:extent cx="203136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7800" w:space="720"/>
            <w:col w:w="2780"/>
          </w:cols>
          <w:pgMar w:left="320" w:top="1093" w:right="27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3"/>
          </w:tcPr>
          <w:p>
            <w:pPr>
              <w:jc w:val="right"/>
              <w:ind w:right="9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92"/>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7,112,789</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59.80 %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7,206,175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63.03 %</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checking</w:t>
            </w:r>
          </w:p>
        </w:tc>
        <w:tc>
          <w:tcPr>
            <w:tcW w:w="5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545,066</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4.58 %</w:t>
            </w:r>
          </w:p>
        </w:tc>
        <w:tc>
          <w:tcPr>
            <w:tcW w:w="5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552,408</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4.83 %</w:t>
            </w:r>
          </w:p>
        </w:tc>
      </w:tr>
      <w:tr>
        <w:trPr>
          <w:trHeight w:val="243"/>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5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3,106,539</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26.12 %</w:t>
            </w:r>
          </w:p>
        </w:tc>
        <w:tc>
          <w:tcPr>
            <w:tcW w:w="5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2,821,344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24.67 %</w:t>
            </w:r>
          </w:p>
        </w:tc>
      </w:tr>
      <w:tr>
        <w:trPr>
          <w:trHeight w:val="243"/>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Savings</w:t>
            </w:r>
          </w:p>
        </w:tc>
        <w:tc>
          <w:tcPr>
            <w:tcW w:w="5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454,973</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3.82 %</w:t>
            </w:r>
          </w:p>
        </w:tc>
        <w:tc>
          <w:tcPr>
            <w:tcW w:w="5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457,320</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5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540" w:type="dxa"/>
            <w:vAlign w:val="bottom"/>
          </w:tcPr>
          <w:p>
            <w:pPr>
              <w:spacing w:after="0"/>
              <w:rPr>
                <w:sz w:val="22"/>
                <w:szCs w:val="22"/>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675,554</w:t>
            </w:r>
          </w:p>
        </w:tc>
        <w:tc>
          <w:tcPr>
            <w:tcW w:w="200" w:type="dxa"/>
            <w:vAlign w:val="bottom"/>
          </w:tcPr>
          <w:p>
            <w:pPr>
              <w:spacing w:after="0"/>
              <w:rPr>
                <w:sz w:val="22"/>
                <w:szCs w:val="22"/>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5.68 %</w:t>
            </w:r>
          </w:p>
        </w:tc>
        <w:tc>
          <w:tcPr>
            <w:tcW w:w="5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396,395</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3.47 %</w:t>
            </w:r>
          </w:p>
        </w:tc>
      </w:tr>
      <w:tr>
        <w:trPr>
          <w:trHeight w:val="20"/>
        </w:trPr>
        <w:tc>
          <w:tcPr>
            <w:tcW w:w="4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11,894,921</w:t>
            </w:r>
          </w:p>
        </w:tc>
        <w:tc>
          <w:tcPr>
            <w:tcW w:w="20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11,433,642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4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380" w:firstLine="469"/>
        <w:spacing w:after="0" w:line="261" w:lineRule="auto"/>
        <w:rPr>
          <w:sz w:val="20"/>
          <w:szCs w:val="20"/>
          <w:color w:val="auto"/>
        </w:rPr>
      </w:pPr>
      <w:r>
        <w:rPr>
          <w:rFonts w:ascii="Times New Roman" w:cs="Times New Roman" w:eastAsia="Times New Roman" w:hAnsi="Times New Roman"/>
          <w:sz w:val="18"/>
          <w:szCs w:val="18"/>
          <w:color w:val="auto"/>
        </w:rPr>
        <w:t>The amount of noninterest-bearing deposits in relation to total deposits is an integral element in our strategy of seeking to achieve a low cost of funds. Average noninterest-bearing deposits totaled $7.18 billion for the first quarter of 2024, a decrease of $268.1 million, or 3.60%, from noninterest-bearing deposits of $7.45 billion for the fourth quarter of 2023. Average noninterest-bearing deposits were 61.72% of total average deposits for the first quarter of 2024, compared to 61.30% for the fourth quarter of 2023.</w:t>
      </w:r>
    </w:p>
    <w:p>
      <w:pPr>
        <w:spacing w:after="0" w:line="180" w:lineRule="exact"/>
        <w:rPr>
          <w:sz w:val="20"/>
          <w:szCs w:val="20"/>
          <w:color w:val="auto"/>
        </w:rPr>
      </w:pPr>
    </w:p>
    <w:p>
      <w:pPr>
        <w:ind w:right="220" w:firstLine="469"/>
        <w:spacing w:after="0" w:line="282" w:lineRule="auto"/>
        <w:rPr>
          <w:sz w:val="20"/>
          <w:szCs w:val="20"/>
          <w:color w:val="auto"/>
        </w:rPr>
      </w:pPr>
      <w:r>
        <w:rPr>
          <w:rFonts w:ascii="Times New Roman" w:cs="Times New Roman" w:eastAsia="Times New Roman" w:hAnsi="Times New Roman"/>
          <w:sz w:val="18"/>
          <w:szCs w:val="18"/>
          <w:color w:val="auto"/>
        </w:rPr>
        <w:t>Interest-bearing non-maturity deposits, which include savings, interest-bearing demand, and money market accounts, totaled $4.11 billion at March 31, 2024, representing an increase of $275.5 million, or 7.19%, from $3.83 billion at December 31, 2023.</w:t>
      </w:r>
    </w:p>
    <w:p>
      <w:pPr>
        <w:spacing w:after="0" w:line="162" w:lineRule="exact"/>
        <w:rPr>
          <w:sz w:val="20"/>
          <w:szCs w:val="20"/>
          <w:color w:val="auto"/>
        </w:rPr>
      </w:pPr>
    </w:p>
    <w:p>
      <w:pPr>
        <w:ind w:right="300" w:firstLine="469"/>
        <w:spacing w:after="0" w:line="282" w:lineRule="auto"/>
        <w:rPr>
          <w:sz w:val="20"/>
          <w:szCs w:val="20"/>
          <w:color w:val="auto"/>
        </w:rPr>
      </w:pPr>
      <w:r>
        <w:rPr>
          <w:rFonts w:ascii="Times New Roman" w:cs="Times New Roman" w:eastAsia="Times New Roman" w:hAnsi="Times New Roman"/>
          <w:sz w:val="18"/>
          <w:szCs w:val="18"/>
          <w:color w:val="auto"/>
        </w:rPr>
        <w:t>Time deposits totaled $675.6 million at March 31, 2024, representing an increase of $279.2 million, or 70.42%, from total time deposits of $396.4 million at December 31, 2023. This increase included $300 million in brokered deposits.</w:t>
      </w:r>
    </w:p>
    <w:p>
      <w:pPr>
        <w:spacing w:after="0" w:line="162"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8"/>
          <w:szCs w:val="18"/>
          <w:color w:val="auto"/>
        </w:rPr>
        <w:t>During the first quarter of 2024, $300 million of brokered deposits were issued and cash flow hedging transactions were simultaneously executed in which $300 million notional pay-fixed interest rate swaps were consummated with maturities of three years, wherein the Company pays a weighted average fixed rate of approximately 4.2% and receives daily SOFR. We entered into these interest rate derivative contracts that are designated as qualifying cash flow hedges to hedge the exposure to variability in expected future cash flows attributable to changes in a contractually specified interest rate. The fair value of these instruments totaled $789,000 and were reflected as an asset at March 31, 2024.</w:t>
      </w:r>
    </w:p>
    <w:p>
      <w:pPr>
        <w:spacing w:after="0" w:line="39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type w:val="continuous"/>
        </w:sectPr>
      </w:pPr>
    </w:p>
    <w:bookmarkStart w:id="59" w:name="page60"/>
    <w:bookmarkEnd w:id="59"/>
    <w:p>
      <w:pPr>
        <w:ind w:right="60" w:firstLine="469"/>
        <w:spacing w:after="0" w:line="256" w:lineRule="auto"/>
        <w:rPr>
          <w:sz w:val="20"/>
          <w:szCs w:val="20"/>
          <w:color w:val="auto"/>
        </w:rPr>
      </w:pPr>
      <w:r>
        <w:rPr>
          <w:rFonts w:ascii="Times New Roman" w:cs="Times New Roman" w:eastAsia="Times New Roman" w:hAnsi="Times New Roman"/>
          <w:sz w:val="18"/>
          <w:szCs w:val="18"/>
          <w:color w:val="auto"/>
        </w:rPr>
        <w:t>Our deposits are primarily relationship based and include deposits and customer repurchase agreements ("repos"). For the first quarter of 2024, 74% of our deposits consist of business deposits and 26% consist of consumer deposits, primarily the owners and employees of our business customers. The largest percentage of our deposits, 39%, are analyzed business accounts, which represent customer operating accounts that generally utilize a wide array of treasury management products. As most of our business customers need to operate with more than $250,000 in their operating account, we have a significant percentage of deposits that are uninsured. As of March 31, 2024, 45% of our total deposits and customer repos were uncollateralized and uninsured.</w:t>
      </w:r>
    </w:p>
    <w:p>
      <w:pPr>
        <w:spacing w:after="0" w:line="187"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Our customer deposit relationships represent a diverse set of industries. The industry classification with the largest concentration is construction, which represents 7% of our deposits. Overall, there are 16 different industry classifications that represent 2% or more of our deposits as of March 31, 2024. Our depositors have typically banked with us for many years. As of March 31, 2024, 44% of our deposit relationships have banked with us more than 10 years and 76% of our deposit relationships have been with us for three or more years.</w:t>
      </w:r>
    </w:p>
    <w:p>
      <w:pPr>
        <w:spacing w:after="0" w:line="180" w:lineRule="exact"/>
        <w:rPr>
          <w:sz w:val="20"/>
          <w:szCs w:val="20"/>
          <w:color w:val="auto"/>
        </w:rPr>
      </w:pPr>
    </w:p>
    <w:p>
      <w:pPr>
        <w:ind w:right="220" w:firstLine="469"/>
        <w:spacing w:after="0" w:line="261" w:lineRule="auto"/>
        <w:rPr>
          <w:sz w:val="20"/>
          <w:szCs w:val="20"/>
          <w:color w:val="auto"/>
        </w:rPr>
      </w:pPr>
      <w:r>
        <w:rPr>
          <w:rFonts w:ascii="Times New Roman" w:cs="Times New Roman" w:eastAsia="Times New Roman" w:hAnsi="Times New Roman"/>
          <w:sz w:val="18"/>
          <w:szCs w:val="18"/>
          <w:color w:val="auto"/>
        </w:rPr>
        <w:t>Average total deposits for the first quarter decreased by approximately $517 million compared to the fourth quarter of 2023, while average borrowings grew by $407 million. The decline in average deposits was primarily due to deposit outflows at the end of 2023 related to estate planning for the Bank's largest deposit customer. Our average noninterest-bearing deposits continued to be greater than 61% of our average total deposits for the first quarter of 2024.</w:t>
      </w:r>
    </w:p>
    <w:p>
      <w:pPr>
        <w:spacing w:after="0" w:line="180" w:lineRule="exact"/>
        <w:rPr>
          <w:sz w:val="20"/>
          <w:szCs w:val="20"/>
          <w:color w:val="auto"/>
        </w:rPr>
      </w:pPr>
    </w:p>
    <w:p>
      <w:pPr>
        <w:ind w:firstLine="469"/>
        <w:spacing w:after="0" w:line="289" w:lineRule="auto"/>
        <w:rPr>
          <w:sz w:val="20"/>
          <w:szCs w:val="20"/>
          <w:color w:val="auto"/>
        </w:rPr>
      </w:pPr>
      <w:r>
        <w:rPr>
          <w:rFonts w:ascii="Times New Roman" w:cs="Times New Roman" w:eastAsia="Times New Roman" w:hAnsi="Times New Roman"/>
          <w:sz w:val="17"/>
          <w:szCs w:val="17"/>
          <w:color w:val="auto"/>
        </w:rPr>
        <w:t>Our cost of deposits was 74 basis points on average for the first quarter of 2024, which compares to 62 basis points for the fourth quarter of 2023 and 17 basis points for the first quarter of 2023. From the first quarter of 2022 through the first quarter of 2024, our cost of deposits has increased by 71 basis points, representing a deposit beta of 14%, compared to the 525 basis point increase in the Fed Funds rate during the Federal Reserve’s tightening cycle.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29" w:lineRule="exact"/>
        <w:rPr>
          <w:sz w:val="20"/>
          <w:szCs w:val="20"/>
          <w:color w:val="auto"/>
        </w:rPr>
      </w:pPr>
    </w:p>
    <w:p>
      <w:pPr>
        <w:ind w:right="60" w:firstLine="469"/>
        <w:spacing w:after="0" w:line="256" w:lineRule="auto"/>
        <w:rPr>
          <w:sz w:val="20"/>
          <w:szCs w:val="20"/>
          <w:color w:val="auto"/>
        </w:rPr>
      </w:pPr>
      <w:r>
        <w:rPr>
          <w:rFonts w:ascii="Times New Roman" w:cs="Times New Roman" w:eastAsia="Times New Roman" w:hAnsi="Times New Roman"/>
          <w:sz w:val="18"/>
          <w:szCs w:val="18"/>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these funds by the Bank for the period concerned. These repurchase agreements are signed with customers who want to invest their excess deposits, above a pre-determined balance in a demand deposit account, in order to earn interest. As of March 31, 2024 and December 31, 2023, total funds borrowed under these agreements were $275.7 million and $271.6 million, respectively, with a weighted average interest rate of 0.38% for the first quarter of 2024, compared to 0.27% for the fourth quarter of 2023 and 0.12 for the first quarter of 2023.</w:t>
      </w:r>
    </w:p>
    <w:p>
      <w:pPr>
        <w:spacing w:after="0" w:line="187" w:lineRule="exact"/>
        <w:rPr>
          <w:sz w:val="20"/>
          <w:szCs w:val="20"/>
          <w:color w:val="auto"/>
        </w:rPr>
      </w:pPr>
    </w:p>
    <w:p>
      <w:pPr>
        <w:ind w:right="80" w:firstLine="469"/>
        <w:spacing w:after="0" w:line="261" w:lineRule="auto"/>
        <w:rPr>
          <w:sz w:val="20"/>
          <w:szCs w:val="20"/>
          <w:color w:val="auto"/>
        </w:rPr>
      </w:pPr>
      <w:r>
        <w:rPr>
          <w:rFonts w:ascii="Times New Roman" w:cs="Times New Roman" w:eastAsia="Times New Roman" w:hAnsi="Times New Roman"/>
          <w:sz w:val="18"/>
          <w:szCs w:val="18"/>
          <w:color w:val="auto"/>
        </w:rPr>
        <w:t>As a result of declining deposit balances, we had borrowings of $2.0 billion from the Federal Reserve's Bank Term Funding Program during the first quarter of 2024. Borrowings from the Bank Term Funding Program at the end of the first quarter included $695 million of advances that mature in May of this year and $1.3 billion of advances that mature in January of 2025. Our BTFP borrowings had a weighted average borrowing rate of approximately 4.75%.</w:t>
      </w:r>
    </w:p>
    <w:p>
      <w:pPr>
        <w:spacing w:after="0" w:line="180" w:lineRule="exact"/>
        <w:rPr>
          <w:sz w:val="20"/>
          <w:szCs w:val="20"/>
          <w:color w:val="auto"/>
        </w:rPr>
      </w:pPr>
    </w:p>
    <w:p>
      <w:pPr>
        <w:ind w:right="200" w:firstLine="469"/>
        <w:spacing w:after="0" w:line="261" w:lineRule="auto"/>
        <w:rPr>
          <w:sz w:val="20"/>
          <w:szCs w:val="20"/>
          <w:color w:val="auto"/>
        </w:rPr>
      </w:pPr>
      <w:r>
        <w:rPr>
          <w:rFonts w:ascii="Times New Roman" w:cs="Times New Roman" w:eastAsia="Times New Roman" w:hAnsi="Times New Roman"/>
          <w:sz w:val="18"/>
          <w:szCs w:val="18"/>
          <w:color w:val="auto"/>
        </w:rPr>
        <w:t>As of March of 2024, BTFP was no longer available for new borrowings. We anticipate that the BTFP borrowings will be repaid through a combination of existing cash, future principal and interest payments from our security portfolio, core deposit growth, and additional wholesale funding sources which may consist of new borrowing sources such as the FHLB and/or additional brokered deposits. As of March 31, 2024, the Bank had unused borrowing capacity at the FHLB of $4.81 billion.</w:t>
      </w:r>
    </w:p>
    <w:p>
      <w:pPr>
        <w:spacing w:after="0" w:line="180" w:lineRule="exact"/>
        <w:rPr>
          <w:sz w:val="20"/>
          <w:szCs w:val="20"/>
          <w:color w:val="auto"/>
        </w:rPr>
      </w:pPr>
    </w:p>
    <w:p>
      <w:pPr>
        <w:ind w:right="460" w:firstLine="469"/>
        <w:spacing w:after="0" w:line="282" w:lineRule="auto"/>
        <w:rPr>
          <w:sz w:val="20"/>
          <w:szCs w:val="20"/>
          <w:color w:val="auto"/>
        </w:rPr>
      </w:pPr>
      <w:r>
        <w:rPr>
          <w:rFonts w:ascii="Times New Roman" w:cs="Times New Roman" w:eastAsia="Times New Roman" w:hAnsi="Times New Roman"/>
          <w:sz w:val="18"/>
          <w:szCs w:val="18"/>
          <w:color w:val="auto"/>
        </w:rPr>
        <w:t>At March 31, 2024, loans with a carrying value of $4.24 billion were pledged to secure available lines of credit from the FHLB and the Federal Reserve Bank.</w:t>
      </w:r>
    </w:p>
    <w:p>
      <w:pPr>
        <w:spacing w:after="0" w:line="162" w:lineRule="exact"/>
        <w:rPr>
          <w:sz w:val="20"/>
          <w:szCs w:val="20"/>
          <w:color w:val="auto"/>
        </w:rPr>
      </w:pPr>
    </w:p>
    <w:p>
      <w:pPr>
        <w:ind w:right="320" w:firstLine="469"/>
        <w:spacing w:after="0" w:line="261" w:lineRule="auto"/>
        <w:rPr>
          <w:sz w:val="20"/>
          <w:szCs w:val="20"/>
          <w:color w:val="auto"/>
        </w:rPr>
      </w:pPr>
      <w:r>
        <w:rPr>
          <w:rFonts w:ascii="Times New Roman" w:cs="Times New Roman" w:eastAsia="Times New Roman" w:hAnsi="Times New Roman"/>
          <w:sz w:val="18"/>
          <w:szCs w:val="18"/>
          <w:color w:val="auto"/>
        </w:rPr>
        <w:t>At March 31, 2024 investment securities with carrying values of $2.51 billion were pledged to secure various types of deposits, including $1.37 billion of public funds. In addition, investment securities with carrying values of $2.75 billion were pledged to secure $372.3 million for repurchase agreements, $1.88 billion for outstanding borrowings, $446 million for unused borrowing capacity and approximately $51 million for other purposes as required or permitted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Contractual Obligations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aggregate contractual obligations as of March 31,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One Year</w:t>
            </w: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Four Years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Less Than One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Over Five</w:t>
            </w:r>
          </w:p>
        </w:tc>
      </w:tr>
      <w:tr>
        <w:trPr>
          <w:trHeight w:val="225"/>
        </w:trPr>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Three Years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9"/>
                <w:szCs w:val="19"/>
                <w:color w:val="auto"/>
              </w:rPr>
            </w:pPr>
          </w:p>
        </w:tc>
      </w:tr>
      <w:tr>
        <w:trPr>
          <w:trHeight w:val="221"/>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Deposits (1)</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11,894,921</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11,880,259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12,166</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repurchase agreements (1)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275,720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borrowings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1,995,000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1,995,000</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20,205</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24,807</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11,737</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5,208</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00" w:type="dxa"/>
            <w:vAlign w:val="bottom"/>
            <w:shd w:val="clear" w:color="auto" w:fill="CFF0FC"/>
          </w:tcPr>
          <w:p>
            <w:pPr>
              <w:spacing w:after="0"/>
              <w:rPr>
                <w:sz w:val="20"/>
                <w:szCs w:val="20"/>
                <w:color w:val="auto"/>
              </w:rPr>
            </w:pPr>
          </w:p>
        </w:tc>
      </w:t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24,197</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6,735</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9"/>
                <w:szCs w:val="19"/>
                <w:color w:val="auto"/>
              </w:rPr>
            </w:pPr>
          </w:p>
        </w:tc>
      </w:tr>
      <w:tr>
        <w:trPr>
          <w:trHeight w:val="266"/>
        </w:trPr>
        <w:tc>
          <w:tcPr>
            <w:tcW w:w="4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14,237,727</w:t>
            </w:r>
          </w:p>
        </w:tc>
        <w:tc>
          <w:tcPr>
            <w:tcW w:w="3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14,175,529</w:t>
            </w:r>
          </w:p>
        </w:tc>
        <w:tc>
          <w:tcPr>
            <w:tcW w:w="2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31,790</w:t>
            </w:r>
          </w:p>
        </w:tc>
        <w:tc>
          <w:tcPr>
            <w:tcW w:w="2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21,628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-24765</wp:posOffset>
            </wp:positionV>
            <wp:extent cx="7683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1040" w:hanging="470"/>
        <w:spacing w:after="0"/>
        <w:tabs>
          <w:tab w:leader="none" w:pos="10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accrued interest.</w:t>
      </w:r>
    </w:p>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Deposits represent noninterest-bearing, money market, savings, NOW, certificates of deposits, brokered and all other deposits held by the Bank.</w:t>
      </w:r>
    </w:p>
    <w:p>
      <w:pPr>
        <w:spacing w:after="0" w:line="225" w:lineRule="exact"/>
        <w:rPr>
          <w:sz w:val="20"/>
          <w:szCs w:val="20"/>
          <w:color w:val="auto"/>
        </w:rPr>
      </w:pPr>
    </w:p>
    <w:p>
      <w:pPr>
        <w:ind w:right="40" w:firstLine="469"/>
        <w:spacing w:after="0" w:line="282" w:lineRule="auto"/>
        <w:rPr>
          <w:sz w:val="20"/>
          <w:szCs w:val="20"/>
          <w:color w:val="auto"/>
        </w:rPr>
      </w:pPr>
      <w:r>
        <w:rPr>
          <w:rFonts w:ascii="Times New Roman" w:cs="Times New Roman" w:eastAsia="Times New Roman" w:hAnsi="Times New Roman"/>
          <w:sz w:val="18"/>
          <w:szCs w:val="18"/>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62"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60" w:lineRule="exact"/>
        <w:rPr>
          <w:sz w:val="20"/>
          <w:szCs w:val="20"/>
          <w:color w:val="auto"/>
        </w:rPr>
      </w:pPr>
    </w:p>
    <w:p>
      <w:pPr>
        <w:ind w:right="220" w:firstLine="469"/>
        <w:spacing w:after="0" w:line="262" w:lineRule="auto"/>
        <w:rPr>
          <w:sz w:val="20"/>
          <w:szCs w:val="20"/>
          <w:color w:val="auto"/>
        </w:rPr>
      </w:pPr>
      <w:r>
        <w:rPr>
          <w:rFonts w:ascii="Times New Roman" w:cs="Times New Roman" w:eastAsia="Times New Roman" w:hAnsi="Times New Roman"/>
          <w:sz w:val="18"/>
          <w:szCs w:val="18"/>
          <w:color w:val="auto"/>
        </w:rPr>
        <w:t xml:space="preserve">Operating leases represent the total minimum lease payments due under non-cancelable operating leases. Refer to Note 12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the Company’s unaudited condensed consolidated financial statements for a more detailed discussion about leases.</w:t>
      </w: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1" w:name="page62"/>
    <w:bookmarkEnd w:id="61"/>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off-balance sheet items at March 31,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One Year</w:t>
            </w: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Four Years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Less Than One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12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After Five</w:t>
            </w:r>
          </w:p>
        </w:tc>
      </w:tr>
      <w:tr>
        <w:trPr>
          <w:trHeight w:val="225"/>
        </w:trPr>
        <w:tc>
          <w:tcPr>
            <w:tcW w:w="4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Three Years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9"/>
                <w:szCs w:val="19"/>
                <w:color w:val="auto"/>
              </w:rPr>
            </w:pPr>
          </w:p>
        </w:tc>
      </w:tr>
      <w:tr>
        <w:trPr>
          <w:trHeight w:val="221"/>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5"/>
              </w:rPr>
              <w:t>(Dollars in thousands)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 to extend credit: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446,496</w:t>
            </w:r>
          </w:p>
        </w:tc>
        <w:tc>
          <w:tcPr>
            <w:tcW w:w="3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97,096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179,539</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139,060</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30,801</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Construction</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24,929</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22,926</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SBA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9"/>
                <w:szCs w:val="19"/>
                <w:color w:val="auto"/>
              </w:rPr>
            </w:pPr>
          </w:p>
        </w:tc>
      </w:tr>
      <w:tr>
        <w:trPr>
          <w:trHeight w:val="239"/>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1,029,607</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750,394</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257,136</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20,416</w:t>
            </w:r>
          </w:p>
        </w:tc>
        <w:tc>
          <w:tcPr>
            <w:tcW w:w="100" w:type="dxa"/>
            <w:vAlign w:val="bottom"/>
            <w:shd w:val="clear" w:color="auto" w:fill="CFF0FC"/>
          </w:tcPr>
          <w:p>
            <w:pPr>
              <w:spacing w:after="0"/>
              <w:rPr>
                <w:sz w:val="20"/>
                <w:szCs w:val="20"/>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Dairy &amp; livestock and agribusiness (1)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203,074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131,015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72,059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SFR Mortgage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100" w:type="dxa"/>
            <w:vAlign w:val="bottom"/>
          </w:tcPr>
          <w:p>
            <w:pPr>
              <w:spacing w:after="0"/>
              <w:rPr>
                <w:sz w:val="19"/>
                <w:szCs w:val="19"/>
                <w:color w:val="auto"/>
              </w:rPr>
            </w:pPr>
          </w:p>
        </w:tc>
      </w:tr>
      <w:tr>
        <w:trPr>
          <w:trHeight w:val="236"/>
        </w:trPr>
        <w:tc>
          <w:tcPr>
            <w:tcW w:w="4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123,704</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16,718</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7,308</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commitment to extend credit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1,834,316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1,022,376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516,042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152,700</w:t>
            </w:r>
          </w:p>
        </w:tc>
        <w:tc>
          <w:tcPr>
            <w:tcW w:w="100" w:type="dxa"/>
            <w:vAlign w:val="bottom"/>
          </w:tcPr>
          <w:p>
            <w:pPr>
              <w:spacing w:after="0"/>
              <w:rPr>
                <w:sz w:val="18"/>
                <w:szCs w:val="18"/>
                <w:color w:val="auto"/>
              </w:rPr>
            </w:pPr>
          </w:p>
        </w:tc>
      </w:tr>
      <w:tr>
        <w:trPr>
          <w:trHeight w:val="236"/>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Obligations under letters of credit</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55,432</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34,091</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21,123</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4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1,889,748</w:t>
            </w:r>
          </w:p>
        </w:tc>
        <w:tc>
          <w:tcPr>
            <w:tcW w:w="3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1,056,467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537,165</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143,398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152,718</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-479425</wp:posOffset>
            </wp:positionV>
            <wp:extent cx="7683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-479425</wp:posOffset>
            </wp:positionV>
            <wp:extent cx="7683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-479425</wp:posOffset>
            </wp:positionV>
            <wp:extent cx="6858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-479425</wp:posOffset>
            </wp:positionV>
            <wp:extent cx="6858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-179070</wp:posOffset>
            </wp:positionV>
            <wp:extent cx="7683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-179070</wp:posOffset>
            </wp:positionV>
            <wp:extent cx="7683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-179070</wp:posOffset>
            </wp:positionV>
            <wp:extent cx="685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-179070</wp:posOffset>
            </wp:positionV>
            <wp:extent cx="6858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1040" w:hanging="470"/>
        <w:spacing w:after="0"/>
        <w:tabs>
          <w:tab w:leader="none" w:pos="10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commitments to extend credit to agribusiness were $34.8 million at March 31, 2024.</w:t>
      </w:r>
    </w:p>
    <w:p>
      <w:pPr>
        <w:spacing w:after="0" w:line="230" w:lineRule="exact"/>
        <w:rPr>
          <w:sz w:val="20"/>
          <w:szCs w:val="20"/>
          <w:color w:val="auto"/>
        </w:rPr>
      </w:pPr>
    </w:p>
    <w:p>
      <w:pPr>
        <w:ind w:right="40" w:firstLine="469"/>
        <w:spacing w:after="0" w:line="254" w:lineRule="auto"/>
        <w:rPr>
          <w:sz w:val="20"/>
          <w:szCs w:val="20"/>
          <w:color w:val="auto"/>
        </w:rPr>
      </w:pPr>
      <w:r>
        <w:rPr>
          <w:rFonts w:ascii="Times New Roman" w:cs="Times New Roman" w:eastAsia="Times New Roman" w:hAnsi="Times New Roman"/>
          <w:sz w:val="18"/>
          <w:szCs w:val="18"/>
          <w:color w:val="auto"/>
        </w:rPr>
        <w:t>As of March 31, 2024, we had commitments to extend credit of approximately $1.83 billion, and obligations under letters of credit of $55.4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As of March 31, 2024 and 2023, the balance in this reserve was $7.5 million and $8.5 million, respectively, and was included in other liabilities. There was no provision or recapture of provision for unfunded commitments for the first quarter of 2024, compared to $500,000 in recapture of provision in the fourth quarter of 2023 and a $500,000 provision in the first quarter of 2023.</w:t>
      </w:r>
    </w:p>
    <w:p>
      <w:pPr>
        <w:spacing w:after="0" w:line="188" w:lineRule="exact"/>
        <w:rPr>
          <w:sz w:val="20"/>
          <w:szCs w:val="20"/>
          <w:color w:val="auto"/>
        </w:rPr>
      </w:pPr>
    </w:p>
    <w:p>
      <w:pPr>
        <w:jc w:val="both"/>
        <w:ind w:right="20" w:firstLine="469"/>
        <w:spacing w:after="0" w:line="289" w:lineRule="auto"/>
        <w:rPr>
          <w:sz w:val="20"/>
          <w:szCs w:val="20"/>
          <w:color w:val="auto"/>
        </w:rPr>
      </w:pPr>
      <w:r>
        <w:rPr>
          <w:rFonts w:ascii="Times New Roman" w:cs="Times New Roman" w:eastAsia="Times New Roman" w:hAnsi="Times New Roman"/>
          <w:sz w:val="17"/>
          <w:szCs w:val="17"/>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80"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8"/>
          <w:szCs w:val="18"/>
          <w:color w:val="auto"/>
        </w:rPr>
        <w:t>Total equity increased $8.9 million, or 0.43%, to $2.09 billion at March 31, 2024, compared to total equity of $2.08 billion at December 31, 2023. Increases to equity included $48.6 million in net earnings, that were partially offset by $27.9 million in cash dividends and an $11.7 million decrease in other comprehensive income. We engaged in no stock repurchases during the first quarter of 2024, compared to the first quarter of 2023, when we repurchased 791,800 shares of common stock, at an average repurchase price of $23.43, totaling $18.5 million.. Our tangible book value per share at March 31, 2024 was $9.36.</w:t>
      </w:r>
    </w:p>
    <w:p>
      <w:pPr>
        <w:spacing w:after="0" w:line="183" w:lineRule="exact"/>
        <w:rPr>
          <w:sz w:val="20"/>
          <w:szCs w:val="20"/>
          <w:color w:val="auto"/>
        </w:rPr>
      </w:pPr>
    </w:p>
    <w:p>
      <w:pPr>
        <w:ind w:right="120" w:firstLine="469"/>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the Board of Directors of CVB declared quarterly cash dividends totaling $0.20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80" w:lineRule="exact"/>
        <w:rPr>
          <w:sz w:val="20"/>
          <w:szCs w:val="20"/>
          <w:color w:val="auto"/>
        </w:rPr>
      </w:pPr>
    </w:p>
    <w:p>
      <w:pPr>
        <w:ind w:right="220" w:firstLine="469"/>
        <w:spacing w:after="0" w:line="266" w:lineRule="auto"/>
        <w:rPr>
          <w:sz w:val="20"/>
          <w:szCs w:val="20"/>
          <w:color w:val="auto"/>
        </w:rPr>
      </w:pPr>
      <w:r>
        <w:rPr>
          <w:rFonts w:ascii="Times New Roman" w:cs="Times New Roman" w:eastAsia="Times New Roman" w:hAnsi="Times New Roman"/>
          <w:sz w:val="18"/>
          <w:szCs w:val="18"/>
          <w:color w:val="auto"/>
        </w:rPr>
        <w:t>On February 1, 2022, we announced that our Board of Directors authorized a share repurchase plan to repurchase up to 10,000,000 shares of the Company’s common stock ("2022 Repurchase Program"). During the first quarter of 2023, we repurchased 791,800 shares at an average price of $23.43. We engaged in no stock repurchases during the first quarter of 2024.</w:t>
      </w:r>
    </w:p>
    <w:p>
      <w:pPr>
        <w:spacing w:after="0" w:line="176" w:lineRule="exact"/>
        <w:rPr>
          <w:sz w:val="20"/>
          <w:szCs w:val="20"/>
          <w:color w:val="auto"/>
        </w:rPr>
      </w:pPr>
    </w:p>
    <w:p>
      <w:pPr>
        <w:ind w:right="80" w:firstLine="469"/>
        <w:spacing w:after="0" w:line="254" w:lineRule="auto"/>
        <w:rPr>
          <w:sz w:val="20"/>
          <w:szCs w:val="20"/>
          <w:color w:val="auto"/>
        </w:rPr>
      </w:pPr>
      <w:r>
        <w:rPr>
          <w:rFonts w:ascii="Times New Roman" w:cs="Times New Roman" w:eastAsia="Times New Roman" w:hAnsi="Times New Roman"/>
          <w:sz w:val="18"/>
          <w:szCs w:val="18"/>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March 31, 2024,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cs="Times New Roman" w:eastAsia="Times New Roman" w:hAnsi="Times New Roman"/>
          <w:sz w:val="18"/>
          <w:szCs w:val="18"/>
          <w:i w:val="1"/>
          <w:iCs w:val="1"/>
          <w:color w:val="auto"/>
        </w:rPr>
        <w:t>Business – Capital Adequacy Requirements</w:t>
      </w:r>
      <w:r>
        <w:rPr>
          <w:rFonts w:ascii="Times New Roman" w:cs="Times New Roman" w:eastAsia="Times New Roman" w:hAnsi="Times New Roman"/>
          <w:sz w:val="18"/>
          <w:szCs w:val="18"/>
          <w:color w:val="auto"/>
        </w:rPr>
        <w:t>” as described in our Annual Report on Form 10-K for the year ended December 31, 2023.</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presents the Company’s and the Bank’s risk-based and leverage capital ratios for the periods presented.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Pr>
          <w:p>
            <w:pPr>
              <w:spacing w:after="0"/>
              <w:rPr>
                <w:sz w:val="19"/>
                <w:szCs w:val="19"/>
                <w:color w:val="auto"/>
              </w:rPr>
            </w:pPr>
          </w:p>
        </w:tc>
        <w:tc>
          <w:tcPr>
            <w:tcW w:w="22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0"/>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Adequately</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Minimum Required</w:t>
            </w: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Well</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CVB Financial</w:t>
            </w: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Citizens</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CVB Financial</w:t>
            </w: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Citizens</w:t>
            </w: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Capitalized</w:t>
            </w:r>
          </w:p>
        </w:tc>
        <w:tc>
          <w:tcPr>
            <w:tcW w:w="1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Plus Capital</w:t>
            </w: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Capitalized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Corp.</w:t>
            </w: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Corp.</w:t>
            </w: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Business</w:t>
            </w:r>
          </w:p>
        </w:tc>
      </w:tr>
      <w:tr>
        <w:trPr>
          <w:trHeight w:val="191"/>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Ratios</w:t>
            </w:r>
          </w:p>
        </w:tc>
        <w:tc>
          <w:tcPr>
            <w:tcW w:w="1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Conservation Buffer</w:t>
            </w:r>
          </w:p>
        </w:tc>
        <w:tc>
          <w:tcPr>
            <w:tcW w:w="120" w:type="dxa"/>
            <w:vAlign w:val="bottom"/>
          </w:tcPr>
          <w:p>
            <w:pPr>
              <w:spacing w:after="0"/>
              <w:rPr>
                <w:sz w:val="16"/>
                <w:szCs w:val="16"/>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Ratios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Bank</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Bank</w:t>
            </w: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2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Tier 1 leverage capital ratio</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8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4.00%</w:t>
            </w:r>
          </w:p>
        </w:tc>
        <w:tc>
          <w:tcPr>
            <w:tcW w:w="110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10.46%</w:t>
            </w:r>
          </w:p>
        </w:tc>
        <w:tc>
          <w:tcPr>
            <w:tcW w:w="10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10.36%</w:t>
            </w:r>
          </w:p>
        </w:tc>
        <w:tc>
          <w:tcPr>
            <w:tcW w:w="134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10.27%</w:t>
            </w:r>
          </w:p>
        </w:tc>
        <w:tc>
          <w:tcPr>
            <w:tcW w:w="100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10.17%</w:t>
            </w:r>
          </w:p>
        </w:tc>
      </w:tr>
      <w:tr>
        <w:trPr>
          <w:trHeight w:val="220"/>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8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7.00%</w:t>
            </w:r>
          </w:p>
        </w:tc>
        <w:tc>
          <w:tcPr>
            <w:tcW w:w="11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6.50%</w:t>
            </w:r>
          </w:p>
        </w:tc>
        <w:tc>
          <w:tcPr>
            <w:tcW w:w="1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14.95%</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14.81%</w:t>
            </w:r>
          </w:p>
        </w:tc>
        <w:tc>
          <w:tcPr>
            <w:tcW w:w="13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14.65%</w:t>
            </w:r>
          </w:p>
        </w:tc>
        <w:tc>
          <w:tcPr>
            <w:tcW w:w="10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14.49%</w:t>
            </w:r>
          </w:p>
        </w:tc>
      </w:tr>
      <w:tr>
        <w:trPr>
          <w:trHeight w:val="239"/>
        </w:trPr>
        <w:tc>
          <w:tcPr>
            <w:tcW w:w="2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Tier 1 risk-based capital ratio</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6.00%</w:t>
            </w:r>
          </w:p>
        </w:tc>
        <w:tc>
          <w:tcPr>
            <w:tcW w:w="18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8.50%</w:t>
            </w:r>
          </w:p>
        </w:tc>
        <w:tc>
          <w:tcPr>
            <w:tcW w:w="110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8.00%</w:t>
            </w: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14.95%</w:t>
            </w:r>
          </w:p>
        </w:tc>
        <w:tc>
          <w:tcPr>
            <w:tcW w:w="10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14.81%</w:t>
            </w:r>
          </w:p>
        </w:tc>
        <w:tc>
          <w:tcPr>
            <w:tcW w:w="134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14.65%</w:t>
            </w:r>
          </w:p>
        </w:tc>
        <w:tc>
          <w:tcPr>
            <w:tcW w:w="100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14.49%</w:t>
            </w:r>
          </w:p>
        </w:tc>
      </w:tr>
      <w:tr>
        <w:trPr>
          <w:trHeight w:val="210"/>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risk-based capital ratio</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8.00%</w:t>
            </w:r>
          </w:p>
        </w:tc>
        <w:tc>
          <w:tcPr>
            <w:tcW w:w="18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10.50%</w:t>
            </w:r>
          </w:p>
        </w:tc>
        <w:tc>
          <w:tcPr>
            <w:tcW w:w="11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15.77%</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15.63%</w:t>
            </w:r>
          </w:p>
        </w:tc>
        <w:tc>
          <w:tcPr>
            <w:tcW w:w="13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15.50%</w:t>
            </w:r>
          </w:p>
        </w:tc>
        <w:tc>
          <w:tcPr>
            <w:tcW w:w="10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15.34%</w:t>
            </w: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ASSET/LIABILITY AND MARKET RISK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w:t>
      </w:r>
    </w:p>
    <w:p>
      <w:pPr>
        <w:spacing w:after="0" w:line="229" w:lineRule="exact"/>
        <w:rPr>
          <w:sz w:val="20"/>
          <w:szCs w:val="20"/>
          <w:color w:val="auto"/>
        </w:rPr>
      </w:pPr>
    </w:p>
    <w:p>
      <w:pPr>
        <w:ind w:right="60" w:firstLine="469"/>
        <w:spacing w:after="0" w:line="261" w:lineRule="auto"/>
        <w:rPr>
          <w:sz w:val="20"/>
          <w:szCs w:val="20"/>
          <w:color w:val="auto"/>
        </w:rPr>
      </w:pPr>
      <w:r>
        <w:rPr>
          <w:rFonts w:ascii="Times New Roman" w:cs="Times New Roman" w:eastAsia="Times New Roman" w:hAnsi="Times New Roman"/>
          <w:sz w:val="18"/>
          <w:szCs w:val="18"/>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80" w:lineRule="exact"/>
        <w:rPr>
          <w:sz w:val="20"/>
          <w:szCs w:val="20"/>
          <w:color w:val="auto"/>
        </w:rPr>
      </w:pPr>
    </w:p>
    <w:p>
      <w:pPr>
        <w:ind w:right="60" w:firstLine="469"/>
        <w:spacing w:after="0" w:line="255" w:lineRule="auto"/>
        <w:rPr>
          <w:sz w:val="20"/>
          <w:szCs w:val="20"/>
          <w:color w:val="auto"/>
        </w:rPr>
      </w:pPr>
      <w:r>
        <w:rPr>
          <w:rFonts w:ascii="Times New Roman" w:cs="Times New Roman" w:eastAsia="Times New Roman" w:hAnsi="Times New Roman"/>
          <w:sz w:val="18"/>
          <w:szCs w:val="18"/>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as well as the input assumptions and results from various models. In addition, the Company has a Balance Sheet Management Committee of the Board of Directors that meets at least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general, our liquidity is managed daily by controlling the level of liquid assets as well as the use of funds provided by the cash flow from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portfolio, loan demand, deposit fluctuations, and borrowings. Our definition of liquid assets includes cash and cash equivalents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levels needed to fulfill normal business operations, short-term investment securities, and other anticipated near term cash flows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addition to on balance sheet liquidity, we have significant off-balance sheet sources of liquidity. To meet unexpected demands, lines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are maintained with correspondent banks, the Federal Home Loan Bank and the Federal Reserve, although availability under these lines of credit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conditions. In addition to having more than $900 million of cash on the balance sheet at March 31, 2023, we had substantial sources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liquidity. These sources of available liquidity include $4.8 billion of secured and unused capacity with the Federal Home Loan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$741 million of secured unused borrowing capacity at the Fed’s discount window, more than $18 million of unpledged AFS securities that could be pledged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discount window and $300 million of unsecured lines of credit. In addition to these borrowing sources, the Bank has capacity to utilize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brokered deposits as of March 31, 2024. We can also obtain additional liquidity from deposit growth by utilizing state and national wholesale markets.</w:t>
      </w:r>
    </w:p>
    <w:p>
      <w:pPr>
        <w:spacing w:after="0" w:line="207" w:lineRule="exact"/>
        <w:rPr>
          <w:sz w:val="20"/>
          <w:szCs w:val="20"/>
          <w:color w:val="auto"/>
        </w:rPr>
      </w:pPr>
    </w:p>
    <w:p>
      <w:pPr>
        <w:ind w:right="40" w:firstLine="469"/>
        <w:spacing w:after="0" w:line="255" w:lineRule="auto"/>
        <w:rPr>
          <w:sz w:val="20"/>
          <w:szCs w:val="20"/>
          <w:color w:val="auto"/>
        </w:rPr>
      </w:pPr>
      <w:r>
        <w:rPr>
          <w:rFonts w:ascii="Times New Roman" w:cs="Times New Roman" w:eastAsia="Times New Roman" w:hAnsi="Times New Roman"/>
          <w:sz w:val="18"/>
          <w:szCs w:val="18"/>
          <w:color w:val="auto"/>
        </w:rPr>
        <w:t>Our primary sources of funds for the Company are deposits, customer repurchase agreements and borrowings. Total deposits and customer repos of $12.17 billion at March 31, 2024 increased $465.4 million, or 3.98%, over total deposits and customer repos of $11.71 billion at December 31, 2023. As of March 31, 2024, total borrowings, consisted of $2.0 billion of advances from the Federal Reserve’s Bank Term Funding Program, at an average cost of approximately 4.75%. The BTFP advances include maturities of $695 million in May and $1.3 billion in January of 2025. Our deposit levels and cost of deposits may fluctuate from period-to-period due to a variety of factors, including the stability of our deposit base, prevailing interest rates, and market conditions. At March 31, 2024, our deposits and customer repurchase agreements that are neither collateralized nor insured were approximately $5.4 billion, or 45% of our total deposits and customer repos.</w:t>
      </w:r>
    </w:p>
    <w:p>
      <w:pPr>
        <w:spacing w:after="0" w:line="189" w:lineRule="exact"/>
        <w:rPr>
          <w:sz w:val="20"/>
          <w:szCs w:val="20"/>
          <w:color w:val="auto"/>
        </w:rPr>
      </w:pPr>
    </w:p>
    <w:p>
      <w:pPr>
        <w:ind w:right="60" w:firstLine="469"/>
        <w:spacing w:after="0" w:line="255" w:lineRule="auto"/>
        <w:rPr>
          <w:sz w:val="20"/>
          <w:szCs w:val="20"/>
          <w:color w:val="auto"/>
        </w:rPr>
      </w:pPr>
      <w:r>
        <w:rPr>
          <w:rFonts w:ascii="Times New Roman" w:cs="Times New Roman" w:eastAsia="Times New Roman" w:hAnsi="Times New Roman"/>
          <w:sz w:val="18"/>
          <w:szCs w:val="18"/>
          <w:color w:val="auto"/>
        </w:rPr>
        <w:t>Additional sources of liquidity include cash on deposit at the Federal Reserve, which exceeded $900 million at March 31, 2024, and principal and interest payments from our investment portfolio. We shrank our investment portfolio by not reinvesting the cashflows generated by our investments during the first quarter of 2024. Our total investment portfolio declined by $129.0 million from December 31, 2023 to $5.29 billion as of March 31, 2024. The decrease was primarily due to a $119 million decline in AFS securities. AFS securities totaled $2.84 billion at March 31, 2024, inclusive of a pre-tax net unrealized loss of $485.6. Pre-tax unrealized loss grew by $35.9 million from December 31, 2023. Market risk, is partly managed by $1 billion notional pay fixed swaps hedging the fair value of the AFS portfolio. The $35.9 million decrease in fair value of our AFS securities was partially offset by an $18 million increase in the fair value of our derivatives that hedge the change in value of our AFS portfolio.</w:t>
      </w:r>
    </w:p>
    <w:p>
      <w:pPr>
        <w:spacing w:after="0" w:line="189" w:lineRule="exact"/>
        <w:rPr>
          <w:sz w:val="20"/>
          <w:szCs w:val="20"/>
          <w:color w:val="auto"/>
        </w:rPr>
      </w:pPr>
    </w:p>
    <w:p>
      <w:pPr>
        <w:ind w:right="20" w:firstLine="469"/>
        <w:spacing w:after="0" w:line="255" w:lineRule="auto"/>
        <w:rPr>
          <w:sz w:val="20"/>
          <w:szCs w:val="20"/>
          <w:color w:val="auto"/>
        </w:rPr>
      </w:pPr>
      <w:r>
        <w:rPr>
          <w:rFonts w:ascii="Times New Roman" w:cs="Times New Roman" w:eastAsia="Times New Roman" w:hAnsi="Times New Roman"/>
          <w:sz w:val="18"/>
          <w:szCs w:val="18"/>
          <w:color w:val="auto"/>
        </w:rPr>
        <w:t>CVB is a holding company separate and apart from the Bank that must provide for its own liquidity and must service its own obligations.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4" w:name="page65"/>
    <w:bookmarkEnd w:id="64"/>
    <w:p>
      <w:pPr>
        <w:ind w:right="480" w:firstLine="464"/>
        <w:spacing w:after="0" w:line="282" w:lineRule="auto"/>
        <w:rPr>
          <w:sz w:val="20"/>
          <w:szCs w:val="20"/>
          <w:color w:val="auto"/>
        </w:rPr>
      </w:pPr>
      <w:r>
        <w:rPr>
          <w:rFonts w:ascii="Times New Roman" w:cs="Times New Roman" w:eastAsia="Times New Roman" w:hAnsi="Times New Roman"/>
          <w:sz w:val="18"/>
          <w:szCs w:val="18"/>
          <w:color w:val="auto"/>
        </w:rPr>
        <w:t>Below is a summary of our average cash position and statement of cash flows for the three months ended March 31, 2024 and 2023. For further details see our “</w:t>
      </w:r>
      <w:r>
        <w:rPr>
          <w:rFonts w:ascii="Times New Roman" w:cs="Times New Roman" w:eastAsia="Times New Roman" w:hAnsi="Times New Roman"/>
          <w:sz w:val="18"/>
          <w:szCs w:val="18"/>
          <w:i w:val="1"/>
          <w:iCs w:val="1"/>
          <w:color w:val="auto"/>
        </w:rPr>
        <w:t>Condensed Consolidated Statements of Cash Flows</w:t>
      </w:r>
      <w:r>
        <w:rPr>
          <w:rFonts w:ascii="Times New Roman" w:cs="Times New Roman" w:eastAsia="Times New Roman" w:hAnsi="Times New Roman"/>
          <w:sz w:val="18"/>
          <w:szCs w:val="18"/>
          <w:color w:val="auto"/>
        </w:rPr>
        <w:t xml:space="preserve"> (Unaudited)” under Part I, Item 1 of this report.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Summary of Cash Flows</w:t>
      </w:r>
    </w:p>
    <w:p>
      <w:pPr>
        <w:spacing w:after="0" w:line="237"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3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9"/>
        </w:trPr>
        <w:tc>
          <w:tcPr>
            <w:tcW w:w="8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20" w:type="dxa"/>
            <w:vAlign w:val="bottom"/>
            <w:gridSpan w:val="6"/>
          </w:tcPr>
          <w:p>
            <w:pPr>
              <w:jc w:val="right"/>
              <w:ind w:right="8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r>
      <w:tr>
        <w:trPr>
          <w:trHeight w:val="262"/>
        </w:trPr>
        <w:tc>
          <w:tcPr>
            <w:tcW w:w="8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595,470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212,079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average assets</w:t>
            </w:r>
          </w:p>
        </w:tc>
        <w:tc>
          <w:tcPr>
            <w:tcW w:w="2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3.67 %</w:t>
            </w:r>
          </w:p>
        </w:tc>
        <w:tc>
          <w:tcPr>
            <w:tcW w:w="3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52"/>
        </w:trPr>
        <w:tc>
          <w:tcPr>
            <w:tcW w:w="8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77,474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70,120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231,033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232,579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359,797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(278,626 )</w:t>
            </w:r>
          </w:p>
        </w:tc>
        <w:tc>
          <w:tcPr>
            <w:tcW w:w="60" w:type="dxa"/>
            <w:vAlign w:val="bottom"/>
          </w:tcPr>
          <w:p>
            <w:pPr>
              <w:spacing w:after="0"/>
              <w:rPr>
                <w:sz w:val="21"/>
                <w:szCs w:val="21"/>
                <w:color w:val="auto"/>
              </w:rPr>
            </w:pPr>
          </w:p>
        </w:tc>
      </w:tr>
      <w:tr>
        <w:trPr>
          <w:trHeight w:val="236"/>
        </w:trPr>
        <w:tc>
          <w:tcPr>
            <w:tcW w:w="8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668,304</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24,073</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0" w:firstLine="469"/>
        <w:spacing w:after="0" w:line="282" w:lineRule="auto"/>
        <w:rPr>
          <w:sz w:val="20"/>
          <w:szCs w:val="20"/>
          <w:color w:val="auto"/>
        </w:rPr>
      </w:pPr>
      <w:r>
        <w:rPr>
          <w:rFonts w:ascii="Times New Roman" w:cs="Times New Roman" w:eastAsia="Times New Roman" w:hAnsi="Times New Roman"/>
          <w:sz w:val="18"/>
          <w:szCs w:val="18"/>
          <w:color w:val="auto"/>
        </w:rPr>
        <w:t>Average cash and cash equivalents increased by $383.4 million, or 180.78%, to $595.5 million for the three months ended March 31, 2024, compared to $212.1 million for the same period of 2023.</w:t>
      </w:r>
    </w:p>
    <w:p>
      <w:pPr>
        <w:spacing w:after="0" w:line="162" w:lineRule="exact"/>
        <w:rPr>
          <w:sz w:val="20"/>
          <w:szCs w:val="20"/>
          <w:color w:val="auto"/>
        </w:rPr>
      </w:pPr>
    </w:p>
    <w:p>
      <w:pPr>
        <w:ind w:right="160" w:firstLine="469"/>
        <w:spacing w:after="0" w:line="261" w:lineRule="auto"/>
        <w:rPr>
          <w:sz w:val="20"/>
          <w:szCs w:val="20"/>
          <w:color w:val="auto"/>
        </w:rPr>
      </w:pPr>
      <w:r>
        <w:rPr>
          <w:rFonts w:ascii="Times New Roman" w:cs="Times New Roman" w:eastAsia="Times New Roman" w:hAnsi="Times New Roman"/>
          <w:sz w:val="18"/>
          <w:szCs w:val="18"/>
          <w:color w:val="auto"/>
        </w:rPr>
        <w:t>At March 31, 2024, cash and cash equivalents totaled $949.6 million. This represented an increase of $722.1 million, or 317.34%, from $227.5 million at March 31, 2023. Our cash on deposit at the Federal Reserve grew by more than $700 million when compared to March 31, 2023. This growth in cash was partly attributable to the issuance of $300 million in brokered deposits. These deposits, which mature every 90 days, were combined with cash flow hedges which resulted in a fixed rate of approximately 4.2%.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 Management</w:t>
      </w:r>
    </w:p>
    <w:p>
      <w:pPr>
        <w:spacing w:after="0" w:line="229" w:lineRule="exact"/>
        <w:rPr>
          <w:sz w:val="20"/>
          <w:szCs w:val="20"/>
          <w:color w:val="auto"/>
        </w:rPr>
      </w:pPr>
    </w:p>
    <w:p>
      <w:pPr>
        <w:ind w:right="100" w:firstLine="469"/>
        <w:spacing w:after="0" w:line="254" w:lineRule="auto"/>
        <w:rPr>
          <w:sz w:val="20"/>
          <w:szCs w:val="20"/>
          <w:color w:val="auto"/>
        </w:rPr>
      </w:pPr>
      <w:r>
        <w:rPr>
          <w:rFonts w:ascii="Times New Roman" w:cs="Times New Roman" w:eastAsia="Times New Roman" w:hAnsi="Times New Roman"/>
          <w:sz w:val="18"/>
          <w:szCs w:val="18"/>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88" w:lineRule="exact"/>
        <w:rPr>
          <w:sz w:val="20"/>
          <w:szCs w:val="20"/>
          <w:color w:val="auto"/>
        </w:rPr>
      </w:pPr>
    </w:p>
    <w:p>
      <w:pPr>
        <w:ind w:right="120" w:firstLine="469"/>
        <w:spacing w:after="0" w:line="255" w:lineRule="auto"/>
        <w:rPr>
          <w:sz w:val="20"/>
          <w:szCs w:val="20"/>
          <w:color w:val="auto"/>
        </w:rPr>
      </w:pPr>
      <w:r>
        <w:rPr>
          <w:rFonts w:ascii="Times New Roman" w:cs="Times New Roman" w:eastAsia="Times New Roman" w:hAnsi="Times New Roman"/>
          <w:sz w:val="18"/>
          <w:szCs w:val="18"/>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interest rate risk policy measures the sensitivity of our net interest income over both a one-year and two-year cumulative time horizon.</w:t>
      </w:r>
    </w:p>
    <w:p>
      <w:pPr>
        <w:spacing w:after="0" w:line="225" w:lineRule="exact"/>
        <w:rPr>
          <w:sz w:val="20"/>
          <w:szCs w:val="20"/>
          <w:color w:val="auto"/>
        </w:rPr>
      </w:pPr>
    </w:p>
    <w:p>
      <w:pPr>
        <w:jc w:val="both"/>
        <w:ind w:right="60" w:firstLine="469"/>
        <w:spacing w:after="0" w:line="257" w:lineRule="auto"/>
        <w:rPr>
          <w:sz w:val="20"/>
          <w:szCs w:val="20"/>
          <w:color w:val="auto"/>
        </w:rPr>
      </w:pPr>
      <w:r>
        <w:rPr>
          <w:rFonts w:ascii="Times New Roman" w:cs="Times New Roman" w:eastAsia="Times New Roman" w:hAnsi="Times New Roman"/>
          <w:sz w:val="18"/>
          <w:szCs w:val="18"/>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 and two year</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65" w:name="page66"/>
    <w:bookmarkEnd w:id="65"/>
    <w:p>
      <w:pPr>
        <w:ind w:right="80"/>
        <w:spacing w:after="0" w:line="266" w:lineRule="auto"/>
        <w:rPr>
          <w:sz w:val="20"/>
          <w:szCs w:val="20"/>
          <w:color w:val="auto"/>
        </w:rPr>
      </w:pPr>
      <w:r>
        <w:rPr>
          <w:rFonts w:ascii="Times New Roman" w:cs="Times New Roman" w:eastAsia="Times New Roman" w:hAnsi="Times New Roman"/>
          <w:sz w:val="18"/>
          <w:szCs w:val="18"/>
          <w:color w:val="auto"/>
        </w:rPr>
        <w:t>horizon assuming no balance sheet growth, given a 200 basis point upward and a 200 basis point downward shift in interest rates depending on the level of current market rates. The simulation model uses a parallel yield curve shift that ramps rates up or down on a pro rata basis over 12-months and measures the resulting net interest income sensitivity over both the 12-month and 24-month time horizons.</w:t>
      </w:r>
    </w:p>
    <w:p>
      <w:pPr>
        <w:spacing w:after="0" w:line="176" w:lineRule="exact"/>
        <w:rPr>
          <w:sz w:val="20"/>
          <w:szCs w:val="20"/>
          <w:color w:val="auto"/>
        </w:rPr>
      </w:pPr>
    </w:p>
    <w:p>
      <w:pPr>
        <w:ind w:right="240" w:firstLine="464"/>
        <w:spacing w:after="0" w:line="282" w:lineRule="auto"/>
        <w:rPr>
          <w:sz w:val="20"/>
          <w:szCs w:val="20"/>
          <w:color w:val="auto"/>
        </w:rPr>
      </w:pPr>
      <w:r>
        <w:rPr>
          <w:rFonts w:ascii="Times New Roman" w:cs="Times New Roman" w:eastAsia="Times New Roman" w:hAnsi="Times New Roman"/>
          <w:sz w:val="18"/>
          <w:szCs w:val="18"/>
          <w:color w:val="auto"/>
        </w:rPr>
        <w:t>The following depicts the Company’s net interest income sensitivity analysis for the periods presented below, when rates are ramped up 200bps or ramped down 200bps over a 12-month time horizon.</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Estimated Net Interest Income Sensitivity (1)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400" w:type="dxa"/>
            <w:vAlign w:val="bottom"/>
            <w:tcBorders>
              <w:top w:val="single" w:sz="8" w:color="auto"/>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300" w:type="dxa"/>
            <w:vAlign w:val="bottom"/>
            <w:tcBorders>
              <w:top w:val="single" w:sz="8" w:color="auto"/>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3"/>
        </w:trPr>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24-month Period</w:t>
            </w: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8"/>
              </w:rPr>
              <w:t>24-month Period</w:t>
            </w:r>
          </w:p>
        </w:tc>
      </w:tr>
      <w:tr>
        <w:trPr>
          <w:trHeight w:val="245"/>
        </w:trPr>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 Rate Scenario</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12-month Period</w:t>
            </w:r>
          </w:p>
        </w:tc>
        <w:tc>
          <w:tcPr>
            <w:tcW w:w="1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160" w:type="dxa"/>
            <w:vAlign w:val="bottom"/>
          </w:tcPr>
          <w:p>
            <w:pPr>
              <w:spacing w:after="0"/>
              <w:rPr>
                <w:sz w:val="21"/>
                <w:szCs w:val="21"/>
                <w:color w:val="auto"/>
              </w:rPr>
            </w:pP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Interest Rate Scenario</w:t>
            </w:r>
          </w:p>
        </w:tc>
        <w:tc>
          <w:tcPr>
            <w:tcW w:w="1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12-month Period</w:t>
            </w:r>
          </w:p>
        </w:tc>
        <w:tc>
          <w:tcPr>
            <w:tcW w:w="16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r>
      <w:tr>
        <w:trPr>
          <w:trHeight w:val="243"/>
        </w:trPr>
        <w:tc>
          <w:tcPr>
            <w:tcW w:w="20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r>
      <w:tr>
        <w:trPr>
          <w:trHeight w:val="243"/>
        </w:trPr>
        <w:tc>
          <w:tcPr>
            <w:tcW w:w="21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+ 200 basis points</w:t>
            </w:r>
          </w:p>
        </w:tc>
        <w:tc>
          <w:tcPr>
            <w:tcW w:w="15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3.93%</w:t>
            </w:r>
          </w:p>
        </w:tc>
        <w:tc>
          <w:tcPr>
            <w:tcW w:w="186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shd w:val="clear" w:color="auto" w:fill="CFF0FC"/>
          </w:tcPr>
          <w:p>
            <w:pPr>
              <w:spacing w:after="0"/>
              <w:rPr>
                <w:sz w:val="21"/>
                <w:szCs w:val="21"/>
                <w:color w:val="auto"/>
              </w:rPr>
            </w:pPr>
          </w:p>
        </w:tc>
        <w:tc>
          <w:tcPr>
            <w:tcW w:w="222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+ 200 basis points</w:t>
            </w:r>
          </w:p>
        </w:tc>
        <w:tc>
          <w:tcPr>
            <w:tcW w:w="146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3.96%</w:t>
            </w:r>
          </w:p>
        </w:tc>
        <w:tc>
          <w:tcPr>
            <w:tcW w:w="184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4.56%</w:t>
            </w:r>
          </w:p>
        </w:tc>
      </w:tr>
      <w:tr>
        <w:trPr>
          <w:trHeight w:val="234"/>
        </w:trPr>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- 200 basis points</w:t>
            </w: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-4.69%</w:t>
            </w:r>
          </w:p>
        </w:tc>
        <w:tc>
          <w:tcPr>
            <w:tcW w:w="18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20"/>
                <w:szCs w:val="20"/>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- 200 basis points</w:t>
            </w: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-3.97%</w:t>
            </w:r>
          </w:p>
        </w:tc>
        <w:tc>
          <w:tcPr>
            <w:tcW w:w="18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-5.21%</w:t>
            </w:r>
          </w:p>
        </w:tc>
      </w:tr>
    </w:tbl>
    <w:p>
      <w:pPr>
        <w:spacing w:after="0" w:line="94"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change from base scenario.</w:t>
      </w:r>
    </w:p>
    <w:p>
      <w:pPr>
        <w:spacing w:after="0" w:line="208" w:lineRule="exact"/>
        <w:rPr>
          <w:sz w:val="20"/>
          <w:szCs w:val="20"/>
          <w:color w:val="auto"/>
        </w:rPr>
      </w:pPr>
    </w:p>
    <w:p>
      <w:pPr>
        <w:ind w:right="100" w:firstLine="469"/>
        <w:spacing w:after="0" w:line="255" w:lineRule="auto"/>
        <w:rPr>
          <w:sz w:val="20"/>
          <w:szCs w:val="20"/>
          <w:color w:val="auto"/>
        </w:rPr>
      </w:pPr>
      <w:r>
        <w:rPr>
          <w:rFonts w:ascii="Times New Roman" w:cs="Times New Roman" w:eastAsia="Times New Roman" w:hAnsi="Times New Roman"/>
          <w:sz w:val="18"/>
          <w:szCs w:val="18"/>
          <w:color w:val="auto"/>
        </w:rPr>
        <w:t>Based on our current simulation models, we believe that the interest rate risk profile of the balance sheet is modestly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w:t>
      </w:r>
    </w:p>
    <w:p>
      <w:pPr>
        <w:spacing w:after="0" w:line="189" w:lineRule="exact"/>
        <w:rPr>
          <w:sz w:val="20"/>
          <w:szCs w:val="20"/>
          <w:color w:val="auto"/>
        </w:rPr>
      </w:pPr>
    </w:p>
    <w:p>
      <w:pPr>
        <w:ind w:right="40" w:firstLine="469"/>
        <w:spacing w:after="0" w:line="253" w:lineRule="auto"/>
        <w:rPr>
          <w:sz w:val="20"/>
          <w:szCs w:val="20"/>
          <w:color w:val="auto"/>
        </w:rPr>
      </w:pPr>
      <w:r>
        <w:rPr>
          <w:rFonts w:ascii="Times New Roman" w:cs="Times New Roman" w:eastAsia="Times New Roman" w:hAnsi="Times New Roman"/>
          <w:sz w:val="18"/>
          <w:szCs w:val="18"/>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March 31, 2024 and December 31, 2023, the EVE profile indicates a decline in net balance sheet value due to instantaneous downward changes in rates. From December 31, 2023 to March 31, 2024, our EVE sensitivity to rising rates changed from a minimal decline in value to a modest gain in value due to increased cash balances. Our overall sensitivity of EVE to changes in interest rates is modest, with the exception of more meaningful reductions in value if rates were to immediately decline by 300 or 400 basis points.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Value of Equity Sensitivity</w:t>
            </w:r>
          </w:p>
        </w:tc>
        <w:tc>
          <w:tcPr>
            <w:tcW w:w="2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5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Instantaneous Rate Change</w:t>
            </w:r>
          </w:p>
        </w:tc>
        <w:tc>
          <w:tcPr>
            <w:tcW w:w="29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Pr>
          <w:p>
            <w:pPr>
              <w:spacing w:after="0"/>
              <w:rPr>
                <w:sz w:val="24"/>
                <w:szCs w:val="24"/>
                <w:color w:val="auto"/>
              </w:rPr>
            </w:pPr>
          </w:p>
        </w:tc>
        <w:tc>
          <w:tcPr>
            <w:tcW w:w="29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47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 bp decrease in interest rates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-17.0%</w:t>
            </w:r>
          </w:p>
        </w:tc>
        <w:tc>
          <w:tcPr>
            <w:tcW w:w="3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-13.9%</w:t>
            </w:r>
          </w:p>
        </w:tc>
      </w:tr>
      <w:tr>
        <w:trPr>
          <w:trHeight w:val="250"/>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300 bp decrease in interest rates</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-11.6%</w:t>
            </w:r>
          </w:p>
        </w:tc>
        <w:tc>
          <w:tcPr>
            <w:tcW w:w="326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6"/>
              </w:rPr>
              <w:t>-9.3%</w:t>
            </w:r>
          </w:p>
        </w:tc>
      </w:tr>
      <w:tr>
        <w:trPr>
          <w:trHeight w:val="23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bp decrease in interest rates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w:t>
            </w:r>
          </w:p>
        </w:tc>
        <w:tc>
          <w:tcPr>
            <w:tcW w:w="3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6"/>
              </w:rPr>
              <w:t>-4.7%</w:t>
            </w: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100 bp decrease in interest rates</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326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6"/>
              </w:rPr>
              <w:t>-1.6%</w:t>
            </w:r>
          </w:p>
        </w:tc>
      </w:tr>
      <w:tr>
        <w:trPr>
          <w:trHeight w:val="23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bp increase in interest rates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3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6"/>
              </w:rPr>
              <w:t>-0.4%</w:t>
            </w: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200 bp increase in interest rates</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326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6"/>
              </w:rPr>
              <w:t>-0.3%</w:t>
            </w:r>
          </w:p>
        </w:tc>
      </w:tr>
      <w:tr>
        <w:trPr>
          <w:trHeight w:val="23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 bp increase in interest rates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32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6"/>
              </w:rPr>
              <w:t>-1.0%</w:t>
            </w:r>
          </w:p>
        </w:tc>
      </w:tr>
      <w:tr>
        <w:trPr>
          <w:trHeight w:val="247"/>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400 bp increase in interest rates</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326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6"/>
              </w:rPr>
              <w:t>-2.2%</w:t>
            </w:r>
          </w:p>
        </w:tc>
      </w:tr>
    </w:tbl>
    <w:p>
      <w:pPr>
        <w:spacing w:after="0" w:line="198" w:lineRule="exact"/>
        <w:rPr>
          <w:sz w:val="20"/>
          <w:szCs w:val="20"/>
          <w:color w:val="auto"/>
        </w:rPr>
      </w:pPr>
    </w:p>
    <w:p>
      <w:pPr>
        <w:jc w:val="both"/>
        <w:ind w:right="180" w:firstLine="469"/>
        <w:spacing w:after="0" w:line="261" w:lineRule="auto"/>
        <w:rPr>
          <w:sz w:val="20"/>
          <w:szCs w:val="20"/>
          <w:color w:val="auto"/>
        </w:rPr>
      </w:pPr>
      <w:r>
        <w:rPr>
          <w:rFonts w:ascii="Times New Roman" w:cs="Times New Roman" w:eastAsia="Times New Roman" w:hAnsi="Times New Roman"/>
          <w:sz w:val="18"/>
          <w:szCs w:val="18"/>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Market risk is the risk of loss from adverse changes in the market prices and interest rates. Our market risk arises primarily from interest rate risk inherent in our lending and deposit taking activities. We do not currently have futures, forwards, or option contracts. As a result of the phase out of LIBOR, our interest rate swap derivatives and the associated loans that were indexed to LIBOR, have been replaced with one month CME Term SOFR. For further quantitative and qualitative disclosures about market risks in our portfolio, see “</w:t>
      </w:r>
      <w:r>
        <w:rPr>
          <w:rFonts w:ascii="Times New Roman" w:cs="Times New Roman" w:eastAsia="Times New Roman" w:hAnsi="Times New Roman"/>
          <w:sz w:val="18"/>
          <w:szCs w:val="18"/>
          <w:i w:val="1"/>
          <w:iCs w:val="1"/>
          <w:color w:val="auto"/>
        </w:rPr>
        <w:t>Asset/Liability Management and Interest Rate Sensitivity Management</w:t>
      </w:r>
      <w:r>
        <w:rPr>
          <w:rFonts w:ascii="Times New Roman" w:cs="Times New Roman" w:eastAsia="Times New Roman" w:hAnsi="Times New Roman"/>
          <w:sz w:val="18"/>
          <w:szCs w:val="18"/>
          <w:color w:val="auto"/>
        </w:rPr>
        <w:t>” included in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presented elsewhere in this report. This analysis should be read in conjunction with our Annual Report on Form 10-K for the year ended December 31, 2023. Our analysis of market risk and market-sensitive financial information contains forward-looking statements and is subject to the disclosure at the beginning of Part I regarding such forward-looking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46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80"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there have been no changes in our internal controls over financial reporting that have materially affected or are reasonably likely to materially affect our internal controls over financial reporting.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parties to various lawsuits and threatened lawsuits in the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bankruptcy-related claims and negligence claims, some of which may be styled as “class action” or representative cases. Some of these lawsuits may be similar in nature to other lawsuits pending against the Company’s competitors.</w:t>
      </w:r>
    </w:p>
    <w:p>
      <w:pPr>
        <w:spacing w:after="0" w:line="14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67"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2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Item 1A. to Part I of our Annual Report on Form 10-K for the year ended December 31, 2023. The materiality of any risks and uncertainties identified in our Forward Looking Statements contained in this report together with those previously disclosed in the Form 10-K or those that are presently unforeseen could result in significant adverse effects on our financial condition, results of operations and cash flows. See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5"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60" w:firstLine="469"/>
        <w:spacing w:after="0" w:line="256" w:lineRule="auto"/>
        <w:rPr>
          <w:sz w:val="20"/>
          <w:szCs w:val="20"/>
          <w:color w:val="auto"/>
        </w:rPr>
      </w:pPr>
      <w:r>
        <w:rPr>
          <w:rFonts w:ascii="Times New Roman" w:cs="Times New Roman" w:eastAsia="Times New Roman" w:hAnsi="Times New Roman"/>
          <w:sz w:val="18"/>
          <w:szCs w:val="18"/>
          <w:color w:val="auto"/>
        </w:rPr>
        <w:t>On February 1, 2022, our Board of Directors approved a program to repurchase up to 10,000,000 shares of CVB common stock in the open market or in privately negotiated transactions, at times and at prices considered appropriate by us, depending upon prevailing market conditions and other corporate and legal considerations ("2022 Repurchase Program"). We did not repurchase any shares of our common stock during the quarter ended March 31, 2024. As of March 31, 2024, an aggregate of 4,300,059 shares remained available for repurchase under our 2022 Repurchase Program. The only shares repurchased during the first quarter of 2024 were shares repurchased pursuant to net settlement by employees in satisfaction of income tax withholding obligations incurred through the vesting of Company stock awards.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Maximum Number of Shares</w:t>
            </w:r>
          </w:p>
        </w:tc>
      </w:tr>
      <w:tr>
        <w:trPr>
          <w:trHeight w:val="216"/>
        </w:trPr>
        <w:tc>
          <w:tcPr>
            <w:tcW w:w="25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5"/>
              </w:rPr>
              <w:t>Average Price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Available for Repurchase Under</w:t>
            </w:r>
          </w:p>
        </w:tc>
      </w:tr>
      <w:tr>
        <w:trPr>
          <w:trHeight w:val="245"/>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r>
      <w:tr>
        <w:trPr>
          <w:trHeight w:val="243"/>
        </w:trPr>
        <w:tc>
          <w:tcPr>
            <w:tcW w:w="25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1 - 31, 2024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59,970</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160" w:type="dxa"/>
            <w:vAlign w:val="bottom"/>
            <w:shd w:val="clear" w:color="auto" w:fill="CFF0FC"/>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4,300,059</w:t>
            </w:r>
          </w:p>
        </w:tc>
        <w:tc>
          <w:tcPr>
            <w:tcW w:w="100" w:type="dxa"/>
            <w:vAlign w:val="bottom"/>
            <w:shd w:val="clear" w:color="auto" w:fill="CFF0FC"/>
          </w:tcPr>
          <w:p>
            <w:pPr>
              <w:spacing w:after="0"/>
              <w:rPr>
                <w:sz w:val="21"/>
                <w:szCs w:val="21"/>
                <w:color w:val="auto"/>
              </w:rPr>
            </w:pPr>
          </w:p>
        </w:tc>
      </w:tr>
      <w:tr>
        <w:trPr>
          <w:trHeight w:val="23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1 - 29,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18,923</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4,300,059</w:t>
            </w:r>
          </w:p>
        </w:tc>
        <w:tc>
          <w:tcPr>
            <w:tcW w:w="100" w:type="dxa"/>
            <w:vAlign w:val="bottom"/>
          </w:tcPr>
          <w:p>
            <w:pPr>
              <w:spacing w:after="0"/>
              <w:rPr>
                <w:sz w:val="20"/>
                <w:szCs w:val="20"/>
                <w:color w:val="auto"/>
              </w:rPr>
            </w:pPr>
          </w:p>
        </w:tc>
      </w:tr>
      <w:tr>
        <w:trPr>
          <w:trHeight w:val="247"/>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1 - 31, 2024</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66,826</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2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4,300,059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145,719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4,300,059</w:t>
            </w:r>
          </w:p>
        </w:tc>
        <w:tc>
          <w:tcPr>
            <w:tcW w:w="100" w:type="dxa"/>
            <w:vAlign w:val="bottom"/>
          </w:tcPr>
          <w:p>
            <w:pPr>
              <w:spacing w:after="0"/>
              <w:rPr>
                <w:sz w:val="20"/>
                <w:szCs w:val="20"/>
                <w:color w:val="auto"/>
              </w:rPr>
            </w:pPr>
          </w:p>
        </w:tc>
      </w:tr>
      <w:tr>
        <w:trPr>
          <w:trHeight w:val="20"/>
        </w:trPr>
        <w:tc>
          <w:tcPr>
            <w:tcW w:w="25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-187960</wp:posOffset>
            </wp:positionV>
            <wp:extent cx="7683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-187960</wp:posOffset>
            </wp:positionV>
            <wp:extent cx="7683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-187960</wp:posOffset>
            </wp:positionV>
            <wp:extent cx="6858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760" w:right="20" w:hanging="378"/>
        <w:spacing w:after="0" w:line="298" w:lineRule="auto"/>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repurchased pursuant to net settlement by employees in satisfaction of income tax withholding obligations incurred through the vesting of Company stock awards.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40" w:type="dxa"/>
            <w:vAlign w:val="bottom"/>
          </w:tcPr>
          <w:p>
            <w:pPr>
              <w:spacing w:after="0"/>
              <w:rPr>
                <w:sz w:val="20"/>
                <w:szCs w:val="20"/>
                <w:color w:val="auto"/>
              </w:rPr>
            </w:pPr>
          </w:p>
        </w:tc>
        <w:tc>
          <w:tcPr>
            <w:tcW w:w="9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30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24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left w:val="single" w:sz="8" w:color="0000EE"/>
            </w:tcBorders>
          </w:tcPr>
          <w:p>
            <w:pPr>
              <w:spacing w:after="0" w:line="20" w:lineRule="exact"/>
              <w:rPr>
                <w:sz w:val="1"/>
                <w:szCs w:val="1"/>
                <w:color w:val="auto"/>
              </w:rPr>
            </w:pPr>
          </w:p>
        </w:tc>
      </w:tr>
      <w:tr>
        <w:trPr>
          <w:trHeight w:val="22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24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2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24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left w:val="single" w:sz="8" w:color="0000EE"/>
            </w:tcBorders>
          </w:tcPr>
          <w:p>
            <w:pPr>
              <w:spacing w:after="0" w:line="20" w:lineRule="exact"/>
              <w:rPr>
                <w:sz w:val="1"/>
                <w:szCs w:val="1"/>
                <w:color w:val="auto"/>
              </w:rPr>
            </w:pPr>
          </w:p>
        </w:tc>
      </w:tr>
      <w:tr>
        <w:trPr>
          <w:trHeight w:val="22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24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5"/>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1"/>
                <w:szCs w:val="21"/>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4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240" w:type="dxa"/>
            <w:vAlign w:val="bottom"/>
          </w:tcPr>
          <w:p>
            <w:pPr>
              <w:spacing w:after="0"/>
              <w:rPr>
                <w:sz w:val="21"/>
                <w:szCs w:val="21"/>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9" w:lineRule="exact"/>
        <w:rPr>
          <w:sz w:val="20"/>
          <w:szCs w:val="20"/>
          <w:color w:val="auto"/>
        </w:rPr>
      </w:pPr>
    </w:p>
    <w:p>
      <w:pPr>
        <w:ind w:left="1440" w:right="420" w:hanging="966"/>
        <w:spacing w:after="0" w:line="282" w:lineRule="auto"/>
        <w:tabs>
          <w:tab w:leader="none" w:pos="14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2024, has been formatted in Inline XBRL.</w:t>
      </w:r>
    </w:p>
    <w:p>
      <w:pPr>
        <w:spacing w:after="0" w:line="26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Filed herewith</w:t>
      </w:r>
    </w:p>
    <w:p>
      <w:pPr>
        <w:spacing w:after="0" w:line="40" w:lineRule="exact"/>
        <w:rPr>
          <w:rFonts w:ascii="Times New Roman" w:cs="Times New Roman" w:eastAsia="Times New Roman" w:hAnsi="Times New Roman"/>
          <w:sz w:val="18"/>
          <w:szCs w:val="18"/>
          <w:color w:val="auto"/>
        </w:rPr>
      </w:pPr>
    </w:p>
    <w:p>
      <w:pPr>
        <w:ind w:left="1680" w:hanging="1339"/>
        <w:spacing w:after="0"/>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237426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CVB FINANCIAL CORP.</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May 9, 2024</w:t>
            </w:r>
          </w:p>
        </w:tc>
      </w:tr>
    </w:tbl>
    <w:p>
      <w:pPr>
        <w:spacing w:after="0" w:line="17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/s/ E. Allen Nicholson</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E. Allen Nicholson</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089" w:right="7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Brager, certify that:</w:t>
      </w:r>
    </w:p>
    <w:p>
      <w:pPr>
        <w:spacing w:after="0" w:line="225"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CVB Financial Corp.;</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9, 2024</w:t>
            </w:r>
          </w:p>
        </w:tc>
        <w:tc>
          <w:tcPr>
            <w:tcW w:w="28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David A. Brager</w:t>
            </w:r>
          </w:p>
        </w:tc>
        <w:tc>
          <w:tcPr>
            <w:tcW w:w="3040" w:type="dxa"/>
            <w:vAlign w:val="bottom"/>
          </w:tcPr>
          <w:p>
            <w:pPr>
              <w:spacing w:after="0"/>
              <w:rPr>
                <w:sz w:val="18"/>
                <w:szCs w:val="18"/>
                <w:color w:val="auto"/>
              </w:rPr>
            </w:pPr>
          </w:p>
        </w:tc>
      </w:tr>
      <w:tr>
        <w:trPr>
          <w:trHeight w:val="232"/>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Brager</w:t>
            </w:r>
          </w:p>
        </w:tc>
      </w:tr>
      <w:tr>
        <w:trPr>
          <w:trHeight w:val="234"/>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208"/>
        </w:trPr>
        <w:tc>
          <w:tcPr>
            <w:tcW w:w="5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 Allen Nicholson, certify that:</w:t>
      </w:r>
    </w:p>
    <w:p>
      <w:pPr>
        <w:spacing w:after="0" w:line="22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CVB Financial Corp.;</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9, 2024</w:t>
            </w:r>
          </w:p>
        </w:tc>
        <w:tc>
          <w:tcPr>
            <w:tcW w:w="28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 Allen Nicholson</w:t>
            </w:r>
          </w:p>
        </w:tc>
      </w:tr>
      <w:tr>
        <w:trPr>
          <w:trHeight w:val="232"/>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 Allen Nicholson</w:t>
            </w:r>
          </w:p>
        </w:tc>
        <w:tc>
          <w:tcPr>
            <w:tcW w:w="2860" w:type="dxa"/>
            <w:vAlign w:val="bottom"/>
          </w:tcPr>
          <w:p>
            <w:pPr>
              <w:spacing w:after="0"/>
              <w:rPr>
                <w:sz w:val="20"/>
                <w:szCs w:val="20"/>
                <w:color w:val="auto"/>
              </w:rPr>
            </w:pPr>
          </w:p>
        </w:tc>
      </w:tr>
      <w:tr>
        <w:trPr>
          <w:trHeight w:val="234"/>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08"/>
        </w:trPr>
        <w:tc>
          <w:tcPr>
            <w:tcW w:w="5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CVB Financial Corp. (the “Company”) on Form 10-Q for the period ended March 31, 2024, as filed with the Securities and Exchange Commission on the date hereof (the “Report”), I, David A. Brager, President and Chief Executive Officer of the Company, certify, pursuant to 18 U.S.C. § 1350, as adopted pursuant to § 906 of the Sarbanes-Oxley Act of 2002, to the best of my knowledge that:</w:t>
      </w:r>
    </w:p>
    <w:p>
      <w:pPr>
        <w:spacing w:after="0" w:line="176"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9, 2024</w:t>
            </w:r>
          </w:p>
        </w:tc>
        <w:tc>
          <w:tcPr>
            <w:tcW w:w="28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David A. Brager</w:t>
            </w:r>
          </w:p>
        </w:tc>
        <w:tc>
          <w:tcPr>
            <w:tcW w:w="3040" w:type="dxa"/>
            <w:vAlign w:val="bottom"/>
          </w:tcPr>
          <w:p>
            <w:pPr>
              <w:spacing w:after="0"/>
              <w:rPr>
                <w:sz w:val="17"/>
                <w:szCs w:val="17"/>
                <w:color w:val="auto"/>
              </w:rPr>
            </w:pPr>
          </w:p>
        </w:tc>
      </w:tr>
      <w:tr>
        <w:trPr>
          <w:trHeight w:val="232"/>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Brager</w:t>
            </w:r>
          </w:p>
        </w:tc>
      </w:tr>
      <w:tr>
        <w:trPr>
          <w:trHeight w:val="234"/>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208"/>
        </w:trPr>
        <w:tc>
          <w:tcPr>
            <w:tcW w:w="5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CVB Financial Corp. (the “Company”) on Form 10-Q for the period ended March 31, 2024,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76"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9, 2024</w:t>
            </w:r>
          </w:p>
        </w:tc>
        <w:tc>
          <w:tcPr>
            <w:tcW w:w="28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 Allen Nicholson</w:t>
            </w:r>
          </w:p>
        </w:tc>
      </w:tr>
      <w:tr>
        <w:trPr>
          <w:trHeight w:val="232"/>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 Allen Nicholson</w:t>
            </w:r>
          </w:p>
        </w:tc>
        <w:tc>
          <w:tcPr>
            <w:tcW w:w="2860" w:type="dxa"/>
            <w:vAlign w:val="bottom"/>
          </w:tcPr>
          <w:p>
            <w:pPr>
              <w:spacing w:after="0"/>
              <w:rPr>
                <w:sz w:val="20"/>
                <w:szCs w:val="20"/>
                <w:color w:val="auto"/>
              </w:rPr>
            </w:pPr>
          </w:p>
        </w:tc>
      </w:tr>
      <w:tr>
        <w:trPr>
          <w:trHeight w:val="234"/>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08"/>
        </w:trPr>
        <w:tc>
          <w:tcPr>
            <w:tcW w:w="5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5"/>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lvl w:ilvl="1">
      <w:lvlJc w:val="left"/>
      <w:lvlText w:val="%2"/>
      <w:numFmt w:val="decimal"/>
      <w:start w:val="104"/>
    </w:lvl>
  </w:abstractNum>
  <w:abstractNum w:abstractNumId="21">
    <w:nsid w:val="75A2A8D4"/>
    <w:multiLevelType w:val="hybridMultilevel"/>
    <w:lvl w:ilvl="0">
      <w:lvlJc w:val="left"/>
      <w:lvlText w:val="**"/>
      <w:numFmt w:val="bullet"/>
      <w:start w:val="1"/>
    </w:lvl>
    <w:lvl w:ilvl="1">
      <w:lvlJc w:val="left"/>
      <w:lvlText w:val="%2"/>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2024-05-09T10:43:16Z</dcterms:created>
  <dcterms:modified xsi:type="dcterms:W3CDTF">2024-05-09T10:43:16Z</dcterms:modified>
</cp:coreProperties>
</file>