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CVB Financial Corp.</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000-10140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95-3629339</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701 N HAVEN AVE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STE 350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ONTARIO ,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91764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909 980-4030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9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3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CVBF</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17"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May 20, 2026, CVB Financial Corp. (the “Company”) held its 2026 Annual Meeting of Shareholders.</w:t>
      </w:r>
    </w:p>
    <w:p>
      <w:pPr>
        <w:spacing w:after="0" w:line="215" w:lineRule="exact"/>
        <w:rPr>
          <w:rFonts w:ascii="Times New Roman" w:cs="Times New Roman" w:eastAsia="Times New Roman" w:hAnsi="Times New Roman"/>
          <w:sz w:val="20"/>
          <w:szCs w:val="20"/>
          <w:color w:val="auto"/>
        </w:rPr>
      </w:pPr>
    </w:p>
    <w:p>
      <w:pPr>
        <w:ind w:left="380" w:right="240" w:hanging="372"/>
        <w:spacing w:after="0" w:line="269" w:lineRule="auto"/>
        <w:tabs>
          <w:tab w:leader="none" w:pos="3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matters submitted to the Company’s shareholders was approved by the requisite voting power required for approval of the respective proposal. The results of the voting on the matters submitted to the Company’s shareholders are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Proposal 1 – Election of Directors.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ten (10) individuals were elected to serve as directors of the Company for a one-year term expiring at the Company’s 2027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Annual Meeting of Shareholders or until their successors are elected and qualified:</w:t>
      </w:r>
    </w:p>
    <w:p>
      <w:pPr>
        <w:spacing w:after="0" w:line="175"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Nominee</w:t>
            </w:r>
          </w:p>
        </w:tc>
        <w:tc>
          <w:tcPr>
            <w:tcW w:w="76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Votes For</w:t>
            </w:r>
          </w:p>
        </w:tc>
        <w:tc>
          <w:tcPr>
            <w:tcW w:w="2280" w:type="dxa"/>
            <w:vAlign w:val="bottom"/>
            <w:gridSpan w:val="3"/>
          </w:tcPr>
          <w:p>
            <w:pPr>
              <w:jc w:val="right"/>
              <w:ind w:right="720"/>
              <w:spacing w:after="0"/>
              <w:rPr>
                <w:sz w:val="20"/>
                <w:szCs w:val="20"/>
                <w:color w:val="auto"/>
              </w:rPr>
            </w:pPr>
            <w:r>
              <w:rPr>
                <w:rFonts w:ascii="Times New Roman" w:cs="Times New Roman" w:eastAsia="Times New Roman" w:hAnsi="Times New Roman"/>
                <w:sz w:val="20"/>
                <w:szCs w:val="20"/>
                <w:color w:val="auto"/>
              </w:rPr>
              <w:t>Votes Withheld</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Broker Non-Votes</w:t>
            </w:r>
          </w:p>
        </w:tc>
      </w:tr>
      <w:tr>
        <w:trPr>
          <w:trHeight w:val="20"/>
        </w:trPr>
        <w:tc>
          <w:tcPr>
            <w:tcW w:w="7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27"/>
        </w:trPr>
        <w:tc>
          <w:tcPr>
            <w:tcW w:w="26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Julianne Biagini-Komas</w:t>
            </w:r>
          </w:p>
        </w:tc>
        <w:tc>
          <w:tcPr>
            <w:tcW w:w="15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96,124,336</w:t>
            </w:r>
          </w:p>
        </w:tc>
        <w:tc>
          <w:tcPr>
            <w:tcW w:w="320" w:type="dxa"/>
            <w:vAlign w:val="bottom"/>
          </w:tcPr>
          <w:p>
            <w:pPr>
              <w:spacing w:after="0"/>
              <w:rPr>
                <w:sz w:val="19"/>
                <w:szCs w:val="19"/>
                <w:color w:val="auto"/>
              </w:rPr>
            </w:pPr>
          </w:p>
        </w:tc>
        <w:tc>
          <w:tcPr>
            <w:tcW w:w="2280" w:type="dxa"/>
            <w:vAlign w:val="bottom"/>
            <w:gridSpan w:val="3"/>
          </w:tcPr>
          <w:p>
            <w:pPr>
              <w:jc w:val="right"/>
              <w:ind w:right="720"/>
              <w:spacing w:after="0" w:line="228" w:lineRule="exact"/>
              <w:rPr>
                <w:sz w:val="20"/>
                <w:szCs w:val="20"/>
                <w:color w:val="auto"/>
              </w:rPr>
            </w:pPr>
            <w:r>
              <w:rPr>
                <w:rFonts w:ascii="Times New Roman" w:cs="Times New Roman" w:eastAsia="Times New Roman" w:hAnsi="Times New Roman"/>
                <w:sz w:val="20"/>
                <w:szCs w:val="20"/>
                <w:color w:val="auto"/>
              </w:rPr>
              <w:t>2,732,588</w:t>
            </w:r>
          </w:p>
        </w:tc>
        <w:tc>
          <w:tcPr>
            <w:tcW w:w="14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15,839,830</w:t>
            </w:r>
          </w:p>
        </w:tc>
      </w:tr>
      <w:tr>
        <w:trPr>
          <w:trHeight w:val="229"/>
        </w:trPr>
        <w:tc>
          <w:tcPr>
            <w:tcW w:w="2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George A. Borba, Jr.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95,502,501</w:t>
            </w:r>
          </w:p>
        </w:tc>
        <w:tc>
          <w:tcPr>
            <w:tcW w:w="320" w:type="dxa"/>
            <w:vAlign w:val="bottom"/>
          </w:tcPr>
          <w:p>
            <w:pPr>
              <w:spacing w:after="0"/>
              <w:rPr>
                <w:sz w:val="19"/>
                <w:szCs w:val="19"/>
                <w:color w:val="auto"/>
              </w:rPr>
            </w:pPr>
          </w:p>
        </w:tc>
        <w:tc>
          <w:tcPr>
            <w:tcW w:w="2280" w:type="dxa"/>
            <w:vAlign w:val="bottom"/>
            <w:gridSpan w:val="3"/>
          </w:tcPr>
          <w:p>
            <w:pPr>
              <w:jc w:val="right"/>
              <w:ind w:right="720"/>
              <w:spacing w:after="0"/>
              <w:rPr>
                <w:sz w:val="20"/>
                <w:szCs w:val="20"/>
                <w:color w:val="auto"/>
              </w:rPr>
            </w:pPr>
            <w:r>
              <w:rPr>
                <w:rFonts w:ascii="Times New Roman" w:cs="Times New Roman" w:eastAsia="Times New Roman" w:hAnsi="Times New Roman"/>
                <w:sz w:val="20"/>
                <w:szCs w:val="20"/>
                <w:color w:val="auto"/>
              </w:rPr>
              <w:t>3,354,423</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15,839,830</w:t>
            </w:r>
          </w:p>
        </w:tc>
      </w:tr>
      <w:tr>
        <w:trPr>
          <w:trHeight w:val="230"/>
        </w:trPr>
        <w:tc>
          <w:tcPr>
            <w:tcW w:w="2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David A. Brager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95,696,662</w:t>
            </w:r>
          </w:p>
        </w:tc>
        <w:tc>
          <w:tcPr>
            <w:tcW w:w="320" w:type="dxa"/>
            <w:vAlign w:val="bottom"/>
          </w:tcPr>
          <w:p>
            <w:pPr>
              <w:spacing w:after="0"/>
              <w:rPr>
                <w:sz w:val="19"/>
                <w:szCs w:val="19"/>
                <w:color w:val="auto"/>
              </w:rPr>
            </w:pPr>
          </w:p>
        </w:tc>
        <w:tc>
          <w:tcPr>
            <w:tcW w:w="2280" w:type="dxa"/>
            <w:vAlign w:val="bottom"/>
            <w:gridSpan w:val="3"/>
          </w:tcPr>
          <w:p>
            <w:pPr>
              <w:jc w:val="right"/>
              <w:ind w:right="720"/>
              <w:spacing w:after="0"/>
              <w:rPr>
                <w:sz w:val="20"/>
                <w:szCs w:val="20"/>
                <w:color w:val="auto"/>
              </w:rPr>
            </w:pPr>
            <w:r>
              <w:rPr>
                <w:rFonts w:ascii="Times New Roman" w:cs="Times New Roman" w:eastAsia="Times New Roman" w:hAnsi="Times New Roman"/>
                <w:sz w:val="20"/>
                <w:szCs w:val="20"/>
                <w:color w:val="auto"/>
              </w:rPr>
              <w:t>3,160,262</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15,839,830</w:t>
            </w:r>
          </w:p>
        </w:tc>
      </w:tr>
      <w:tr>
        <w:trPr>
          <w:trHeight w:val="229"/>
        </w:trPr>
        <w:tc>
          <w:tcPr>
            <w:tcW w:w="2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Stephen A. Del Guercio</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95,421,452</w:t>
            </w:r>
          </w:p>
        </w:tc>
        <w:tc>
          <w:tcPr>
            <w:tcW w:w="320" w:type="dxa"/>
            <w:vAlign w:val="bottom"/>
          </w:tcPr>
          <w:p>
            <w:pPr>
              <w:spacing w:after="0"/>
              <w:rPr>
                <w:sz w:val="19"/>
                <w:szCs w:val="19"/>
                <w:color w:val="auto"/>
              </w:rPr>
            </w:pPr>
          </w:p>
        </w:tc>
        <w:tc>
          <w:tcPr>
            <w:tcW w:w="2280" w:type="dxa"/>
            <w:vAlign w:val="bottom"/>
            <w:gridSpan w:val="3"/>
          </w:tcPr>
          <w:p>
            <w:pPr>
              <w:jc w:val="right"/>
              <w:ind w:right="720"/>
              <w:spacing w:after="0"/>
              <w:rPr>
                <w:sz w:val="20"/>
                <w:szCs w:val="20"/>
                <w:color w:val="auto"/>
              </w:rPr>
            </w:pPr>
            <w:r>
              <w:rPr>
                <w:rFonts w:ascii="Times New Roman" w:cs="Times New Roman" w:eastAsia="Times New Roman" w:hAnsi="Times New Roman"/>
                <w:sz w:val="20"/>
                <w:szCs w:val="20"/>
                <w:color w:val="auto"/>
              </w:rPr>
              <w:t>3,435,472</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15,839,830</w:t>
            </w:r>
          </w:p>
        </w:tc>
      </w:tr>
      <w:tr>
        <w:trPr>
          <w:trHeight w:val="229"/>
        </w:trPr>
        <w:tc>
          <w:tcPr>
            <w:tcW w:w="2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Clay Jones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94,819,332</w:t>
            </w:r>
          </w:p>
        </w:tc>
        <w:tc>
          <w:tcPr>
            <w:tcW w:w="320" w:type="dxa"/>
            <w:vAlign w:val="bottom"/>
          </w:tcPr>
          <w:p>
            <w:pPr>
              <w:spacing w:after="0"/>
              <w:rPr>
                <w:sz w:val="19"/>
                <w:szCs w:val="19"/>
                <w:color w:val="auto"/>
              </w:rPr>
            </w:pPr>
          </w:p>
        </w:tc>
        <w:tc>
          <w:tcPr>
            <w:tcW w:w="2280" w:type="dxa"/>
            <w:vAlign w:val="bottom"/>
            <w:gridSpan w:val="3"/>
          </w:tcPr>
          <w:p>
            <w:pPr>
              <w:jc w:val="right"/>
              <w:ind w:right="720"/>
              <w:spacing w:after="0"/>
              <w:rPr>
                <w:sz w:val="20"/>
                <w:szCs w:val="20"/>
                <w:color w:val="auto"/>
              </w:rPr>
            </w:pPr>
            <w:r>
              <w:rPr>
                <w:rFonts w:ascii="Times New Roman" w:cs="Times New Roman" w:eastAsia="Times New Roman" w:hAnsi="Times New Roman"/>
                <w:sz w:val="20"/>
                <w:szCs w:val="20"/>
                <w:color w:val="auto"/>
              </w:rPr>
              <w:t>4,037,592</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15,839,830</w:t>
            </w:r>
          </w:p>
        </w:tc>
      </w:tr>
      <w:tr>
        <w:trPr>
          <w:trHeight w:val="230"/>
        </w:trPr>
        <w:tc>
          <w:tcPr>
            <w:tcW w:w="2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Anna Kan</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95,907,539</w:t>
            </w:r>
          </w:p>
        </w:tc>
        <w:tc>
          <w:tcPr>
            <w:tcW w:w="320" w:type="dxa"/>
            <w:vAlign w:val="bottom"/>
          </w:tcPr>
          <w:p>
            <w:pPr>
              <w:spacing w:after="0"/>
              <w:rPr>
                <w:sz w:val="19"/>
                <w:szCs w:val="19"/>
                <w:color w:val="auto"/>
              </w:rPr>
            </w:pPr>
          </w:p>
        </w:tc>
        <w:tc>
          <w:tcPr>
            <w:tcW w:w="2280" w:type="dxa"/>
            <w:vAlign w:val="bottom"/>
            <w:gridSpan w:val="3"/>
          </w:tcPr>
          <w:p>
            <w:pPr>
              <w:jc w:val="right"/>
              <w:ind w:right="720"/>
              <w:spacing w:after="0"/>
              <w:rPr>
                <w:sz w:val="20"/>
                <w:szCs w:val="20"/>
                <w:color w:val="auto"/>
              </w:rPr>
            </w:pPr>
            <w:r>
              <w:rPr>
                <w:rFonts w:ascii="Times New Roman" w:cs="Times New Roman" w:eastAsia="Times New Roman" w:hAnsi="Times New Roman"/>
                <w:sz w:val="20"/>
                <w:szCs w:val="20"/>
                <w:color w:val="auto"/>
              </w:rPr>
              <w:t>2,949,385</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15,839,830</w:t>
            </w:r>
          </w:p>
        </w:tc>
      </w:tr>
      <w:tr>
        <w:trPr>
          <w:trHeight w:val="229"/>
        </w:trPr>
        <w:tc>
          <w:tcPr>
            <w:tcW w:w="2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Jane Olvera Majors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95,870,597</w:t>
            </w:r>
          </w:p>
        </w:tc>
        <w:tc>
          <w:tcPr>
            <w:tcW w:w="320" w:type="dxa"/>
            <w:vAlign w:val="bottom"/>
          </w:tcPr>
          <w:p>
            <w:pPr>
              <w:spacing w:after="0"/>
              <w:rPr>
                <w:sz w:val="19"/>
                <w:szCs w:val="19"/>
                <w:color w:val="auto"/>
              </w:rPr>
            </w:pPr>
          </w:p>
        </w:tc>
        <w:tc>
          <w:tcPr>
            <w:tcW w:w="2280" w:type="dxa"/>
            <w:vAlign w:val="bottom"/>
            <w:gridSpan w:val="3"/>
          </w:tcPr>
          <w:p>
            <w:pPr>
              <w:jc w:val="right"/>
              <w:ind w:right="720"/>
              <w:spacing w:after="0"/>
              <w:rPr>
                <w:sz w:val="20"/>
                <w:szCs w:val="20"/>
                <w:color w:val="auto"/>
              </w:rPr>
            </w:pPr>
            <w:r>
              <w:rPr>
                <w:rFonts w:ascii="Times New Roman" w:cs="Times New Roman" w:eastAsia="Times New Roman" w:hAnsi="Times New Roman"/>
                <w:sz w:val="20"/>
                <w:szCs w:val="20"/>
                <w:color w:val="auto"/>
              </w:rPr>
              <w:t>2,986,327</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15,839,830</w:t>
            </w:r>
          </w:p>
        </w:tc>
      </w:tr>
      <w:tr>
        <w:trPr>
          <w:trHeight w:val="230"/>
        </w:trPr>
        <w:tc>
          <w:tcPr>
            <w:tcW w:w="2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Raymond V. O’Brien III</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94,920,475</w:t>
            </w:r>
          </w:p>
        </w:tc>
        <w:tc>
          <w:tcPr>
            <w:tcW w:w="320" w:type="dxa"/>
            <w:vAlign w:val="bottom"/>
          </w:tcPr>
          <w:p>
            <w:pPr>
              <w:spacing w:after="0"/>
              <w:rPr>
                <w:sz w:val="19"/>
                <w:szCs w:val="19"/>
                <w:color w:val="auto"/>
              </w:rPr>
            </w:pPr>
          </w:p>
        </w:tc>
        <w:tc>
          <w:tcPr>
            <w:tcW w:w="2280" w:type="dxa"/>
            <w:vAlign w:val="bottom"/>
            <w:gridSpan w:val="3"/>
          </w:tcPr>
          <w:p>
            <w:pPr>
              <w:jc w:val="right"/>
              <w:ind w:right="720"/>
              <w:spacing w:after="0"/>
              <w:rPr>
                <w:sz w:val="20"/>
                <w:szCs w:val="20"/>
                <w:color w:val="auto"/>
              </w:rPr>
            </w:pPr>
            <w:r>
              <w:rPr>
                <w:rFonts w:ascii="Times New Roman" w:cs="Times New Roman" w:eastAsia="Times New Roman" w:hAnsi="Times New Roman"/>
                <w:sz w:val="20"/>
                <w:szCs w:val="20"/>
                <w:color w:val="auto"/>
              </w:rPr>
              <w:t>3,936,449</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15,839,830</w:t>
            </w:r>
          </w:p>
        </w:tc>
      </w:tr>
      <w:tr>
        <w:trPr>
          <w:trHeight w:val="229"/>
        </w:trPr>
        <w:tc>
          <w:tcPr>
            <w:tcW w:w="2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Hal W. Oswalt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94,760,819</w:t>
            </w:r>
          </w:p>
        </w:tc>
        <w:tc>
          <w:tcPr>
            <w:tcW w:w="320" w:type="dxa"/>
            <w:vAlign w:val="bottom"/>
          </w:tcPr>
          <w:p>
            <w:pPr>
              <w:spacing w:after="0"/>
              <w:rPr>
                <w:sz w:val="19"/>
                <w:szCs w:val="19"/>
                <w:color w:val="auto"/>
              </w:rPr>
            </w:pPr>
          </w:p>
        </w:tc>
        <w:tc>
          <w:tcPr>
            <w:tcW w:w="2280" w:type="dxa"/>
            <w:vAlign w:val="bottom"/>
            <w:gridSpan w:val="3"/>
          </w:tcPr>
          <w:p>
            <w:pPr>
              <w:jc w:val="right"/>
              <w:ind w:right="720"/>
              <w:spacing w:after="0"/>
              <w:rPr>
                <w:sz w:val="20"/>
                <w:szCs w:val="20"/>
                <w:color w:val="auto"/>
              </w:rPr>
            </w:pPr>
            <w:r>
              <w:rPr>
                <w:rFonts w:ascii="Times New Roman" w:cs="Times New Roman" w:eastAsia="Times New Roman" w:hAnsi="Times New Roman"/>
                <w:sz w:val="20"/>
                <w:szCs w:val="20"/>
                <w:color w:val="auto"/>
              </w:rPr>
              <w:t>4,096,105</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15,839,830</w:t>
            </w:r>
          </w:p>
        </w:tc>
      </w:tr>
      <w:tr>
        <w:trPr>
          <w:trHeight w:val="258"/>
        </w:trPr>
        <w:tc>
          <w:tcPr>
            <w:tcW w:w="2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Timothy Stephens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96,106,452</w:t>
            </w:r>
          </w:p>
        </w:tc>
        <w:tc>
          <w:tcPr>
            <w:tcW w:w="320" w:type="dxa"/>
            <w:vAlign w:val="bottom"/>
          </w:tcPr>
          <w:p>
            <w:pPr>
              <w:spacing w:after="0"/>
              <w:rPr>
                <w:sz w:val="22"/>
                <w:szCs w:val="22"/>
                <w:color w:val="auto"/>
              </w:rPr>
            </w:pPr>
          </w:p>
        </w:tc>
        <w:tc>
          <w:tcPr>
            <w:tcW w:w="2280" w:type="dxa"/>
            <w:vAlign w:val="bottom"/>
            <w:gridSpan w:val="3"/>
          </w:tcPr>
          <w:p>
            <w:pPr>
              <w:jc w:val="right"/>
              <w:ind w:right="720"/>
              <w:spacing w:after="0"/>
              <w:rPr>
                <w:sz w:val="20"/>
                <w:szCs w:val="20"/>
                <w:color w:val="auto"/>
              </w:rPr>
            </w:pPr>
            <w:r>
              <w:rPr>
                <w:rFonts w:ascii="Times New Roman" w:cs="Times New Roman" w:eastAsia="Times New Roman" w:hAnsi="Times New Roman"/>
                <w:sz w:val="20"/>
                <w:szCs w:val="20"/>
                <w:color w:val="auto"/>
              </w:rPr>
              <w:t>2,750,472</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15,839,830</w:t>
            </w:r>
          </w:p>
        </w:tc>
      </w:tr>
    </w:tbl>
    <w:p>
      <w:pPr>
        <w:spacing w:after="0" w:line="187"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u w:val="single" w:color="auto"/>
          <w:color w:val="auto"/>
        </w:rPr>
        <w:t>Proposal 2 – A Non-binding Advisory Vote to Approve the Compensation of the Company’s Named Executive Officers for 2025 (“Say-On-Pay”).</w:t>
      </w:r>
    </w:p>
    <w:p>
      <w:pPr>
        <w:spacing w:after="0" w:line="141" w:lineRule="exact"/>
        <w:rPr>
          <w:sz w:val="20"/>
          <w:szCs w:val="20"/>
          <w:color w:val="auto"/>
        </w:rPr>
      </w:pPr>
    </w:p>
    <w:tbl>
      <w:tblPr>
        <w:tblLayout w:type="fixed"/>
        <w:tblInd w:w="208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Votes For</w:t>
            </w:r>
          </w:p>
        </w:tc>
        <w:tc>
          <w:tcPr>
            <w:tcW w:w="660" w:type="dxa"/>
            <w:vAlign w:val="bottom"/>
          </w:tcPr>
          <w:p>
            <w:pPr>
              <w:spacing w:after="0"/>
              <w:rPr>
                <w:sz w:val="19"/>
                <w:szCs w:val="19"/>
                <w:color w:val="auto"/>
              </w:rPr>
            </w:pPr>
          </w:p>
        </w:tc>
        <w:tc>
          <w:tcPr>
            <w:tcW w:w="2180" w:type="dxa"/>
            <w:vAlign w:val="bottom"/>
            <w:gridSpan w:val="3"/>
          </w:tcPr>
          <w:p>
            <w:pPr>
              <w:jc w:val="center"/>
              <w:ind w:left="121"/>
              <w:spacing w:after="0"/>
              <w:rPr>
                <w:sz w:val="20"/>
                <w:szCs w:val="20"/>
                <w:color w:val="auto"/>
              </w:rPr>
            </w:pPr>
            <w:r>
              <w:rPr>
                <w:rFonts w:ascii="Times New Roman" w:cs="Times New Roman" w:eastAsia="Times New Roman" w:hAnsi="Times New Roman"/>
                <w:sz w:val="20"/>
                <w:szCs w:val="20"/>
                <w:color w:val="auto"/>
                <w:w w:val="98"/>
              </w:rPr>
              <w:t>Votes Against</w:t>
            </w:r>
          </w:p>
        </w:tc>
        <w:tc>
          <w:tcPr>
            <w:tcW w:w="2400" w:type="dxa"/>
            <w:vAlign w:val="bottom"/>
            <w:gridSpan w:val="3"/>
          </w:tcPr>
          <w:p>
            <w:pPr>
              <w:jc w:val="center"/>
              <w:ind w:right="260"/>
              <w:spacing w:after="0"/>
              <w:rPr>
                <w:sz w:val="20"/>
                <w:szCs w:val="20"/>
                <w:color w:val="auto"/>
              </w:rPr>
            </w:pPr>
            <w:r>
              <w:rPr>
                <w:rFonts w:ascii="Times New Roman" w:cs="Times New Roman" w:eastAsia="Times New Roman" w:hAnsi="Times New Roman"/>
                <w:sz w:val="20"/>
                <w:szCs w:val="20"/>
                <w:color w:val="auto"/>
                <w:w w:val="97"/>
              </w:rPr>
              <w:t>Votes Abstained</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Broker Non-Votes</w:t>
            </w: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r>
        <w:trPr>
          <w:trHeight w:val="256"/>
        </w:trPr>
        <w:tc>
          <w:tcPr>
            <w:tcW w:w="1500" w:type="dxa"/>
            <w:vAlign w:val="bottom"/>
            <w:gridSpan w:val="3"/>
          </w:tcPr>
          <w:p>
            <w:pPr>
              <w:jc w:val="right"/>
              <w:ind w:right="620"/>
              <w:spacing w:after="0"/>
              <w:rPr>
                <w:sz w:val="20"/>
                <w:szCs w:val="20"/>
                <w:color w:val="auto"/>
              </w:rPr>
            </w:pPr>
            <w:r>
              <w:rPr>
                <w:rFonts w:ascii="Times New Roman" w:cs="Times New Roman" w:eastAsia="Times New Roman" w:hAnsi="Times New Roman"/>
                <w:sz w:val="20"/>
                <w:szCs w:val="20"/>
                <w:color w:val="auto"/>
                <w:w w:val="95"/>
              </w:rPr>
              <w:t>92,116,229</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6,455,002</w:t>
            </w:r>
          </w:p>
        </w:tc>
        <w:tc>
          <w:tcPr>
            <w:tcW w:w="420" w:type="dxa"/>
            <w:vAlign w:val="bottom"/>
          </w:tcPr>
          <w:p>
            <w:pPr>
              <w:spacing w:after="0"/>
              <w:rPr>
                <w:sz w:val="22"/>
                <w:szCs w:val="22"/>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284,693</w:t>
            </w:r>
          </w:p>
        </w:tc>
        <w:tc>
          <w:tcPr>
            <w:tcW w:w="680" w:type="dxa"/>
            <w:vAlign w:val="bottom"/>
          </w:tcPr>
          <w:p>
            <w:pPr>
              <w:spacing w:after="0"/>
              <w:rPr>
                <w:sz w:val="22"/>
                <w:szCs w:val="22"/>
                <w:color w:val="auto"/>
              </w:rPr>
            </w:pPr>
          </w:p>
        </w:tc>
        <w:tc>
          <w:tcPr>
            <w:tcW w:w="14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15,839,830</w:t>
            </w:r>
          </w:p>
        </w:tc>
      </w:tr>
    </w:tbl>
    <w:p>
      <w:pPr>
        <w:spacing w:after="0" w:line="201"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20"/>
          <w:szCs w:val="20"/>
          <w:u w:val="single" w:color="auto"/>
          <w:color w:val="auto"/>
        </w:rPr>
        <w:t>Proposal 3 – Ratification of the Audit Committee’s Appointment of the Company’s Independent Registered Public Accounting Firm for 2026.</w:t>
      </w:r>
    </w:p>
    <w:p>
      <w:pPr>
        <w:spacing w:after="0" w:line="2"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The appointment of KPMG LLP to serve as the Company’s independent registered public accounting firm for 2026 was ratified. The voting results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Votes For</w:t>
            </w:r>
          </w:p>
        </w:tc>
        <w:tc>
          <w:tcPr>
            <w:tcW w:w="1200" w:type="dxa"/>
            <w:vAlign w:val="bottom"/>
          </w:tcPr>
          <w:p>
            <w:pPr>
              <w:spacing w:after="0"/>
              <w:rPr>
                <w:sz w:val="19"/>
                <w:szCs w:val="19"/>
                <w:color w:val="auto"/>
              </w:rPr>
            </w:pPr>
          </w:p>
        </w:tc>
        <w:tc>
          <w:tcPr>
            <w:tcW w:w="2060" w:type="dxa"/>
            <w:vAlign w:val="bottom"/>
            <w:gridSpan w:val="2"/>
          </w:tcPr>
          <w:p>
            <w:pPr>
              <w:jc w:val="center"/>
              <w:ind w:right="940"/>
              <w:spacing w:after="0"/>
              <w:rPr>
                <w:sz w:val="20"/>
                <w:szCs w:val="20"/>
                <w:color w:val="auto"/>
              </w:rPr>
            </w:pPr>
            <w:r>
              <w:rPr>
                <w:rFonts w:ascii="Times New Roman" w:cs="Times New Roman" w:eastAsia="Times New Roman" w:hAnsi="Times New Roman"/>
                <w:sz w:val="20"/>
                <w:szCs w:val="20"/>
                <w:color w:val="auto"/>
                <w:w w:val="98"/>
              </w:rPr>
              <w:t>Votes Against</w:t>
            </w:r>
          </w:p>
        </w:tc>
        <w:tc>
          <w:tcPr>
            <w:tcW w:w="2100" w:type="dxa"/>
            <w:vAlign w:val="bottom"/>
            <w:gridSpan w:val="2"/>
          </w:tcPr>
          <w:p>
            <w:pPr>
              <w:jc w:val="center"/>
              <w:ind w:right="780"/>
              <w:spacing w:after="0"/>
              <w:rPr>
                <w:sz w:val="20"/>
                <w:szCs w:val="20"/>
                <w:color w:val="auto"/>
              </w:rPr>
            </w:pPr>
            <w:r>
              <w:rPr>
                <w:rFonts w:ascii="Times New Roman" w:cs="Times New Roman" w:eastAsia="Times New Roman" w:hAnsi="Times New Roman"/>
                <w:sz w:val="20"/>
                <w:szCs w:val="20"/>
                <w:color w:val="auto"/>
                <w:w w:val="99"/>
              </w:rPr>
              <w:t>Votes Abstained</w:t>
            </w:r>
          </w:p>
        </w:tc>
        <w:tc>
          <w:tcPr>
            <w:tcW w:w="3100" w:type="dxa"/>
            <w:vAlign w:val="bottom"/>
            <w:gridSpan w:val="2"/>
          </w:tcPr>
          <w:p>
            <w:pPr>
              <w:jc w:val="center"/>
              <w:ind w:right="1640"/>
              <w:spacing w:after="0"/>
              <w:rPr>
                <w:sz w:val="20"/>
                <w:szCs w:val="20"/>
                <w:color w:val="auto"/>
              </w:rPr>
            </w:pPr>
            <w:r>
              <w:rPr>
                <w:rFonts w:ascii="Times New Roman" w:cs="Times New Roman" w:eastAsia="Times New Roman" w:hAnsi="Times New Roman"/>
                <w:sz w:val="20"/>
                <w:szCs w:val="20"/>
                <w:color w:val="auto"/>
                <w:w w:val="98"/>
              </w:rPr>
              <w:t>Broker Non-Votes</w:t>
            </w:r>
          </w:p>
        </w:tc>
      </w:tr>
      <w:tr>
        <w:trPr>
          <w:trHeight w:val="20"/>
        </w:trPr>
        <w:tc>
          <w:tcPr>
            <w:tcW w:w="2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6"/>
        </w:trPr>
        <w:tc>
          <w:tcPr>
            <w:tcW w:w="3980" w:type="dxa"/>
            <w:vAlign w:val="bottom"/>
            <w:gridSpan w:val="3"/>
          </w:tcPr>
          <w:p>
            <w:pPr>
              <w:jc w:val="right"/>
              <w:ind w:right="1100"/>
              <w:spacing w:after="0"/>
              <w:rPr>
                <w:sz w:val="20"/>
                <w:szCs w:val="20"/>
                <w:color w:val="auto"/>
              </w:rPr>
            </w:pPr>
            <w:r>
              <w:rPr>
                <w:rFonts w:ascii="Times New Roman" w:cs="Times New Roman" w:eastAsia="Times New Roman" w:hAnsi="Times New Roman"/>
                <w:sz w:val="20"/>
                <w:szCs w:val="20"/>
                <w:color w:val="auto"/>
              </w:rPr>
              <w:t>114,187,433</w:t>
            </w:r>
          </w:p>
        </w:tc>
        <w:tc>
          <w:tcPr>
            <w:tcW w:w="11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403,538</w:t>
            </w:r>
          </w:p>
        </w:tc>
        <w:tc>
          <w:tcPr>
            <w:tcW w:w="940" w:type="dxa"/>
            <w:vAlign w:val="bottom"/>
          </w:tcPr>
          <w:p>
            <w:pPr>
              <w:spacing w:after="0"/>
              <w:rPr>
                <w:sz w:val="22"/>
                <w:szCs w:val="22"/>
                <w:color w:val="auto"/>
              </w:rPr>
            </w:pPr>
          </w:p>
        </w:tc>
        <w:tc>
          <w:tcPr>
            <w:tcW w:w="13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105,783</w:t>
            </w:r>
          </w:p>
        </w:tc>
        <w:tc>
          <w:tcPr>
            <w:tcW w:w="780" w:type="dxa"/>
            <w:vAlign w:val="bottom"/>
          </w:tcPr>
          <w:p>
            <w:pPr>
              <w:spacing w:after="0"/>
              <w:rPr>
                <w:sz w:val="22"/>
                <w:szCs w:val="22"/>
                <w:color w:val="auto"/>
              </w:rPr>
            </w:pPr>
          </w:p>
        </w:tc>
        <w:tc>
          <w:tcPr>
            <w:tcW w:w="1460" w:type="dxa"/>
            <w:vAlign w:val="bottom"/>
          </w:tcPr>
          <w:p>
            <w:pPr>
              <w:jc w:val="right"/>
              <w:ind w:right="521"/>
              <w:spacing w:after="0"/>
              <w:rPr>
                <w:sz w:val="20"/>
                <w:szCs w:val="20"/>
                <w:color w:val="auto"/>
              </w:rPr>
            </w:pPr>
            <w:r>
              <w:rPr>
                <w:rFonts w:ascii="Times New Roman" w:cs="Times New Roman" w:eastAsia="Times New Roman" w:hAnsi="Times New Roman"/>
                <w:sz w:val="20"/>
                <w:szCs w:val="20"/>
                <w:color w:val="auto"/>
              </w:rPr>
              <w:t>-0-</w:t>
            </w:r>
          </w:p>
        </w:tc>
        <w:tc>
          <w:tcPr>
            <w:tcW w:w="1640" w:type="dxa"/>
            <w:vAlign w:val="bottom"/>
          </w:tcPr>
          <w:p>
            <w:pPr>
              <w:spacing w:after="0"/>
              <w:rPr>
                <w:sz w:val="22"/>
                <w:szCs w:val="22"/>
                <w:color w:val="auto"/>
              </w:rPr>
            </w:pPr>
          </w:p>
        </w:tc>
      </w:tr>
      <w:tr>
        <w:trPr>
          <w:trHeight w:val="973"/>
        </w:trPr>
        <w:tc>
          <w:tcPr>
            <w:tcW w:w="20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CVB Financial Corp.</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22, 2026</w:t>
      </w:r>
      <w:r>
        <w:rPr>
          <w:sz w:val="20"/>
          <w:szCs w:val="20"/>
          <w:color w:val="auto"/>
        </w:rPr>
        <w:tab/>
      </w:r>
      <w:r>
        <w:rPr>
          <w:rFonts w:ascii="Times New Roman" w:cs="Times New Roman" w:eastAsia="Times New Roman" w:hAnsi="Times New Roman"/>
          <w:sz w:val="18"/>
          <w:szCs w:val="18"/>
          <w:color w:val="auto"/>
        </w:rPr>
        <w:t>By:</w:t>
        <w:tab/>
        <w:t>/s/ Richard H. Wohl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Richard H. Wohl</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2026-05-22T12:42:59Z</dcterms:created>
  <dcterms:modified xsi:type="dcterms:W3CDTF">2026-05-22T12:42:59Z</dcterms:modified>
</cp:coreProperties>
</file>