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23"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September 30, 2021</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36"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Arial" w:cs="Arial" w:eastAsia="Arial" w:hAnsi="Arial"/>
                <w:sz w:val="16"/>
                <w:szCs w:val="16"/>
                <w:color w:val="auto"/>
              </w:rPr>
              <w:t>For the transition period from _____ to _____</w:t>
            </w:r>
          </w:p>
        </w:tc>
        <w:tc>
          <w:tcPr>
            <w:tcW w:w="4120" w:type="dxa"/>
            <w:vAlign w:val="bottom"/>
          </w:tcPr>
          <w:p>
            <w:pPr>
              <w:spacing w:after="0"/>
              <w:rPr>
                <w:sz w:val="17"/>
                <w:szCs w:val="17"/>
                <w:color w:val="auto"/>
              </w:rPr>
            </w:pPr>
          </w:p>
        </w:tc>
      </w:tr>
      <w:tr>
        <w:trPr>
          <w:trHeight w:val="486"/>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2"/>
          </w:tcPr>
          <w:p>
            <w:pPr>
              <w:jc w:val="center"/>
              <w:ind w:left="278"/>
              <w:spacing w:after="0"/>
              <w:rPr>
                <w:sz w:val="20"/>
                <w:szCs w:val="20"/>
                <w:color w:val="auto"/>
              </w:rPr>
            </w:pPr>
            <w:r>
              <w:rPr>
                <w:rFonts w:ascii="Arial" w:cs="Arial" w:eastAsia="Arial" w:hAnsi="Arial"/>
                <w:sz w:val="16"/>
                <w:szCs w:val="16"/>
                <w:color w:val="auto"/>
                <w:w w:val="93"/>
              </w:rPr>
              <w:t>Commission File Number: 000-10140</w:t>
            </w:r>
          </w:p>
        </w:tc>
        <w:tc>
          <w:tcPr>
            <w:tcW w:w="4120" w:type="dxa"/>
            <w:vAlign w:val="bottom"/>
          </w:tcPr>
          <w:p>
            <w:pPr>
              <w:spacing w:after="0"/>
              <w:rPr>
                <w:sz w:val="24"/>
                <w:szCs w:val="24"/>
                <w:color w:val="auto"/>
              </w:rPr>
            </w:pPr>
          </w:p>
        </w:tc>
      </w:tr>
      <w:tr>
        <w:trPr>
          <w:trHeight w:val="623"/>
        </w:trPr>
        <w:tc>
          <w:tcPr>
            <w:tcW w:w="3360" w:type="dxa"/>
            <w:vAlign w:val="bottom"/>
          </w:tcPr>
          <w:p>
            <w:pPr>
              <w:spacing w:after="0"/>
              <w:rPr>
                <w:sz w:val="24"/>
                <w:szCs w:val="24"/>
                <w:color w:val="auto"/>
              </w:rPr>
            </w:pPr>
          </w:p>
        </w:tc>
        <w:tc>
          <w:tcPr>
            <w:tcW w:w="7880" w:type="dxa"/>
            <w:vAlign w:val="bottom"/>
            <w:gridSpan w:val="4"/>
          </w:tcPr>
          <w:p>
            <w:pPr>
              <w:jc w:val="center"/>
              <w:ind w:right="3259"/>
              <w:spacing w:after="0"/>
              <w:rPr>
                <w:sz w:val="20"/>
                <w:szCs w:val="20"/>
                <w:color w:val="auto"/>
              </w:rPr>
            </w:pPr>
            <w:r>
              <w:rPr>
                <w:rFonts w:ascii="Arial" w:cs="Arial" w:eastAsia="Arial" w:hAnsi="Arial"/>
                <w:sz w:val="40"/>
                <w:szCs w:val="40"/>
                <w:b w:val="1"/>
                <w:bCs w:val="1"/>
                <w:color w:val="auto"/>
                <w:w w:val="99"/>
              </w:rPr>
              <w:t>CVB FINANCIAL CORP.</w:t>
            </w:r>
          </w:p>
        </w:tc>
      </w:tr>
      <w:tr>
        <w:trPr>
          <w:trHeight w:val="233"/>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3"/>
          </w:tcPr>
          <w:p>
            <w:pPr>
              <w:jc w:val="center"/>
              <w:ind w:right="3679"/>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3"/>
        </w:trPr>
        <w:tc>
          <w:tcPr>
            <w:tcW w:w="3360" w:type="dxa"/>
            <w:vAlign w:val="bottom"/>
          </w:tcPr>
          <w:p>
            <w:pPr>
              <w:jc w:val="center"/>
              <w:ind w:left="619"/>
              <w:spacing w:after="0"/>
              <w:rPr>
                <w:sz w:val="20"/>
                <w:szCs w:val="20"/>
                <w:color w:val="auto"/>
              </w:rPr>
            </w:pPr>
            <w:r>
              <w:rPr>
                <w:rFonts w:ascii="Arial" w:cs="Arial" w:eastAsia="Arial" w:hAnsi="Arial"/>
                <w:sz w:val="16"/>
                <w:szCs w:val="16"/>
                <w:b w:val="1"/>
                <w:bCs w:val="1"/>
                <w:color w:val="auto"/>
                <w:w w:val="94"/>
              </w:rPr>
              <w:t>California</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jc w:val="right"/>
              <w:ind w:right="1539"/>
              <w:spacing w:after="0"/>
              <w:rPr>
                <w:sz w:val="20"/>
                <w:szCs w:val="20"/>
                <w:color w:val="auto"/>
              </w:rPr>
            </w:pPr>
            <w:r>
              <w:rPr>
                <w:rFonts w:ascii="Arial" w:cs="Arial" w:eastAsia="Arial" w:hAnsi="Arial"/>
                <w:sz w:val="16"/>
                <w:szCs w:val="16"/>
                <w:b w:val="1"/>
                <w:bCs w:val="1"/>
                <w:color w:val="auto"/>
              </w:rPr>
              <w:t>95-3629339</w:t>
            </w:r>
          </w:p>
        </w:tc>
      </w:tr>
      <w:tr>
        <w:trPr>
          <w:trHeight w:val="226"/>
        </w:trPr>
        <w:tc>
          <w:tcPr>
            <w:tcW w:w="3360" w:type="dxa"/>
            <w:vAlign w:val="bottom"/>
          </w:tcPr>
          <w:p>
            <w:pPr>
              <w:jc w:val="center"/>
              <w:ind w:left="59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3360" w:type="dxa"/>
            <w:vAlign w:val="bottom"/>
          </w:tcPr>
          <w:p>
            <w:pPr>
              <w:jc w:val="center"/>
              <w:ind w:left="599"/>
              <w:spacing w:after="0"/>
              <w:rPr>
                <w:sz w:val="20"/>
                <w:szCs w:val="20"/>
                <w:color w:val="auto"/>
              </w:rPr>
            </w:pPr>
            <w:r>
              <w:rPr>
                <w:rFonts w:ascii="Arial" w:cs="Arial" w:eastAsia="Arial" w:hAnsi="Arial"/>
                <w:sz w:val="16"/>
                <w:szCs w:val="16"/>
                <w:color w:val="auto"/>
                <w:w w:val="93"/>
              </w:rPr>
              <w:t>Incorporation or organization)</w:t>
            </w:r>
          </w:p>
        </w:tc>
        <w:tc>
          <w:tcPr>
            <w:tcW w:w="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Pr>
          <w:p>
            <w:pPr>
              <w:jc w:val="center"/>
              <w:ind w:left="19"/>
              <w:spacing w:after="0"/>
              <w:rPr>
                <w:sz w:val="20"/>
                <w:szCs w:val="20"/>
                <w:color w:val="auto"/>
              </w:rPr>
            </w:pPr>
            <w:r>
              <w:rPr>
                <w:rFonts w:ascii="Arial" w:cs="Arial" w:eastAsia="Arial" w:hAnsi="Arial"/>
                <w:sz w:val="16"/>
                <w:szCs w:val="16"/>
                <w:color w:val="auto"/>
                <w:w w:val="97"/>
              </w:rPr>
              <w:t>Identification No.)</w:t>
            </w:r>
          </w:p>
        </w:tc>
      </w:tr>
      <w:tr>
        <w:trPr>
          <w:trHeight w:val="459"/>
        </w:trPr>
        <w:tc>
          <w:tcPr>
            <w:tcW w:w="3360" w:type="dxa"/>
            <w:vAlign w:val="bottom"/>
          </w:tcPr>
          <w:p>
            <w:pPr>
              <w:jc w:val="center"/>
              <w:ind w:left="599"/>
              <w:spacing w:after="0"/>
              <w:rPr>
                <w:sz w:val="20"/>
                <w:szCs w:val="20"/>
                <w:color w:val="auto"/>
              </w:rPr>
            </w:pPr>
            <w:r>
              <w:rPr>
                <w:rFonts w:ascii="Arial" w:cs="Arial" w:eastAsia="Arial" w:hAnsi="Arial"/>
                <w:sz w:val="16"/>
                <w:szCs w:val="16"/>
                <w:b w:val="1"/>
                <w:bCs w:val="1"/>
                <w:color w:val="auto"/>
                <w:w w:val="91"/>
              </w:rPr>
              <w:t>701 North Haven Ave., Suite 350</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0"/>
        </w:trPr>
        <w:tc>
          <w:tcPr>
            <w:tcW w:w="3360" w:type="dxa"/>
            <w:vAlign w:val="bottom"/>
          </w:tcPr>
          <w:p>
            <w:pPr>
              <w:jc w:val="center"/>
              <w:ind w:left="619"/>
              <w:spacing w:after="0"/>
              <w:rPr>
                <w:sz w:val="20"/>
                <w:szCs w:val="20"/>
                <w:color w:val="auto"/>
              </w:rPr>
            </w:pPr>
            <w:r>
              <w:rPr>
                <w:rFonts w:ascii="Arial" w:cs="Arial" w:eastAsia="Arial" w:hAnsi="Arial"/>
                <w:sz w:val="16"/>
                <w:szCs w:val="16"/>
                <w:b w:val="1"/>
                <w:bCs w:val="1"/>
                <w:color w:val="auto"/>
                <w:w w:val="95"/>
              </w:rPr>
              <w:t>Ontario, California</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right"/>
              <w:ind w:right="1719"/>
              <w:spacing w:after="0"/>
              <w:rPr>
                <w:sz w:val="20"/>
                <w:szCs w:val="20"/>
                <w:color w:val="auto"/>
              </w:rPr>
            </w:pPr>
            <w:r>
              <w:rPr>
                <w:rFonts w:ascii="Arial" w:cs="Arial" w:eastAsia="Arial" w:hAnsi="Arial"/>
                <w:sz w:val="16"/>
                <w:szCs w:val="16"/>
                <w:b w:val="1"/>
                <w:bCs w:val="1"/>
                <w:color w:val="auto"/>
              </w:rPr>
              <w:t>91764</w:t>
            </w:r>
          </w:p>
        </w:tc>
      </w:tr>
      <w:tr>
        <w:trPr>
          <w:trHeight w:val="230"/>
        </w:trPr>
        <w:tc>
          <w:tcPr>
            <w:tcW w:w="3360" w:type="dxa"/>
            <w:vAlign w:val="bottom"/>
          </w:tcPr>
          <w:p>
            <w:pPr>
              <w:jc w:val="center"/>
              <w:ind w:left="619"/>
              <w:spacing w:after="0"/>
              <w:rPr>
                <w:sz w:val="20"/>
                <w:szCs w:val="20"/>
                <w:color w:val="auto"/>
              </w:rPr>
            </w:pPr>
            <w:r>
              <w:rPr>
                <w:rFonts w:ascii="Arial" w:cs="Arial" w:eastAsia="Arial" w:hAnsi="Arial"/>
                <w:sz w:val="16"/>
                <w:szCs w:val="16"/>
                <w:color w:val="auto"/>
                <w:w w:val="94"/>
              </w:rPr>
              <w:t>(Address of principal executive offices)</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ind w:left="19"/>
              <w:spacing w:after="0"/>
              <w:rPr>
                <w:sz w:val="20"/>
                <w:szCs w:val="20"/>
                <w:color w:val="auto"/>
              </w:rPr>
            </w:pPr>
            <w:r>
              <w:rPr>
                <w:rFonts w:ascii="Arial" w:cs="Arial" w:eastAsia="Arial" w:hAnsi="Arial"/>
                <w:sz w:val="16"/>
                <w:szCs w:val="16"/>
                <w:color w:val="auto"/>
                <w:w w:val="92"/>
              </w:rPr>
              <w:t>(Zip Code)</w:t>
            </w:r>
          </w:p>
        </w:tc>
      </w:tr>
      <w:tr>
        <w:trPr>
          <w:trHeight w:val="459"/>
        </w:trPr>
        <w:tc>
          <w:tcPr>
            <w:tcW w:w="3360" w:type="dxa"/>
            <w:vAlign w:val="bottom"/>
          </w:tcPr>
          <w:p>
            <w:pPr>
              <w:spacing w:after="0"/>
              <w:rPr>
                <w:sz w:val="24"/>
                <w:szCs w:val="24"/>
                <w:color w:val="auto"/>
              </w:rPr>
            </w:pPr>
          </w:p>
        </w:tc>
        <w:tc>
          <w:tcPr>
            <w:tcW w:w="3080" w:type="dxa"/>
            <w:vAlign w:val="bottom"/>
            <w:gridSpan w:val="2"/>
          </w:tcPr>
          <w:p>
            <w:pPr>
              <w:jc w:val="center"/>
              <w:ind w:left="1340"/>
              <w:spacing w:after="0"/>
              <w:rPr>
                <w:sz w:val="20"/>
                <w:szCs w:val="20"/>
                <w:color w:val="auto"/>
              </w:rPr>
            </w:pPr>
            <w:r>
              <w:rPr>
                <w:rFonts w:ascii="Arial" w:cs="Arial" w:eastAsia="Arial" w:hAnsi="Arial"/>
                <w:sz w:val="16"/>
                <w:szCs w:val="16"/>
                <w:b w:val="1"/>
                <w:bCs w:val="1"/>
                <w:color w:val="auto"/>
                <w:w w:val="93"/>
              </w:rPr>
              <w:t>(909) 980-4030</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26"/>
        </w:trPr>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60" w:type="dxa"/>
            <w:vAlign w:val="bottom"/>
            <w:gridSpan w:val="2"/>
          </w:tcPr>
          <w:p>
            <w:pPr>
              <w:jc w:val="center"/>
              <w:ind w:left="298"/>
              <w:spacing w:after="0"/>
              <w:rPr>
                <w:sz w:val="20"/>
                <w:szCs w:val="20"/>
                <w:color w:val="auto"/>
              </w:rPr>
            </w:pPr>
            <w:r>
              <w:rPr>
                <w:rFonts w:ascii="Arial" w:cs="Arial" w:eastAsia="Arial" w:hAnsi="Arial"/>
                <w:sz w:val="16"/>
                <w:szCs w:val="16"/>
                <w:color w:val="auto"/>
                <w:w w:val="90"/>
              </w:rPr>
              <w:t>(Registrant's telephone number,</w:t>
            </w:r>
          </w:p>
        </w:tc>
        <w:tc>
          <w:tcPr>
            <w:tcW w:w="4120" w:type="dxa"/>
            <w:vAlign w:val="bottom"/>
          </w:tcPr>
          <w:p>
            <w:pPr>
              <w:spacing w:after="0"/>
              <w:rPr>
                <w:sz w:val="19"/>
                <w:szCs w:val="19"/>
                <w:color w:val="auto"/>
              </w:rPr>
            </w:pPr>
          </w:p>
        </w:tc>
      </w:tr>
      <w:tr>
        <w:trPr>
          <w:trHeight w:val="206"/>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2"/>
          </w:tcPr>
          <w:p>
            <w:pPr>
              <w:jc w:val="center"/>
              <w:ind w:left="298"/>
              <w:spacing w:after="0"/>
              <w:rPr>
                <w:sz w:val="20"/>
                <w:szCs w:val="20"/>
                <w:color w:val="auto"/>
              </w:rPr>
            </w:pPr>
            <w:r>
              <w:rPr>
                <w:rFonts w:ascii="Arial" w:cs="Arial" w:eastAsia="Arial" w:hAnsi="Arial"/>
                <w:sz w:val="16"/>
                <w:szCs w:val="16"/>
                <w:color w:val="auto"/>
                <w:w w:val="92"/>
              </w:rPr>
              <w:t>including area code)</w:t>
            </w:r>
          </w:p>
        </w:tc>
        <w:tc>
          <w:tcPr>
            <w:tcW w:w="4120" w:type="dxa"/>
            <w:vAlign w:val="bottom"/>
          </w:tcPr>
          <w:p>
            <w:pPr>
              <w:spacing w:after="0"/>
              <w:rPr>
                <w:sz w:val="17"/>
                <w:szCs w:val="17"/>
                <w:color w:val="auto"/>
              </w:rPr>
            </w:pPr>
          </w:p>
        </w:tc>
      </w:tr>
      <w:tr>
        <w:trPr>
          <w:trHeight w:val="440"/>
        </w:trPr>
        <w:tc>
          <w:tcPr>
            <w:tcW w:w="7120" w:type="dxa"/>
            <w:vAlign w:val="bottom"/>
            <w:tcBorders>
              <w:bottom w:val="single" w:sz="8" w:color="auto"/>
            </w:tcBorders>
            <w:gridSpan w:val="4"/>
          </w:tcPr>
          <w:p>
            <w:pPr>
              <w:jc w:val="center"/>
              <w:ind w:right="33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4120" w:type="dxa"/>
            <w:vAlign w:val="bottom"/>
            <w:tcBorders>
              <w:bottom w:val="single" w:sz="8" w:color="auto"/>
            </w:tcBorders>
          </w:tcPr>
          <w:p>
            <w:pPr>
              <w:spacing w:after="0"/>
              <w:rPr>
                <w:sz w:val="24"/>
                <w:szCs w:val="24"/>
                <w:color w:val="auto"/>
              </w:rPr>
            </w:pPr>
          </w:p>
        </w:tc>
      </w:tr>
      <w:tr>
        <w:trPr>
          <w:trHeight w:val="210"/>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Arial" w:cs="Arial" w:eastAsia="Arial" w:hAnsi="Arial"/>
                <w:sz w:val="16"/>
                <w:szCs w:val="16"/>
                <w:color w:val="auto"/>
                <w:w w:val="90"/>
              </w:rPr>
              <w:t>Title of each class</w:t>
            </w:r>
          </w:p>
        </w:tc>
        <w:tc>
          <w:tcPr>
            <w:tcW w:w="4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68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ind w:right="619"/>
              <w:spacing w:after="0"/>
              <w:rPr>
                <w:sz w:val="20"/>
                <w:szCs w:val="20"/>
                <w:color w:val="auto"/>
              </w:rPr>
            </w:pPr>
            <w:r>
              <w:rPr>
                <w:rFonts w:ascii="Arial" w:cs="Arial" w:eastAsia="Arial" w:hAnsi="Arial"/>
                <w:sz w:val="16"/>
                <w:szCs w:val="16"/>
                <w:color w:val="auto"/>
                <w:w w:val="90"/>
              </w:rPr>
              <w:t>Name of each exchange on which registered</w:t>
            </w:r>
          </w:p>
        </w:tc>
      </w:tr>
      <w:tr>
        <w:trPr>
          <w:trHeight w:val="201"/>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Arial" w:cs="Arial" w:eastAsia="Arial" w:hAnsi="Arial"/>
                <w:sz w:val="16"/>
                <w:szCs w:val="16"/>
                <w:color w:val="auto"/>
                <w:w w:val="91"/>
              </w:rPr>
              <w:t>Common Stock, No Par Value</w:t>
            </w:r>
          </w:p>
        </w:tc>
        <w:tc>
          <w:tcPr>
            <w:tcW w:w="4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CVBF</w:t>
            </w:r>
          </w:p>
        </w:tc>
        <w:tc>
          <w:tcPr>
            <w:tcW w:w="6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jc w:val="center"/>
              <w:ind w:right="599"/>
              <w:spacing w:after="0"/>
              <w:rPr>
                <w:sz w:val="20"/>
                <w:szCs w:val="20"/>
                <w:color w:val="auto"/>
              </w:rPr>
            </w:pPr>
            <w:r>
              <w:rPr>
                <w:rFonts w:ascii="Arial" w:cs="Arial" w:eastAsia="Arial" w:hAnsi="Arial"/>
                <w:sz w:val="16"/>
                <w:szCs w:val="16"/>
                <w:color w:val="auto"/>
                <w:w w:val="93"/>
              </w:rPr>
              <w:t>The Nasdaq Stock Market, LLC</w:t>
            </w:r>
          </w:p>
        </w:tc>
      </w:tr>
    </w:tbl>
    <w:p>
      <w:pPr>
        <w:spacing w:after="0" w:line="193" w:lineRule="exact"/>
        <w:rPr>
          <w:sz w:val="24"/>
          <w:szCs w:val="24"/>
          <w:color w:val="auto"/>
        </w:rPr>
      </w:pPr>
    </w:p>
    <w:p>
      <w:pPr>
        <w:spacing w:after="0" w:line="30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Arial" w:cs="Arial" w:eastAsia="Arial" w:hAnsi="Arial"/>
          <w:sz w:val="17"/>
          <w:szCs w:val="17"/>
          <w:color w:val="auto"/>
        </w:rPr>
        <w:t>No</w:t>
      </w:r>
    </w:p>
    <w:p>
      <w:pPr>
        <w:spacing w:after="0" w:line="141" w:lineRule="exact"/>
        <w:rPr>
          <w:sz w:val="24"/>
          <w:szCs w:val="24"/>
          <w:color w:val="auto"/>
        </w:rPr>
      </w:pPr>
    </w:p>
    <w:p>
      <w:pPr>
        <w:jc w:val="both"/>
        <w:spacing w:after="0" w:line="351"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6"/>
          <w:szCs w:val="16"/>
          <w:color w:val="auto"/>
        </w:rPr>
        <w:t>Yes No</w:t>
      </w:r>
    </w:p>
    <w:p>
      <w:pPr>
        <w:spacing w:after="0" w:line="113"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ectPr>
          <w:pgSz w:w="11900" w:h="16838" w:orient="portrait"/>
          <w:cols w:equalWidth="0" w:num="1">
            <w:col w:w="11240"/>
          </w:cols>
          <w:pgMar w:left="320" w:top="863" w:right="339" w:bottom="1440" w:gutter="0" w:footer="0" w:header="0"/>
        </w:sectPr>
      </w:pPr>
    </w:p>
    <w:p>
      <w:pPr>
        <w:spacing w:after="0" w:line="184" w:lineRule="exact"/>
        <w:rPr>
          <w:sz w:val="24"/>
          <w:szCs w:val="24"/>
          <w:color w:val="auto"/>
        </w:rPr>
      </w:pPr>
    </w:p>
    <w:p>
      <w:pPr>
        <w:ind w:left="1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57" w:lineRule="exact"/>
        <w:rPr>
          <w:sz w:val="24"/>
          <w:szCs w:val="24"/>
          <w:color w:val="auto"/>
        </w:rPr>
      </w:pPr>
    </w:p>
    <w:p>
      <w:pPr>
        <w:sectPr>
          <w:pgSz w:w="11900" w:h="16838" w:orient="portrait"/>
          <w:cols w:equalWidth="0" w:num="2">
            <w:col w:w="7260" w:space="720"/>
            <w:col w:w="3260"/>
          </w:cols>
          <w:pgMar w:left="320" w:top="863"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69" w:lineRule="exact"/>
        <w:rPr>
          <w:sz w:val="24"/>
          <w:szCs w:val="24"/>
          <w:color w:val="auto"/>
        </w:rPr>
      </w:pPr>
    </w:p>
    <w:p>
      <w:pPr>
        <w:sectPr>
          <w:pgSz w:w="11900" w:h="16838" w:orient="portrait"/>
          <w:cols w:equalWidth="0" w:num="2">
            <w:col w:w="7260" w:space="720"/>
            <w:col w:w="3260"/>
          </w:cols>
          <w:pgMar w:left="320" w:top="863"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1240"/>
          </w:cols>
          <w:pgMar w:left="320" w:top="863" w:right="339" w:bottom="1440" w:gutter="0" w:footer="0" w:header="0"/>
          <w:type w:val="continuous"/>
        </w:sectPr>
      </w:pPr>
    </w:p>
    <w:p>
      <w:pPr>
        <w:spacing w:after="0" w:line="258"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2" w:lineRule="exact"/>
        <w:rPr>
          <w:sz w:val="24"/>
          <w:szCs w:val="24"/>
          <w:color w:val="auto"/>
        </w:rPr>
      </w:pPr>
    </w:p>
    <w:p>
      <w:pPr>
        <w:spacing w:after="0"/>
        <w:tabs>
          <w:tab w:leader="none" w:pos="400" w:val="left"/>
        </w:tabs>
        <w:rPr>
          <w:sz w:val="20"/>
          <w:szCs w:val="20"/>
          <w:color w:val="auto"/>
        </w:rPr>
      </w:pPr>
      <w:r>
        <w:rPr>
          <w:rFonts w:ascii="Arial" w:cs="Arial" w:eastAsia="Arial" w:hAnsi="Arial"/>
          <w:sz w:val="16"/>
          <w:szCs w:val="16"/>
          <w:color w:val="auto"/>
        </w:rPr>
        <w:t>Yes</w:t>
        <w:tab/>
        <w:t>No</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common stock of the registrant: 135,521,535 outstanding as of 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1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 –</w:t>
            </w:r>
          </w:p>
        </w:tc>
        <w:tc>
          <w:tcPr>
            <w:tcW w:w="348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FINANCIAL INFORMATION (UNAUDITED)</w:t>
              </w:r>
            </w:hyperlink>
          </w:p>
        </w:tc>
        <w:tc>
          <w:tcPr>
            <w:tcW w:w="20" w:type="dxa"/>
            <w:vAlign w:val="bottom"/>
            <w:tcBorders>
              <w:bottom w:val="single" w:sz="8" w:color="0000EE"/>
            </w:tcBorders>
          </w:tcPr>
          <w:p>
            <w:pPr>
              <w:spacing w:after="0"/>
              <w:rPr>
                <w:sz w:val="24"/>
                <w:szCs w:val="24"/>
                <w:color w:val="auto"/>
              </w:rPr>
            </w:pPr>
          </w:p>
        </w:tc>
        <w:tc>
          <w:tcPr>
            <w:tcW w:w="568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w:t>
            </w:r>
          </w:p>
        </w:tc>
        <w:tc>
          <w:tcPr>
            <w:tcW w:w="4700" w:type="dxa"/>
            <w:vAlign w:val="bottom"/>
            <w:tcBorders>
              <w:bottom w:val="single" w:sz="8" w:color="0000FF"/>
            </w:tcBorders>
            <w:gridSpan w:val="14"/>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6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THE CONDENSED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2.</w:t>
            </w: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8920" w:type="dxa"/>
            <w:vAlign w:val="bottom"/>
            <w:tcBorders>
              <w:bottom w:val="single" w:sz="8" w:color="0000FF"/>
            </w:tcBorders>
            <w:gridSpan w:val="19"/>
          </w:tcPr>
          <w:p>
            <w:pP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MANAGEMENT’S DISCUSSION AND ANALYSIS OF FINANCIAL CONDITION AND RESULTS OF OPERATIONS</w:t>
              </w:r>
            </w:hyperlink>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0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37">
              <w:r>
                <w:rPr>
                  <w:rFonts w:ascii="Arial" w:cs="Arial" w:eastAsia="Arial" w:hAnsi="Arial"/>
                  <w:sz w:val="18"/>
                  <w:szCs w:val="18"/>
                  <w:color w:val="0000FF"/>
                  <w:w w:val="97"/>
                </w:rPr>
                <w:t>CRITICAL ACCOUNTING POLICIES</w:t>
              </w:r>
            </w:hyperlink>
          </w:p>
        </w:tc>
        <w:tc>
          <w:tcPr>
            <w:tcW w:w="6280" w:type="dxa"/>
            <w:vAlign w:val="bottom"/>
            <w:gridSpan w:val="1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OVERVIEW</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8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ANALYSIS OF THE RESULTS OF OPERATIONS</w:t>
              </w:r>
            </w:hyperlink>
          </w:p>
        </w:tc>
        <w:tc>
          <w:tcPr>
            <w:tcW w:w="5400" w:type="dxa"/>
            <w:vAlign w:val="bottom"/>
            <w:gridSpan w:val="8"/>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ANALYSIS OF FINANCIAL CONDITION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ASSET/LIABILITY AND MARKET RISK MANAGEMENT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3.</w:t>
            </w: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6140" w:type="dxa"/>
            <w:vAlign w:val="bottom"/>
            <w:tcBorders>
              <w:bottom w:val="single" w:sz="8" w:color="0000FF"/>
            </w:tcBorders>
            <w:gridSpan w:val="18"/>
          </w:tcPr>
          <w:p>
            <w:pPr>
              <w:spacing w:after="0"/>
              <w:rPr>
                <w:rFonts w:ascii="Arial" w:cs="Arial" w:eastAsia="Arial" w:hAnsi="Arial"/>
                <w:sz w:val="18"/>
                <w:szCs w:val="18"/>
                <w:color w:val="0000FF"/>
                <w:w w:val="98"/>
              </w:rPr>
            </w:pPr>
            <w:hyperlink w:anchor="page67">
              <w:r>
                <w:rPr>
                  <w:rFonts w:ascii="Arial" w:cs="Arial" w:eastAsia="Arial" w:hAnsi="Arial"/>
                  <w:sz w:val="18"/>
                  <w:szCs w:val="18"/>
                  <w:color w:val="0000FF"/>
                  <w:w w:val="98"/>
                </w:rPr>
                <w:t>QUANTITATIVE AND QUALITATIVE DISCLOSURES ABOUT MARKET RISK</w:t>
              </w:r>
            </w:hyperlink>
          </w:p>
        </w:tc>
        <w:tc>
          <w:tcPr>
            <w:tcW w:w="3040" w:type="dxa"/>
            <w:vAlign w:val="bottom"/>
            <w:gridSpan w:val="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4.</w:t>
            </w:r>
          </w:p>
        </w:tc>
        <w:tc>
          <w:tcPr>
            <w:tcW w:w="9180" w:type="dxa"/>
            <w:vAlign w:val="bottom"/>
            <w:gridSpan w:val="20"/>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 –</w:t>
            </w:r>
          </w:p>
        </w:tc>
        <w:tc>
          <w:tcPr>
            <w:tcW w:w="19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6"/>
              </w:rPr>
            </w:pPr>
            <w:hyperlink w:anchor="page68">
              <w:r>
                <w:rPr>
                  <w:rFonts w:ascii="Arial" w:cs="Arial" w:eastAsia="Arial" w:hAnsi="Arial"/>
                  <w:sz w:val="18"/>
                  <w:szCs w:val="18"/>
                  <w:color w:val="0000FF"/>
                  <w:w w:val="96"/>
                </w:rPr>
                <w:t>OTHER INFORMATION</w:t>
              </w:r>
            </w:hyperlink>
          </w:p>
        </w:tc>
        <w:tc>
          <w:tcPr>
            <w:tcW w:w="700" w:type="dxa"/>
            <w:vAlign w:val="bottom"/>
            <w:tcBorders>
              <w:top w:val="single" w:sz="8" w:color="0000FF"/>
            </w:tcBorders>
            <w:gridSpan w:val="2"/>
          </w:tcPr>
          <w:p>
            <w:pPr>
              <w:spacing w:after="0"/>
              <w:rPr>
                <w:sz w:val="19"/>
                <w:szCs w:val="19"/>
                <w:color w:val="auto"/>
              </w:rPr>
            </w:pPr>
          </w:p>
        </w:tc>
        <w:tc>
          <w:tcPr>
            <w:tcW w:w="6580" w:type="dxa"/>
            <w:vAlign w:val="bottom"/>
            <w:gridSpan w:val="13"/>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w:t>
            </w:r>
          </w:p>
        </w:tc>
        <w:tc>
          <w:tcPr>
            <w:tcW w:w="188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68">
              <w:r>
                <w:rPr>
                  <w:rFonts w:ascii="Arial" w:cs="Arial" w:eastAsia="Arial" w:hAnsi="Arial"/>
                  <w:sz w:val="18"/>
                  <w:szCs w:val="18"/>
                  <w:color w:val="0000FF"/>
                  <w:w w:val="94"/>
                </w:rPr>
                <w:t>LEGAL PROCEEDINGS</w:t>
              </w:r>
            </w:hyperlink>
          </w:p>
        </w:tc>
        <w:tc>
          <w:tcPr>
            <w:tcW w:w="7300" w:type="dxa"/>
            <w:vAlign w:val="bottom"/>
            <w:gridSpan w:val="1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1A.</w:t>
            </w:r>
          </w:p>
        </w:tc>
        <w:tc>
          <w:tcPr>
            <w:tcW w:w="9180" w:type="dxa"/>
            <w:vAlign w:val="bottom"/>
            <w:gridSpan w:val="20"/>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2.</w:t>
            </w: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3.</w:t>
            </w:r>
          </w:p>
        </w:tc>
        <w:tc>
          <w:tcPr>
            <w:tcW w:w="6060" w:type="dxa"/>
            <w:vAlign w:val="bottom"/>
            <w:tcBorders>
              <w:top w:val="single" w:sz="8" w:color="0000FF"/>
            </w:tcBorders>
            <w:gridSpan w:val="17"/>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DEFAULTS UPON SENIOR SECURITIES</w:t>
              </w:r>
            </w:hyperlink>
          </w:p>
        </w:tc>
        <w:tc>
          <w:tcPr>
            <w:tcW w:w="3120" w:type="dxa"/>
            <w:vAlign w:val="bottom"/>
            <w:gridSpan w:val="3"/>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4.</w:t>
            </w:r>
          </w:p>
        </w:tc>
        <w:tc>
          <w:tcPr>
            <w:tcW w:w="3200" w:type="dxa"/>
            <w:vAlign w:val="bottom"/>
            <w:tcBorders>
              <w:top w:val="single" w:sz="8" w:color="0000FF"/>
            </w:tcBorders>
            <w:gridSpan w:val="9"/>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MINE SAFETY DISCLOSURES</w:t>
              </w:r>
            </w:hyperlink>
          </w:p>
        </w:tc>
        <w:tc>
          <w:tcPr>
            <w:tcW w:w="5980" w:type="dxa"/>
            <w:vAlign w:val="bottom"/>
            <w:gridSpan w:val="11"/>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5.</w:t>
            </w:r>
          </w:p>
        </w:tc>
        <w:tc>
          <w:tcPr>
            <w:tcW w:w="19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6"/>
              </w:rPr>
            </w:pPr>
            <w:hyperlink w:anchor="page70">
              <w:r>
                <w:rPr>
                  <w:rFonts w:ascii="Arial" w:cs="Arial" w:eastAsia="Arial" w:hAnsi="Arial"/>
                  <w:sz w:val="18"/>
                  <w:szCs w:val="18"/>
                  <w:color w:val="0000FF"/>
                  <w:w w:val="96"/>
                </w:rPr>
                <w:t>OTHER INFORMATION</w:t>
              </w:r>
            </w:hyperlink>
          </w:p>
        </w:tc>
        <w:tc>
          <w:tcPr>
            <w:tcW w:w="540" w:type="dxa"/>
            <w:vAlign w:val="bottom"/>
            <w:tcBorders>
              <w:top w:val="single" w:sz="8" w:color="0000FF"/>
            </w:tcBorders>
          </w:tcPr>
          <w:p>
            <w:pPr>
              <w:spacing w:after="0"/>
              <w:rPr>
                <w:sz w:val="19"/>
                <w:szCs w:val="19"/>
                <w:color w:val="auto"/>
              </w:rPr>
            </w:pPr>
          </w:p>
        </w:tc>
        <w:tc>
          <w:tcPr>
            <w:tcW w:w="6740" w:type="dxa"/>
            <w:vAlign w:val="bottom"/>
            <w:gridSpan w:val="1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6.</w:t>
            </w:r>
          </w:p>
        </w:tc>
        <w:tc>
          <w:tcPr>
            <w:tcW w:w="9180" w:type="dxa"/>
            <w:vAlign w:val="bottom"/>
            <w:gridSpan w:val="2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1600" w:type="dxa"/>
            <w:vAlign w:val="bottom"/>
            <w:gridSpan w:val="3"/>
          </w:tcPr>
          <w:p>
            <w:pPr>
              <w:ind w:left="20"/>
              <w:spacing w:after="0"/>
              <w:rPr>
                <w:rFonts w:ascii="Arial" w:cs="Arial" w:eastAsia="Arial" w:hAnsi="Arial"/>
                <w:sz w:val="18"/>
                <w:szCs w:val="18"/>
                <w:b w:val="1"/>
                <w:bCs w:val="1"/>
                <w:color w:val="0000FF"/>
              </w:rPr>
            </w:pPr>
            <w:hyperlink w:anchor="page72">
              <w:r>
                <w:rPr>
                  <w:rFonts w:ascii="Arial" w:cs="Arial" w:eastAsia="Arial" w:hAnsi="Arial"/>
                  <w:sz w:val="18"/>
                  <w:szCs w:val="18"/>
                  <w:b w:val="1"/>
                  <w:bCs w:val="1"/>
                  <w:color w:val="0000FF"/>
                </w:rPr>
                <w:t>SIGNATURES</w:t>
              </w:r>
            </w:hyperlink>
          </w:p>
        </w:tc>
        <w:tc>
          <w:tcPr>
            <w:tcW w:w="82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gridSpan w:val="13"/>
          </w:tcPr>
          <w:p>
            <w:pPr>
              <w:ind w:left="39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t>PART I –</w:t>
      </w:r>
      <w:r>
        <w:rPr>
          <w:sz w:val="20"/>
          <w:szCs w:val="20"/>
          <w:color w:val="auto"/>
        </w:rPr>
        <w:tab/>
      </w:r>
      <w:r>
        <w:rPr>
          <w:rFonts w:ascii="Arial" w:cs="Arial" w:eastAsia="Arial" w:hAnsi="Arial"/>
          <w:sz w:val="18"/>
          <w:szCs w:val="18"/>
          <w:b w:val="1"/>
          <w:bCs w:val="1"/>
          <w:color w:val="auto"/>
        </w:rPr>
        <w:t>FINANCIAL INFORMATION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52" w:lineRule="exact"/>
        <w:rPr>
          <w:sz w:val="20"/>
          <w:szCs w:val="20"/>
          <w:color w:val="auto"/>
        </w:rPr>
      </w:pPr>
    </w:p>
    <w:p>
      <w:pPr>
        <w:ind w:right="20" w:firstLine="469"/>
        <w:spacing w:after="0" w:line="270" w:lineRule="auto"/>
        <w:rPr>
          <w:sz w:val="20"/>
          <w:szCs w:val="20"/>
          <w:color w:val="auto"/>
        </w:rPr>
      </w:pPr>
      <w:r>
        <w:rPr>
          <w:rFonts w:ascii="Arial" w:cs="Arial" w:eastAsia="Arial" w:hAnsi="Arial"/>
          <w:sz w:val="18"/>
          <w:szCs w:val="18"/>
          <w:i w:val="1"/>
          <w:iCs w:val="1"/>
          <w:color w:val="auto"/>
        </w:rPr>
        <w:t>Certain matters set forth herein (including the exhibits hereto) constitute forward-looking statements within the meaning of the Private Securities Litigation Reform Act of 1995, including forward-looking statements relating to the Company’s current business plans and expectations and our future financial position and operating results.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These forward-looking statements are subject to risks and uncertainties that could cause actual results, performance and/or achievements to differ materially from those projected. These risks and uncertainties include, but are not limited to the following:</w:t>
      </w:r>
    </w:p>
    <w:p>
      <w:pPr>
        <w:spacing w:after="0" w:line="206" w:lineRule="exact"/>
        <w:rPr>
          <w:sz w:val="20"/>
          <w:szCs w:val="20"/>
          <w:color w:val="auto"/>
        </w:rPr>
      </w:pPr>
    </w:p>
    <w:p>
      <w:pPr>
        <w:ind w:left="1080" w:right="32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local, regional, national and international economic and market conditions and political events and public health developments and the impact they may have on us, our customers and our assets and liabilities;</w:t>
      </w:r>
    </w:p>
    <w:p>
      <w:pPr>
        <w:spacing w:after="0" w:line="1" w:lineRule="exact"/>
        <w:rPr>
          <w:rFonts w:ascii="Arial" w:cs="Arial" w:eastAsia="Arial" w:hAnsi="Arial"/>
          <w:sz w:val="18"/>
          <w:szCs w:val="18"/>
          <w:color w:val="auto"/>
        </w:rPr>
      </w:pP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attract deposits and other sources of funding or liquidity;</w:t>
      </w:r>
    </w:p>
    <w:p>
      <w:pPr>
        <w:spacing w:after="0" w:line="22" w:lineRule="exact"/>
        <w:rPr>
          <w:rFonts w:ascii="Arial" w:cs="Arial" w:eastAsia="Arial" w:hAnsi="Arial"/>
          <w:sz w:val="18"/>
          <w:szCs w:val="18"/>
          <w:color w:val="auto"/>
        </w:rPr>
      </w:pPr>
    </w:p>
    <w:p>
      <w:pPr>
        <w:ind w:left="1080" w:right="14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supply and demand for commercial or residential real estate and periodic deterioration in real estate prices and/or values in California or other states where we lend;</w:t>
      </w: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 sharp or prolonged slowdown or decline in real estate construction, sales or leasing activities;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changes in the financial performance and/or condition of our borrowers, depositors, key vendors or counterparties;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changes in our levels of delinquent loans, nonperforming assets, allowance for credit losses and charge-offs;</w:t>
      </w:r>
    </w:p>
    <w:p>
      <w:pPr>
        <w:spacing w:after="0" w:line="22" w:lineRule="exact"/>
        <w:rPr>
          <w:rFonts w:ascii="Arial" w:cs="Arial" w:eastAsia="Arial" w:hAnsi="Arial"/>
          <w:sz w:val="18"/>
          <w:szCs w:val="18"/>
          <w:color w:val="auto"/>
        </w:rPr>
      </w:pPr>
    </w:p>
    <w:p>
      <w:pPr>
        <w:ind w:left="1080" w:right="40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costs or effects of mergers, acquisitions or dispositions we may make, whether we are able to obtain any required governmental approvals in connection with any such mergers, acquisitions or dispositions, and/or our ability to realize the contemplated financial or business benefits or cost savings associated with any such mergers, acquisitions or dispositions, including our recently announced agreement to acquire Suncrest Bank headquartered in Visalia, California;</w:t>
      </w:r>
    </w:p>
    <w:p>
      <w:pPr>
        <w:ind w:left="1080" w:right="12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effects of new laws, regulations and/or government programs, including those laws, regulations and programs enacted by federal, state or local governments in the geographic jurisdictions in which we do business in response to the recent national emergency declared in connection with the COVID-19 pandemic;</w:t>
      </w:r>
    </w:p>
    <w:p>
      <w:pPr>
        <w:ind w:left="1080" w:right="340" w:hanging="323"/>
        <w:spacing w:after="0" w:line="299"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the impact of the federal CARES Act and the significant additional lending activities undertaken by the Company in connection with the Small Business Administration’s Paycheck Protection Program enacted thereunder, including risks to the Company with respect to the uncertain application by the Small Business Administration of new borrower and loan eligibility, forgiveness and audit criteria;</w:t>
      </w:r>
    </w:p>
    <w:p>
      <w:pPr>
        <w:ind w:left="1080" w:hanging="323"/>
        <w:spacing w:after="0" w:line="266" w:lineRule="auto"/>
        <w:tabs>
          <w:tab w:leader="none" w:pos="112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effects of the Company’s participation in one or more of the new lending programs recently established by the Federal Reserve, including the Main Street New Loan Facility, the Main Street Priority Loan Facility and the Nonprofit Organization New Loan Facility, and the impact of any related actions or decisions by the Federal Reserve Bank of Boston and its special purpose vehicle established pursuant to such lending programs;</w:t>
      </w:r>
    </w:p>
    <w:p>
      <w:pPr>
        <w:ind w:left="1080" w:right="16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effect of changes in other pertinent laws, regulations and applicable judicial decisions (including laws, regulations and judicial decisions concerning financial reforms, taxes, bank capital levels, allowance for credit losses, consumer, commercial or secured lending, securities and securities trading and hedging, bank operations, compliance, fair lending, the Community Reinvestment Act, employment, executive compensation, director or employee diversity requirements, insurance, cybersecurity, customer and employee privacy, vendor management and information security technology) with which we and our subsidiaries must comply or believe we should comply or which may otherwise impact us;</w:t>
      </w:r>
    </w:p>
    <w:p>
      <w:pPr>
        <w:ind w:left="1080" w:right="2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changes in estimates of future reserve requirements and minimum capital requirements based upon the periodic review thereof under relevant regulatory and accounting standards, including changes in the Basel Committee framework establishing capital standards for bank credit, operations and market risks;</w:t>
      </w:r>
    </w:p>
    <w:p>
      <w:pPr>
        <w:ind w:left="1080" w:right="58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accuracy of the assumptions and estimates and the absence of technical error in implementation or calibration of models used to estimate the fair value of financial instruments or currently expected credit losses or delinquencies;</w:t>
      </w: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sensitivity of our assets and liabilities to changes in market interest rates, or our current allowance for credit losses;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inflation, changes in market interest rates, securities market and monetary fluctuations;</w:t>
      </w:r>
    </w:p>
    <w:p>
      <w:pPr>
        <w:spacing w:after="0" w:line="22" w:lineRule="exact"/>
        <w:rPr>
          <w:rFonts w:ascii="Arial" w:cs="Arial" w:eastAsia="Arial" w:hAnsi="Arial"/>
          <w:sz w:val="18"/>
          <w:szCs w:val="18"/>
          <w:color w:val="auto"/>
        </w:rPr>
      </w:pPr>
    </w:p>
    <w:p>
      <w:pPr>
        <w:ind w:left="1080" w:right="2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changes in government-established interest rates, reference rates or monetary policies, including the possible imposition of negative interest rates on bank reserves;</w:t>
      </w:r>
    </w:p>
    <w:p>
      <w:pPr>
        <w:ind w:left="1080" w:hanging="323"/>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the impact of the anticipated phase-out of the London Interbank Offered Rate (LIBOR) on interest rate indexes specified in certain of our</w:t>
      </w:r>
    </w:p>
    <w:p>
      <w:pPr>
        <w:spacing w:after="0" w:line="46" w:lineRule="exact"/>
        <w:rPr>
          <w:sz w:val="20"/>
          <w:szCs w:val="20"/>
          <w:color w:val="auto"/>
        </w:rPr>
      </w:pPr>
    </w:p>
    <w:p>
      <w:pPr>
        <w:ind w:left="5580" w:right="4180" w:hanging="4497"/>
        <w:spacing w:after="0" w:line="292" w:lineRule="auto"/>
        <w:rPr>
          <w:sz w:val="20"/>
          <w:szCs w:val="20"/>
          <w:color w:val="auto"/>
        </w:rPr>
      </w:pPr>
      <w:r>
        <w:rPr>
          <w:rFonts w:ascii="Arial" w:cs="Arial" w:eastAsia="Arial" w:hAnsi="Arial"/>
          <w:sz w:val="18"/>
          <w:szCs w:val="18"/>
          <w:i w:val="1"/>
          <w:iCs w:val="1"/>
          <w:color w:val="auto"/>
        </w:rPr>
        <w:t xml:space="preserve">customer loan agreements and our interest rate swap arrangements, including any </w:t>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3" w:name="page4"/>
    <w:bookmarkEnd w:id="3"/>
    <w:p>
      <w:pPr>
        <w:ind w:left="1080"/>
        <w:spacing w:after="0"/>
        <w:rPr>
          <w:sz w:val="20"/>
          <w:szCs w:val="20"/>
          <w:color w:val="auto"/>
        </w:rPr>
      </w:pPr>
      <w:r>
        <w:rPr>
          <w:rFonts w:ascii="Arial" w:cs="Arial" w:eastAsia="Arial" w:hAnsi="Arial"/>
          <w:sz w:val="18"/>
          <w:szCs w:val="18"/>
          <w:i w:val="1"/>
          <w:iCs w:val="1"/>
          <w:color w:val="auto"/>
        </w:rPr>
        <w:t>economic and compliance effects related to the expected change from LIBOR to an alternative reference rate;</w:t>
      </w:r>
    </w:p>
    <w:p>
      <w:pPr>
        <w:spacing w:after="0" w:line="23" w:lineRule="exact"/>
        <w:rPr>
          <w:sz w:val="20"/>
          <w:szCs w:val="20"/>
          <w:color w:val="auto"/>
        </w:rPr>
      </w:pP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changes in the amount, cost and availability of deposit insurance;</w:t>
      </w:r>
    </w:p>
    <w:p>
      <w:pPr>
        <w:spacing w:after="0" w:line="22" w:lineRule="exact"/>
        <w:rPr>
          <w:rFonts w:ascii="Arial" w:cs="Arial" w:eastAsia="Arial" w:hAnsi="Arial"/>
          <w:sz w:val="18"/>
          <w:szCs w:val="18"/>
          <w:color w:val="auto"/>
        </w:rPr>
      </w:pPr>
    </w:p>
    <w:p>
      <w:pPr>
        <w:ind w:left="108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disruptions in the infrastructure that supports our business and the communities where we are located, which are concentrated in California, involving or related to public health, physical site access and/or communication facilities;</w:t>
      </w: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cyber incidents, attacks, infiltrations, exfiltrations, or theft or loss of any Company or customer or employee data or money;</w:t>
      </w:r>
    </w:p>
    <w:p>
      <w:pPr>
        <w:spacing w:after="0" w:line="22" w:lineRule="exact"/>
        <w:rPr>
          <w:rFonts w:ascii="Arial" w:cs="Arial" w:eastAsia="Arial" w:hAnsi="Arial"/>
          <w:sz w:val="18"/>
          <w:szCs w:val="18"/>
          <w:color w:val="auto"/>
        </w:rPr>
      </w:pPr>
    </w:p>
    <w:p>
      <w:pPr>
        <w:ind w:left="1080" w:right="14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political developments, uncertainties or instability, catastrophic events, acts of war or terrorism, or natural disasters, such as earthquakes, drought, the effects of pandemic diseases, climate changes or extreme weather events, that may affect electrical, environmental, computer servers, and communications or other services, computer services or facilities we use, or that may affect our customers, employees or third parties with whom we conduct business;</w:t>
      </w:r>
    </w:p>
    <w:p>
      <w:pPr>
        <w:ind w:left="1080" w:right="36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timely development and implementation of new banking products and services and the perceived overall value of these products and services by our customers and potential customers;</w:t>
      </w:r>
    </w:p>
    <w:p>
      <w:pPr>
        <w:ind w:left="1080" w:right="44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Company’s relationships with and reliance upon outside vendors with respect to certain of the Company’s key internal and external systems, applications and controls;</w:t>
      </w: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changes in commercial or consumer spending, borrowing and savings patterns, preferences or behaviors;</w:t>
      </w:r>
    </w:p>
    <w:p>
      <w:pPr>
        <w:spacing w:after="0" w:line="22" w:lineRule="exact"/>
        <w:rPr>
          <w:rFonts w:ascii="Arial" w:cs="Arial" w:eastAsia="Arial" w:hAnsi="Arial"/>
          <w:sz w:val="18"/>
          <w:szCs w:val="18"/>
          <w:color w:val="auto"/>
        </w:rPr>
      </w:pPr>
    </w:p>
    <w:p>
      <w:pPr>
        <w:jc w:val="both"/>
        <w:ind w:left="1080" w:right="300" w:hanging="323"/>
        <w:spacing w:after="0" w:line="299"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technological changes and the expanding use of technology in banking and financial services (including the adoption of mobile banking, funds transfer applications, electronic marketplaces for loans, blockchain technology and other financial products, systems or services);</w:t>
      </w: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retain and increase market share, retain and grow customers and control expenses;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changes in the competitive environment among banks and other financial services and technology providers;</w:t>
      </w:r>
    </w:p>
    <w:p>
      <w:pPr>
        <w:spacing w:after="0" w:line="22" w:lineRule="exact"/>
        <w:rPr>
          <w:rFonts w:ascii="Arial" w:cs="Arial" w:eastAsia="Arial" w:hAnsi="Arial"/>
          <w:sz w:val="18"/>
          <w:szCs w:val="18"/>
          <w:color w:val="auto"/>
        </w:rPr>
      </w:pPr>
    </w:p>
    <w:p>
      <w:pPr>
        <w:ind w:left="1080" w:right="34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competition and innovation with respect to financial products and services by banks, financial institutions and non-traditional providers including retail businesses and technology companies;</w:t>
      </w:r>
    </w:p>
    <w:p>
      <w:pPr>
        <w:ind w:left="1080" w:right="2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volatility in the credit and equity markets and its effect on the general economy or local or regional business conditions or on the Company’s capital, deposits, assets, or customers;</w:t>
      </w:r>
    </w:p>
    <w:p>
      <w:pPr>
        <w:ind w:left="1080" w:right="46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fluctuations in the price of the Company’s common stock or other securities, and the resulting impact on the Company’s ability to raise capital or make acquisitions;</w:t>
      </w:r>
    </w:p>
    <w:p>
      <w:pPr>
        <w:ind w:left="1080" w:right="16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effect of changes in accounting policies and practices, as may be adopted from time-to-time by the principal regulatory agencies with jurisdiction over the Company, as well as by the Public Company Accounting Oversight Board, the Financial Accounting Standards Board and other accounting standard-setters;</w:t>
      </w:r>
    </w:p>
    <w:p>
      <w:pPr>
        <w:ind w:left="1080" w:right="140" w:hanging="323"/>
        <w:spacing w:after="0" w:line="299"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changes in our organization, management, compensation and benefit plans, and our ability to recruit and retain or expand our workforce, management team, key executive positions and/or our board of directors, including compliance with any applicable diversity requirements;</w:t>
      </w:r>
    </w:p>
    <w:p>
      <w:pPr>
        <w:ind w:left="1080" w:right="66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identify suitable and qualified replacements for any of our executive officers who may leave their employment with us, including our Chief Executive Officer;</w:t>
      </w:r>
    </w:p>
    <w:p>
      <w:pPr>
        <w:ind w:left="1080" w:right="10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costs and effects of legal, compliance and regulatory actions, changes and developments, including the initiation and resolution of legal proceedings (including any securities, lender liability, bank operations, check or wire fraud, financial product or service, data privacy, consumer or employee class action litigation);</w:t>
      </w: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regulatory or other governmental inquiries or investigations, and/or the results of regulatory examinations or reviews;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ongoing relations with our various federal and state regulators, including the SEC, Federal Reserve Board, FDIC and California DFPI;</w:t>
      </w:r>
    </w:p>
    <w:p>
      <w:pPr>
        <w:spacing w:after="0" w:line="45" w:lineRule="exact"/>
        <w:rPr>
          <w:rFonts w:ascii="Arial" w:cs="Arial" w:eastAsia="Arial" w:hAnsi="Arial"/>
          <w:sz w:val="16"/>
          <w:szCs w:val="16"/>
          <w:color w:val="auto"/>
        </w:rPr>
      </w:pPr>
    </w:p>
    <w:p>
      <w:pPr>
        <w:ind w:left="1080" w:right="20" w:hanging="323"/>
        <w:spacing w:after="0" w:line="35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success at managing the risks involved in the foregoing items and all other factors set forth in the Company’s public reports, including its Annual Report on Form 10-K for the year ended December 31, 2020, and particularly the discussion of risk factors within that document.</w:t>
      </w:r>
    </w:p>
    <w:p>
      <w:pPr>
        <w:spacing w:after="0" w:line="139" w:lineRule="exact"/>
        <w:rPr>
          <w:sz w:val="20"/>
          <w:szCs w:val="20"/>
          <w:color w:val="auto"/>
        </w:rPr>
      </w:pPr>
    </w:p>
    <w:p>
      <w:pPr>
        <w:ind w:right="240" w:firstLine="469"/>
        <w:spacing w:after="0" w:line="292" w:lineRule="auto"/>
        <w:rPr>
          <w:sz w:val="20"/>
          <w:szCs w:val="20"/>
          <w:color w:val="auto"/>
        </w:rPr>
      </w:pPr>
      <w:r>
        <w:rPr>
          <w:rFonts w:ascii="Arial" w:cs="Arial" w:eastAsia="Arial" w:hAnsi="Arial"/>
          <w:sz w:val="17"/>
          <w:szCs w:val="17"/>
          <w:i w:val="1"/>
          <w:iCs w:val="1"/>
          <w:color w:val="212121"/>
        </w:rPr>
        <w:t xml:space="preserve">Among other risks, the ongoing </w:t>
      </w:r>
      <w:r>
        <w:rPr>
          <w:rFonts w:ascii="Arial" w:cs="Arial" w:eastAsia="Arial" w:hAnsi="Arial"/>
          <w:sz w:val="17"/>
          <w:szCs w:val="17"/>
          <w:i w:val="1"/>
          <w:iCs w:val="1"/>
          <w:color w:val="252525"/>
        </w:rPr>
        <w:t>COVID</w:t>
      </w:r>
      <w:r>
        <w:rPr>
          <w:rFonts w:ascii="Arial" w:cs="Arial" w:eastAsia="Arial" w:hAnsi="Arial"/>
          <w:sz w:val="17"/>
          <w:szCs w:val="17"/>
          <w:i w:val="1"/>
          <w:iCs w:val="1"/>
          <w:color w:val="212121"/>
        </w:rPr>
        <w:t>-</w:t>
      </w:r>
      <w:r>
        <w:rPr>
          <w:rFonts w:ascii="Arial" w:cs="Arial" w:eastAsia="Arial" w:hAnsi="Arial"/>
          <w:sz w:val="17"/>
          <w:szCs w:val="17"/>
          <w:i w:val="1"/>
          <w:iCs w:val="1"/>
          <w:color w:val="252525"/>
        </w:rPr>
        <w:t>19</w:t>
      </w:r>
      <w:r>
        <w:rPr>
          <w:rFonts w:ascii="Arial" w:cs="Arial" w:eastAsia="Arial" w:hAnsi="Arial"/>
          <w:sz w:val="17"/>
          <w:szCs w:val="17"/>
          <w:i w:val="1"/>
          <w:iCs w:val="1"/>
          <w:color w:val="212121"/>
        </w:rPr>
        <w:t xml:space="preserve"> pandemic may significantly affect the banking industry, the health and safety of the Company’s employees, and the Company’s business prospects. The ultimate impact of the COVID-19 pandemic on our business and financial results will depend on future developments, which are highly uncertain and cannot be predicted, including the scope and duration of the pandemic, the impact on the economy, our customers, our employees and our business partners, the safety, effectiveness, distribution and acceptance of vaccines developed to mitigate the pandemic, and actions taken by governmental authorities in response to the pandemic.</w:t>
      </w:r>
    </w:p>
    <w:p>
      <w:pPr>
        <w:spacing w:after="0" w:line="188" w:lineRule="exact"/>
        <w:rPr>
          <w:sz w:val="20"/>
          <w:szCs w:val="20"/>
          <w:color w:val="auto"/>
        </w:rPr>
      </w:pPr>
    </w:p>
    <w:p>
      <w:pPr>
        <w:ind w:right="120" w:firstLine="469"/>
        <w:spacing w:after="0" w:line="275" w:lineRule="auto"/>
        <w:rPr>
          <w:sz w:val="20"/>
          <w:szCs w:val="20"/>
          <w:color w:val="auto"/>
        </w:rPr>
      </w:pPr>
      <w:r>
        <w:rPr>
          <w:rFonts w:ascii="Arial" w:cs="Arial" w:eastAsia="Arial" w:hAnsi="Arial"/>
          <w:sz w:val="18"/>
          <w:szCs w:val="18"/>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 except share amounts)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159,563</w:t>
            </w:r>
          </w:p>
        </w:tc>
        <w:tc>
          <w:tcPr>
            <w:tcW w:w="3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122,305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Interest-earning balances due from Federal Reserve</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2,401,800</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1,835,855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48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2,561,363</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1,958,160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Interest-earning balances due from depository institutions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600" w:type="dxa"/>
            <w:vAlign w:val="bottom"/>
          </w:tcPr>
          <w:p>
            <w:pPr>
              <w:ind w:left="200"/>
              <w:spacing w:after="0"/>
              <w:rPr>
                <w:sz w:val="20"/>
                <w:szCs w:val="20"/>
                <w:color w:val="auto"/>
              </w:rPr>
            </w:pPr>
            <w:r>
              <w:rPr>
                <w:rFonts w:ascii="Arial" w:cs="Arial" w:eastAsia="Arial" w:hAnsi="Arial"/>
                <w:sz w:val="18"/>
                <w:szCs w:val="18"/>
                <w:color w:val="auto"/>
              </w:rPr>
              <w:t>Investment securities available-for-sale, at fair value (with amortized cost of</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340"/>
              <w:spacing w:after="0"/>
              <w:rPr>
                <w:sz w:val="20"/>
                <w:szCs w:val="20"/>
                <w:color w:val="auto"/>
              </w:rPr>
            </w:pPr>
            <w:r>
              <w:rPr>
                <w:rFonts w:ascii="Arial" w:cs="Arial" w:eastAsia="Arial" w:hAnsi="Arial"/>
                <w:sz w:val="18"/>
                <w:szCs w:val="18"/>
                <w:color w:val="auto"/>
              </w:rPr>
              <w:t>$2,916,300 at September 30, 2021, and $2,344,174 at December 31, 2020)</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2,925,060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2,398,923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securities held-to-maturity (with fair value of $1,717,230 at</w:t>
            </w:r>
          </w:p>
        </w:tc>
        <w:tc>
          <w:tcPr>
            <w:tcW w:w="180" w:type="dxa"/>
            <w:vAlign w:val="bottom"/>
            <w:shd w:val="clear" w:color="auto" w:fill="CFF0FC"/>
          </w:tcPr>
          <w:p>
            <w:pPr>
              <w:spacing w:after="0"/>
              <w:rPr>
                <w:sz w:val="21"/>
                <w:szCs w:val="21"/>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1,710,938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578,626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September 30, 2021, and $604,223 at December 31, 2020)</w:t>
            </w:r>
          </w:p>
        </w:tc>
        <w:tc>
          <w:tcPr>
            <w:tcW w:w="18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480"/>
              <w:spacing w:after="0"/>
              <w:rPr>
                <w:sz w:val="20"/>
                <w:szCs w:val="20"/>
                <w:color w:val="auto"/>
              </w:rPr>
            </w:pPr>
            <w:r>
              <w:rPr>
                <w:rFonts w:ascii="Arial" w:cs="Arial" w:eastAsia="Arial" w:hAnsi="Arial"/>
                <w:sz w:val="18"/>
                <w:szCs w:val="18"/>
                <w:color w:val="auto"/>
              </w:rPr>
              <w:t>Total investment securities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4,635,998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2,977,549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stock of Federal Home Loan Bank (FHLB)</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0"/>
              <w:spacing w:after="0"/>
              <w:rPr>
                <w:sz w:val="20"/>
                <w:szCs w:val="20"/>
                <w:color w:val="auto"/>
              </w:rPr>
            </w:pPr>
            <w:r>
              <w:rPr>
                <w:rFonts w:ascii="Arial" w:cs="Arial" w:eastAsia="Arial" w:hAnsi="Arial"/>
                <w:sz w:val="18"/>
                <w:szCs w:val="18"/>
                <w:color w:val="auto"/>
              </w:rPr>
              <w:t>Loans and lease finance receivables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7,849,520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8,348,808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 for credit losses</w:t>
            </w:r>
          </w:p>
        </w:tc>
        <w:tc>
          <w:tcPr>
            <w:tcW w:w="18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(65,364 )</w:t>
            </w:r>
          </w:p>
        </w:tc>
        <w:tc>
          <w:tcPr>
            <w:tcW w:w="20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(93,692 )</w:t>
            </w:r>
          </w:p>
        </w:tc>
        <w:tc>
          <w:tcPr>
            <w:tcW w:w="0" w:type="dxa"/>
            <w:vAlign w:val="bottom"/>
          </w:tcPr>
          <w:p>
            <w:pPr>
              <w:spacing w:after="0"/>
              <w:rPr>
                <w:sz w:val="1"/>
                <w:szCs w:val="1"/>
                <w:color w:val="auto"/>
              </w:rPr>
            </w:pPr>
          </w:p>
        </w:tc>
      </w:tr>
      <w:tr>
        <w:trPr>
          <w:trHeight w:val="250"/>
        </w:trPr>
        <w:tc>
          <w:tcPr>
            <w:tcW w:w="760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Net loans and lease finance receivables</w:t>
            </w:r>
          </w:p>
        </w:tc>
        <w:tc>
          <w:tcPr>
            <w:tcW w:w="1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7,784,156</w:t>
            </w:r>
          </w:p>
        </w:tc>
        <w:tc>
          <w:tcPr>
            <w:tcW w:w="30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8,255,116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0"/>
              <w:spacing w:after="0"/>
              <w:rPr>
                <w:sz w:val="20"/>
                <w:szCs w:val="20"/>
                <w:color w:val="auto"/>
              </w:rPr>
            </w:pPr>
            <w:r>
              <w:rPr>
                <w:rFonts w:ascii="Arial" w:cs="Arial" w:eastAsia="Arial" w:hAnsi="Arial"/>
                <w:sz w:val="18"/>
                <w:szCs w:val="18"/>
                <w:color w:val="auto"/>
              </w:rPr>
              <w:t>Bank owned life insurance (BOLI)</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251,781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226,818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30,253</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27,286</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33,634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663,707</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663,707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0"/>
              <w:spacing w:after="0"/>
              <w:rPr>
                <w:sz w:val="20"/>
                <w:szCs w:val="20"/>
                <w:color w:val="auto"/>
              </w:rPr>
            </w:pPr>
            <w:r>
              <w:rPr>
                <w:rFonts w:ascii="Arial" w:cs="Arial" w:eastAsia="Arial" w:hAnsi="Arial"/>
                <w:sz w:val="18"/>
                <w:szCs w:val="18"/>
                <w:color w:val="auto"/>
              </w:rPr>
              <w:t>Other real estate owned (OREO)</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36,870</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115,424</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760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16,201,598</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14,419,314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300"/>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Noninterest-bearing</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8,310,709</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7,455,387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00" w:type="dxa"/>
            <w:vAlign w:val="bottom"/>
          </w:tcPr>
          <w:p>
            <w:pPr>
              <w:ind w:left="480"/>
              <w:spacing w:after="0"/>
              <w:rPr>
                <w:sz w:val="20"/>
                <w:szCs w:val="20"/>
                <w:color w:val="auto"/>
              </w:rPr>
            </w:pPr>
            <w:r>
              <w:rPr>
                <w:rFonts w:ascii="Arial" w:cs="Arial" w:eastAsia="Arial" w:hAnsi="Arial"/>
                <w:sz w:val="18"/>
                <w:szCs w:val="18"/>
                <w:color w:val="auto"/>
              </w:rPr>
              <w:t>Interest-bearing</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4,619,507</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4,281,114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shd w:val="clear" w:color="auto" w:fill="CFF0FC"/>
          </w:tcPr>
          <w:p>
            <w:pPr>
              <w:ind w:left="660"/>
              <w:spacing w:after="0"/>
              <w:rPr>
                <w:sz w:val="20"/>
                <w:szCs w:val="20"/>
                <w:color w:val="auto"/>
              </w:rPr>
            </w:pPr>
            <w:r>
              <w:rPr>
                <w:rFonts w:ascii="Arial" w:cs="Arial" w:eastAsia="Arial" w:hAnsi="Arial"/>
                <w:sz w:val="18"/>
                <w:szCs w:val="18"/>
                <w:b w:val="1"/>
                <w:bCs w:val="1"/>
                <w:color w:val="auto"/>
              </w:rPr>
              <w:t>Total deposits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12,930,216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11,736,501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300"/>
              <w:spacing w:after="0"/>
              <w:rPr>
                <w:sz w:val="20"/>
                <w:szCs w:val="20"/>
                <w:color w:val="auto"/>
              </w:rPr>
            </w:pPr>
            <w:r>
              <w:rPr>
                <w:rFonts w:ascii="Arial" w:cs="Arial" w:eastAsia="Arial" w:hAnsi="Arial"/>
                <w:sz w:val="18"/>
                <w:szCs w:val="18"/>
                <w:color w:val="auto"/>
              </w:rPr>
              <w:t>Customer repurchase agreements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659,579</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439,406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30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20,675</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Junior subordinated debentures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300"/>
              <w:spacing w:after="0"/>
              <w:rPr>
                <w:sz w:val="20"/>
                <w:szCs w:val="20"/>
                <w:color w:val="auto"/>
              </w:rPr>
            </w:pPr>
            <w:r>
              <w:rPr>
                <w:rFonts w:ascii="Arial" w:cs="Arial" w:eastAsia="Arial" w:hAnsi="Arial"/>
                <w:sz w:val="18"/>
                <w:szCs w:val="18"/>
                <w:color w:val="auto"/>
              </w:rPr>
              <w:t>Payable for securities purchased</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421,751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105,457</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122,919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6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14,137,678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12,411,324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Common stock, authorized, 225,000,000 shares without par; issued and</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outstanding 135,516,404 at September 30, 2021 and 135,600,501 at</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6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December 31, 2020</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1,208,569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1,211,780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3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852,273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760,861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Accumulated other comprehensive income, net of tax</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66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2,063,920</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2,007,990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600" w:type="dxa"/>
            <w:vAlign w:val="bottom"/>
            <w:tcBorders>
              <w:bottom w:val="single" w:sz="8" w:color="CFF0FC"/>
            </w:tcBorders>
            <w:shd w:val="clear" w:color="auto" w:fill="CFF0FC"/>
          </w:tcPr>
          <w:p>
            <w:pPr>
              <w:ind w:left="9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16,201,598</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14,419,314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-7240270</wp:posOffset>
            </wp:positionV>
            <wp:extent cx="1885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-7240270</wp:posOffset>
            </wp:positionV>
            <wp:extent cx="685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-6288405</wp:posOffset>
            </wp:positionV>
            <wp:extent cx="18859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-6288405</wp:posOffset>
            </wp:positionV>
            <wp:extent cx="685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-5619750</wp:posOffset>
            </wp:positionV>
            <wp:extent cx="18859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-5619750</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-3968115</wp:posOffset>
            </wp:positionV>
            <wp:extent cx="188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-3950970</wp:posOffset>
            </wp:positionV>
            <wp:extent cx="188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-1813560</wp:posOffset>
            </wp:positionV>
            <wp:extent cx="1885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-1813560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-365125</wp:posOffset>
            </wp:positionV>
            <wp:extent cx="18859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188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1885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942"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 except per share amounts)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8"/>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0"/>
              <w:spacing w:after="0"/>
              <w:rPr>
                <w:sz w:val="20"/>
                <w:szCs w:val="20"/>
                <w:color w:val="auto"/>
              </w:rPr>
            </w:pPr>
            <w:r>
              <w:rPr>
                <w:rFonts w:ascii="Arial" w:cs="Arial" w:eastAsia="Arial" w:hAnsi="Arial"/>
                <w:sz w:val="14"/>
                <w:szCs w:val="14"/>
                <w:b w:val="1"/>
                <w:bCs w:val="1"/>
                <w:color w:val="auto"/>
              </w:rPr>
              <w:t>Loans and leases, including fees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88,390</w:t>
            </w:r>
          </w:p>
        </w:tc>
        <w:tc>
          <w:tcPr>
            <w:tcW w:w="24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94,200</w:t>
            </w:r>
          </w:p>
        </w:tc>
        <w:tc>
          <w:tcPr>
            <w:tcW w:w="26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271,911</w:t>
            </w:r>
          </w:p>
        </w:tc>
        <w:tc>
          <w:tcPr>
            <w:tcW w:w="24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281,669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securities: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380"/>
              <w:spacing w:after="0"/>
              <w:rPr>
                <w:sz w:val="20"/>
                <w:szCs w:val="20"/>
                <w:color w:val="auto"/>
              </w:rPr>
            </w:pPr>
            <w:r>
              <w:rPr>
                <w:rFonts w:ascii="Arial" w:cs="Arial" w:eastAsia="Arial" w:hAnsi="Arial"/>
                <w:sz w:val="14"/>
                <w:szCs w:val="14"/>
                <w:color w:val="auto"/>
              </w:rPr>
              <w:t>Investment securities available-for-sale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9,813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8,447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28,382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26,945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Investment securities held-to-maturity</w:t>
            </w: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5,188</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3,375</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14,258</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11,033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560"/>
              <w:spacing w:after="0"/>
              <w:rPr>
                <w:sz w:val="20"/>
                <w:szCs w:val="20"/>
                <w:color w:val="auto"/>
              </w:rPr>
            </w:pPr>
            <w:r>
              <w:rPr>
                <w:rFonts w:ascii="Arial" w:cs="Arial" w:eastAsia="Arial" w:hAnsi="Arial"/>
                <w:sz w:val="14"/>
                <w:szCs w:val="14"/>
                <w:b w:val="1"/>
                <w:bCs w:val="1"/>
                <w:color w:val="auto"/>
              </w:rPr>
              <w:t>Total investment income</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15,001</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11,822</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42,640</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from FHLB stock</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400" w:type="dxa"/>
            <w:vAlign w:val="bottom"/>
          </w:tcPr>
          <w:p>
            <w:pPr>
              <w:ind w:left="200"/>
              <w:spacing w:after="0"/>
              <w:rPr>
                <w:sz w:val="20"/>
                <w:szCs w:val="20"/>
                <w:color w:val="auto"/>
              </w:rPr>
            </w:pPr>
            <w:r>
              <w:rPr>
                <w:rFonts w:ascii="Arial" w:cs="Arial" w:eastAsia="Arial" w:hAnsi="Arial"/>
                <w:sz w:val="14"/>
                <w:szCs w:val="14"/>
                <w:color w:val="auto"/>
              </w:rPr>
              <w:t>Interest-earning deposits with other institutions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interest income</w:t>
            </w: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104,547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106,626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317,099</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321,693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Deposits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00" w:type="dxa"/>
            <w:vAlign w:val="bottom"/>
          </w:tcPr>
          <w:p>
            <w:pPr>
              <w:ind w:left="200"/>
              <w:spacing w:after="0"/>
              <w:rPr>
                <w:sz w:val="20"/>
                <w:szCs w:val="20"/>
                <w:color w:val="auto"/>
              </w:rPr>
            </w:pPr>
            <w:r>
              <w:rPr>
                <w:rFonts w:ascii="Arial" w:cs="Arial" w:eastAsia="Arial" w:hAnsi="Arial"/>
                <w:sz w:val="14"/>
                <w:szCs w:val="14"/>
                <w:color w:val="auto"/>
              </w:rPr>
              <w:t>Borrowings and customer repurchase agreements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Junior subordinated debentures</w:t>
            </w: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560"/>
              <w:spacing w:after="0"/>
              <w:rPr>
                <w:sz w:val="20"/>
                <w:szCs w:val="20"/>
                <w:color w:val="auto"/>
              </w:rPr>
            </w:pPr>
            <w:r>
              <w:rPr>
                <w:rFonts w:ascii="Arial" w:cs="Arial" w:eastAsia="Arial" w:hAnsi="Arial"/>
                <w:sz w:val="14"/>
                <w:szCs w:val="14"/>
                <w:b w:val="1"/>
                <w:bCs w:val="1"/>
                <w:color w:val="auto"/>
              </w:rPr>
              <w:t>Total interest expense</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4,944</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interest income before (recapture of) provision for credit losses</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103,299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103,325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312,155</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310,200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400" w:type="dxa"/>
            <w:vAlign w:val="bottom"/>
          </w:tcPr>
          <w:p>
            <w:pPr>
              <w:ind w:left="20"/>
              <w:spacing w:after="0"/>
              <w:rPr>
                <w:sz w:val="20"/>
                <w:szCs w:val="20"/>
                <w:color w:val="auto"/>
              </w:rPr>
            </w:pPr>
            <w:r>
              <w:rPr>
                <w:rFonts w:ascii="Arial" w:cs="Arial" w:eastAsia="Arial" w:hAnsi="Arial"/>
                <w:sz w:val="14"/>
                <w:szCs w:val="14"/>
                <w:color w:val="auto"/>
              </w:rPr>
              <w:t>(Recapture of) provision for credit losses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(4,000 )</w:t>
            </w: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(25,500 )</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Net interest income after (recapture of) provision for credit losses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107,299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103,325</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337,655</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286,700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Service charges on deposit accounts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12,667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00" w:type="dxa"/>
            <w:vAlign w:val="bottom"/>
          </w:tcPr>
          <w:p>
            <w:pPr>
              <w:ind w:left="200"/>
              <w:spacing w:after="0"/>
              <w:rPr>
                <w:sz w:val="20"/>
                <w:szCs w:val="20"/>
                <w:color w:val="auto"/>
              </w:rPr>
            </w:pPr>
            <w:r>
              <w:rPr>
                <w:rFonts w:ascii="Arial" w:cs="Arial" w:eastAsia="Arial" w:hAnsi="Arial"/>
                <w:sz w:val="14"/>
                <w:szCs w:val="14"/>
                <w:color w:val="auto"/>
              </w:rPr>
              <w:t>Trust and investment services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2,405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8,459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Bankcard services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00" w:type="dxa"/>
            <w:vAlign w:val="bottom"/>
          </w:tcPr>
          <w:p>
            <w:pPr>
              <w:ind w:left="200"/>
              <w:spacing w:after="0"/>
              <w:rPr>
                <w:sz w:val="20"/>
                <w:szCs w:val="20"/>
                <w:color w:val="auto"/>
              </w:rPr>
            </w:pPr>
            <w:r>
              <w:rPr>
                <w:rFonts w:ascii="Arial" w:cs="Arial" w:eastAsia="Arial" w:hAnsi="Arial"/>
                <w:sz w:val="14"/>
                <w:szCs w:val="14"/>
                <w:color w:val="auto"/>
              </w:rPr>
              <w:t>BOLI income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1,469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7,093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on OREO, net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00" w:type="dxa"/>
            <w:vAlign w:val="bottom"/>
          </w:tcPr>
          <w:p>
            <w:pPr>
              <w:ind w:left="200"/>
              <w:spacing w:after="0"/>
              <w:rPr>
                <w:sz w:val="20"/>
                <w:szCs w:val="20"/>
                <w:color w:val="auto"/>
              </w:rPr>
            </w:pPr>
            <w:r>
              <w:rPr>
                <w:rFonts w:ascii="Arial" w:cs="Arial" w:eastAsia="Arial" w:hAnsi="Arial"/>
                <w:sz w:val="14"/>
                <w:szCs w:val="14"/>
                <w:color w:val="auto"/>
              </w:rPr>
              <w:t>Gain on sale of building, net</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3,160</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4,942</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8,736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560"/>
              <w:spacing w:after="0"/>
              <w:rPr>
                <w:sz w:val="20"/>
                <w:szCs w:val="20"/>
                <w:color w:val="auto"/>
              </w:rPr>
            </w:pPr>
            <w:r>
              <w:rPr>
                <w:rFonts w:ascii="Arial" w:cs="Arial" w:eastAsia="Arial" w:hAnsi="Arial"/>
                <w:sz w:val="14"/>
                <w:szCs w:val="14"/>
                <w:b w:val="1"/>
                <w:bCs w:val="1"/>
                <w:color w:val="auto"/>
              </w:rPr>
              <w:t>Total noninterest income</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10,483</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13,153</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35,000</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400" w:type="dxa"/>
            <w:vAlign w:val="bottom"/>
          </w:tcPr>
          <w:p>
            <w:pPr>
              <w:ind w:left="200"/>
              <w:spacing w:after="0"/>
              <w:rPr>
                <w:sz w:val="20"/>
                <w:szCs w:val="20"/>
                <w:color w:val="auto"/>
              </w:rPr>
            </w:pPr>
            <w:r>
              <w:rPr>
                <w:rFonts w:ascii="Arial" w:cs="Arial" w:eastAsia="Arial" w:hAnsi="Arial"/>
                <w:sz w:val="14"/>
                <w:szCs w:val="14"/>
                <w:color w:val="auto"/>
              </w:rPr>
              <w:t>Salaries and employee benefits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29,741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31,034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88,283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90,617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Occupancy and equipment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0"/>
              <w:spacing w:after="0"/>
              <w:rPr>
                <w:sz w:val="20"/>
                <w:szCs w:val="20"/>
                <w:color w:val="auto"/>
              </w:rPr>
            </w:pPr>
            <w:r>
              <w:rPr>
                <w:rFonts w:ascii="Arial" w:cs="Arial" w:eastAsia="Arial" w:hAnsi="Arial"/>
                <w:sz w:val="14"/>
                <w:szCs w:val="14"/>
                <w:color w:val="auto"/>
              </w:rPr>
              <w:t>Professional services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6,042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Computer software expense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0"/>
              <w:spacing w:after="0"/>
              <w:rPr>
                <w:sz w:val="20"/>
                <w:szCs w:val="20"/>
                <w:color w:val="auto"/>
              </w:rPr>
            </w:pPr>
            <w:r>
              <w:rPr>
                <w:rFonts w:ascii="Arial" w:cs="Arial" w:eastAsia="Arial" w:hAnsi="Arial"/>
                <w:sz w:val="14"/>
                <w:szCs w:val="14"/>
                <w:color w:val="auto"/>
              </w:rPr>
              <w:t>Marketing and promotion</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3,381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0"/>
              <w:spacing w:after="0"/>
              <w:rPr>
                <w:sz w:val="20"/>
                <w:szCs w:val="20"/>
                <w:color w:val="auto"/>
              </w:rPr>
            </w:pPr>
            <w:r>
              <w:rPr>
                <w:rFonts w:ascii="Arial" w:cs="Arial" w:eastAsia="Arial" w:hAnsi="Arial"/>
                <w:sz w:val="14"/>
                <w:szCs w:val="14"/>
                <w:color w:val="auto"/>
              </w:rPr>
              <w:t>(Recapture of) provision for unfunded loan commitments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(1,000 )</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 related expenses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4,910</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5,403</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14,489</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noninterest expense</w:t>
            </w: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48,099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49,588</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141,807</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144,627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
              <w:spacing w:after="0"/>
              <w:rPr>
                <w:sz w:val="20"/>
                <w:szCs w:val="20"/>
                <w:color w:val="auto"/>
              </w:rPr>
            </w:pPr>
            <w:r>
              <w:rPr>
                <w:rFonts w:ascii="Arial" w:cs="Arial" w:eastAsia="Arial" w:hAnsi="Arial"/>
                <w:sz w:val="14"/>
                <w:szCs w:val="14"/>
                <w:color w:val="auto"/>
              </w:rPr>
              <w:t>Earnings before income taxes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69,683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66,890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230,848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179,018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taxes</w:t>
            </w: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19,930</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19,398</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66,023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51,915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0"/>
              <w:spacing w:after="0"/>
              <w:rPr>
                <w:sz w:val="20"/>
                <w:szCs w:val="20"/>
                <w:color w:val="auto"/>
              </w:rPr>
            </w:pPr>
            <w:r>
              <w:rPr>
                <w:rFonts w:ascii="Arial" w:cs="Arial" w:eastAsia="Arial" w:hAnsi="Arial"/>
                <w:sz w:val="14"/>
                <w:szCs w:val="14"/>
                <w:b w:val="1"/>
                <w:bCs w:val="1"/>
                <w:color w:val="auto"/>
              </w:rPr>
              <w:t>Net earnings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49,753</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47,492</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164,825</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200"/>
              <w:spacing w:after="0"/>
              <w:rPr>
                <w:sz w:val="20"/>
                <w:szCs w:val="20"/>
                <w:color w:val="auto"/>
              </w:rPr>
            </w:pPr>
            <w:r>
              <w:rPr>
                <w:rFonts w:ascii="Arial" w:cs="Arial" w:eastAsia="Arial" w:hAnsi="Arial"/>
                <w:sz w:val="14"/>
                <w:szCs w:val="14"/>
                <w:color w:val="auto"/>
              </w:rPr>
              <w:t>Unrealized gain (loss) on securities arising during the period, before tax</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(14,443 )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(2,004 )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(45,816 )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Less: Income tax (expense) benefit related to items of other</w:t>
            </w:r>
          </w:p>
        </w:tc>
        <w:tc>
          <w:tcPr>
            <w:tcW w:w="24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4,270</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593</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13,545</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(9,855 )</w:t>
            </w:r>
          </w:p>
        </w:tc>
        <w:tc>
          <w:tcPr>
            <w:tcW w:w="0" w:type="dxa"/>
            <w:vAlign w:val="bottom"/>
          </w:tcPr>
          <w:p>
            <w:pPr>
              <w:spacing w:after="0"/>
              <w:rPr>
                <w:sz w:val="1"/>
                <w:szCs w:val="1"/>
                <w:color w:val="auto"/>
              </w:rPr>
            </w:pPr>
          </w:p>
        </w:tc>
      </w:tr>
      <w:tr>
        <w:trPr>
          <w:trHeight w:val="181"/>
        </w:trPr>
        <w:tc>
          <w:tcPr>
            <w:tcW w:w="64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comprehensive income</w:t>
            </w:r>
          </w:p>
        </w:tc>
        <w:tc>
          <w:tcPr>
            <w:tcW w:w="24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0" w:type="dxa"/>
            <w:vAlign w:val="bottom"/>
          </w:tcPr>
          <w:p>
            <w:pPr>
              <w:ind w:left="200"/>
              <w:spacing w:after="0"/>
              <w:rPr>
                <w:sz w:val="20"/>
                <w:szCs w:val="20"/>
                <w:color w:val="auto"/>
              </w:rPr>
            </w:pPr>
            <w:r>
              <w:rPr>
                <w:rFonts w:ascii="Arial" w:cs="Arial" w:eastAsia="Arial" w:hAnsi="Arial"/>
                <w:sz w:val="14"/>
                <w:szCs w:val="14"/>
                <w:color w:val="auto"/>
              </w:rPr>
              <w:t>Other comprehensive income (loss), net of tax</w:t>
            </w: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(10,173 )</w:t>
            </w:r>
          </w:p>
        </w:tc>
        <w:tc>
          <w:tcPr>
            <w:tcW w:w="3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(1,411 )</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(32,271 )</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23,479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Comprehensive income</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39,580</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46,081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132,554</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150,582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400" w:type="dxa"/>
            <w:vAlign w:val="bottom"/>
          </w:tcPr>
          <w:p>
            <w:pPr>
              <w:ind w:left="20"/>
              <w:spacing w:after="0"/>
              <w:rPr>
                <w:sz w:val="20"/>
                <w:szCs w:val="20"/>
                <w:color w:val="auto"/>
              </w:rPr>
            </w:pPr>
            <w:r>
              <w:rPr>
                <w:rFonts w:ascii="Arial" w:cs="Arial" w:eastAsia="Arial" w:hAnsi="Arial"/>
                <w:sz w:val="14"/>
                <w:szCs w:val="14"/>
                <w:color w:val="auto"/>
              </w:rPr>
              <w:t>Basic earnings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0.37</w:t>
            </w:r>
          </w:p>
        </w:tc>
        <w:tc>
          <w:tcPr>
            <w:tcW w:w="24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0.35</w:t>
            </w:r>
          </w:p>
        </w:tc>
        <w:tc>
          <w:tcPr>
            <w:tcW w:w="26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w:t>
            </w:r>
          </w:p>
        </w:tc>
        <w:tc>
          <w:tcPr>
            <w:tcW w:w="24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Diluted earnings per common share</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-5937250</wp:posOffset>
            </wp:positionV>
            <wp:extent cx="1543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-5937250</wp:posOffset>
            </wp:positionV>
            <wp:extent cx="16319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-5937250</wp:posOffset>
            </wp:positionV>
            <wp:extent cx="14541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-5937250</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-5396865</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-5396865</wp:posOffset>
            </wp:positionV>
            <wp:extent cx="16319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-5396865</wp:posOffset>
            </wp:positionV>
            <wp:extent cx="1454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-5396865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-4874260</wp:posOffset>
            </wp:positionV>
            <wp:extent cx="1543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-4874260</wp:posOffset>
            </wp:positionV>
            <wp:extent cx="16319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-4874260</wp:posOffset>
            </wp:positionV>
            <wp:extent cx="1454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-4874260</wp:posOffset>
            </wp:positionV>
            <wp:extent cx="514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-4333875</wp:posOffset>
            </wp:positionV>
            <wp:extent cx="15430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-4333875</wp:posOffset>
            </wp:positionV>
            <wp:extent cx="16319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-4333875</wp:posOffset>
            </wp:positionV>
            <wp:extent cx="14541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-4333875</wp:posOffset>
            </wp:positionV>
            <wp:extent cx="5143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-3296920</wp:posOffset>
            </wp:positionV>
            <wp:extent cx="1543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-3296920</wp:posOffset>
            </wp:positionV>
            <wp:extent cx="16319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-3296920</wp:posOffset>
            </wp:positionV>
            <wp:extent cx="1454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-3296920</wp:posOffset>
            </wp:positionV>
            <wp:extent cx="514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-1727835</wp:posOffset>
            </wp:positionV>
            <wp:extent cx="1543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-1727835</wp:posOffset>
            </wp:positionV>
            <wp:extent cx="16319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-1727835</wp:posOffset>
            </wp:positionV>
            <wp:extent cx="1454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-1727835</wp:posOffset>
            </wp:positionV>
            <wp:extent cx="5143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-1462405</wp:posOffset>
            </wp:positionV>
            <wp:extent cx="1543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-1462405</wp:posOffset>
            </wp:positionV>
            <wp:extent cx="16319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-1462405</wp:posOffset>
            </wp:positionV>
            <wp:extent cx="1454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-1462405</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-681990</wp:posOffset>
            </wp:positionV>
            <wp:extent cx="1543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-681990</wp:posOffset>
            </wp:positionV>
            <wp:extent cx="16319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-681990</wp:posOffset>
            </wp:positionV>
            <wp:extent cx="1454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-681990</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-410845</wp:posOffset>
            </wp:positionV>
            <wp:extent cx="1543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-393700</wp:posOffset>
            </wp:positionV>
            <wp:extent cx="1543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-410845</wp:posOffset>
            </wp:positionV>
            <wp:extent cx="1631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-393700</wp:posOffset>
            </wp:positionV>
            <wp:extent cx="1631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-410845</wp:posOffset>
            </wp:positionV>
            <wp:extent cx="1454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-393700</wp:posOffset>
            </wp:positionV>
            <wp:extent cx="1454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-410845</wp:posOffset>
            </wp:positionV>
            <wp:extent cx="51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-393700</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(Dollars and shares in thousands)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and 2020</w:t>
      </w: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Accumulated Other</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42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Common Shares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Comprehensive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420" w:type="dxa"/>
            <w:vAlign w:val="bottom"/>
          </w:tcPr>
          <w:p>
            <w:pPr>
              <w:spacing w:after="0"/>
              <w:rPr>
                <w:sz w:val="16"/>
                <w:szCs w:val="16"/>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6"/>
                <w:szCs w:val="16"/>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16"/>
                <w:szCs w:val="16"/>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Retained Earnings</w:t>
            </w:r>
          </w:p>
        </w:tc>
        <w:tc>
          <w:tcPr>
            <w:tcW w:w="12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Income (Loss)</w:t>
            </w:r>
          </w:p>
        </w:tc>
        <w:tc>
          <w:tcPr>
            <w:tcW w:w="300" w:type="dxa"/>
            <w:vAlign w:val="bottom"/>
          </w:tcPr>
          <w:p>
            <w:pPr>
              <w:spacing w:after="0"/>
              <w:rPr>
                <w:sz w:val="16"/>
                <w:szCs w:val="16"/>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r>
      <w:tr>
        <w:trPr>
          <w:trHeight w:val="202"/>
        </w:trPr>
        <w:tc>
          <w:tcPr>
            <w:tcW w:w="34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July 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135,927</w:t>
            </w:r>
          </w:p>
        </w:tc>
        <w:tc>
          <w:tcPr>
            <w:tcW w:w="3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1,214,882</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826,941</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13,251</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2,055,074</w:t>
            </w:r>
          </w:p>
        </w:tc>
        <w:tc>
          <w:tcPr>
            <w:tcW w:w="100" w:type="dxa"/>
            <w:vAlign w:val="bottom"/>
            <w:shd w:val="clear" w:color="auto" w:fill="CFF0FC"/>
          </w:tcPr>
          <w:p>
            <w:pPr>
              <w:spacing w:after="0"/>
              <w:rPr>
                <w:sz w:val="17"/>
                <w:szCs w:val="17"/>
                <w:color w:val="auto"/>
              </w:rPr>
            </w:pPr>
          </w:p>
        </w:tc>
      </w:tr>
      <w:tr>
        <w:trPr>
          <w:trHeight w:val="197"/>
        </w:trPr>
        <w:tc>
          <w:tcPr>
            <w:tcW w:w="342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(406 )</w:t>
            </w:r>
          </w:p>
        </w:tc>
        <w:tc>
          <w:tcPr>
            <w:tcW w:w="14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(7,712 )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(7,712 )</w:t>
            </w:r>
          </w:p>
        </w:tc>
      </w:tr>
      <w:tr>
        <w:trPr>
          <w:trHeight w:val="208"/>
        </w:trPr>
        <w:tc>
          <w:tcPr>
            <w:tcW w:w="34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Exercise of 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FF0FC"/>
          </w:tcPr>
          <w:p>
            <w:pPr>
              <w:spacing w:after="0"/>
              <w:rPr>
                <w:sz w:val="18"/>
                <w:szCs w:val="18"/>
                <w:color w:val="auto"/>
              </w:rPr>
            </w:pPr>
          </w:p>
        </w:tc>
      </w:tr>
      <w:tr>
        <w:trPr>
          <w:trHeight w:val="184"/>
        </w:trPr>
        <w:tc>
          <w:tcPr>
            <w:tcW w:w="3420" w:type="dxa"/>
            <w:vAlign w:val="bottom"/>
          </w:tcPr>
          <w:p>
            <w:pPr>
              <w:ind w:left="280"/>
              <w:spacing w:after="0"/>
              <w:rPr>
                <w:sz w:val="20"/>
                <w:szCs w:val="20"/>
                <w:color w:val="auto"/>
              </w:rPr>
            </w:pPr>
            <w:r>
              <w:rPr>
                <w:rFonts w:ascii="Arial" w:cs="Arial" w:eastAsia="Arial" w:hAnsi="Arial"/>
                <w:sz w:val="14"/>
                <w:szCs w:val="14"/>
                <w:color w:val="auto"/>
              </w:rPr>
              <w:t>Shares issued pursuant to stock-based</w:t>
            </w: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420" w:type="dxa"/>
            <w:vAlign w:val="bottom"/>
          </w:tcPr>
          <w:p>
            <w:pPr>
              <w:ind w:left="380"/>
              <w:spacing w:after="0"/>
              <w:rPr>
                <w:sz w:val="20"/>
                <w:szCs w:val="20"/>
                <w:color w:val="auto"/>
              </w:rPr>
            </w:pPr>
            <w:r>
              <w:rPr>
                <w:rFonts w:ascii="Arial" w:cs="Arial" w:eastAsia="Arial" w:hAnsi="Arial"/>
                <w:sz w:val="14"/>
                <w:szCs w:val="14"/>
                <w:color w:val="auto"/>
              </w:rPr>
              <w:t>compensation plan</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(5 )</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6"/>
                <w:szCs w:val="16"/>
                <w:color w:val="auto"/>
              </w:rPr>
            </w:pPr>
          </w:p>
        </w:tc>
      </w:tr>
      <w:tr>
        <w:trPr>
          <w:trHeight w:val="190"/>
        </w:trPr>
        <w:tc>
          <w:tcPr>
            <w:tcW w:w="34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Cash dividends declared on common stock</w:t>
            </w: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($0.18 per share)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(24,421 )</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(24,421 )</w:t>
            </w:r>
          </w:p>
        </w:tc>
      </w:tr>
      <w:tr>
        <w:trPr>
          <w:trHeight w:val="196"/>
        </w:trPr>
        <w:tc>
          <w:tcPr>
            <w:tcW w:w="342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49,753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49,753</w:t>
            </w:r>
          </w:p>
        </w:tc>
        <w:tc>
          <w:tcPr>
            <w:tcW w:w="100" w:type="dxa"/>
            <w:vAlign w:val="bottom"/>
          </w:tcPr>
          <w:p>
            <w:pPr>
              <w:spacing w:after="0"/>
              <w:rPr>
                <w:sz w:val="17"/>
                <w:szCs w:val="17"/>
                <w:color w:val="auto"/>
              </w:rPr>
            </w:pPr>
          </w:p>
        </w:tc>
      </w:tr>
      <w:tr>
        <w:trPr>
          <w:trHeight w:val="209"/>
        </w:trPr>
        <w:tc>
          <w:tcPr>
            <w:tcW w:w="34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Other comprehensive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(10,173 )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(10,173 )</w:t>
            </w:r>
          </w:p>
        </w:tc>
      </w:tr>
      <w:tr>
        <w:trPr>
          <w:trHeight w:val="196"/>
        </w:trPr>
        <w:tc>
          <w:tcPr>
            <w:tcW w:w="342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Balance, September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135,517</w:t>
            </w:r>
          </w:p>
        </w:tc>
        <w:tc>
          <w:tcPr>
            <w:tcW w:w="3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1,208,569</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852,273</w:t>
            </w: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3,078</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2,063,920</w:t>
            </w:r>
          </w:p>
        </w:tc>
        <w:tc>
          <w:tcPr>
            <w:tcW w:w="100" w:type="dxa"/>
            <w:vAlign w:val="bottom"/>
            <w:tcBorders>
              <w:top w:val="single" w:sz="8" w:color="CFF0FC"/>
            </w:tcBorders>
          </w:tcPr>
          <w:p>
            <w:pPr>
              <w:spacing w:after="0"/>
              <w:rPr>
                <w:sz w:val="17"/>
                <w:szCs w:val="17"/>
                <w:color w:val="auto"/>
              </w:rPr>
            </w:pPr>
          </w:p>
        </w:tc>
      </w:tr>
      <w:tr>
        <w:trPr>
          <w:trHeight w:val="20"/>
        </w:trPr>
        <w:tc>
          <w:tcPr>
            <w:tcW w:w="3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4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July 1, 2020</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135,516</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1,209,449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712,145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1,959,098</w:t>
            </w:r>
          </w:p>
        </w:tc>
        <w:tc>
          <w:tcPr>
            <w:tcW w:w="100" w:type="dxa"/>
            <w:vAlign w:val="bottom"/>
            <w:shd w:val="clear" w:color="auto" w:fill="CFF0FC"/>
          </w:tcPr>
          <w:p>
            <w:pPr>
              <w:spacing w:after="0"/>
              <w:rPr>
                <w:sz w:val="17"/>
                <w:szCs w:val="17"/>
                <w:color w:val="auto"/>
              </w:rPr>
            </w:pPr>
          </w:p>
        </w:tc>
      </w:tr>
      <w:tr>
        <w:trPr>
          <w:trHeight w:val="197"/>
        </w:trPr>
        <w:tc>
          <w:tcPr>
            <w:tcW w:w="342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(15 )</w:t>
            </w:r>
          </w:p>
        </w:tc>
        <w:tc>
          <w:tcPr>
            <w:tcW w:w="14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(257 )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(257 )</w:t>
            </w:r>
          </w:p>
        </w:tc>
      </w:tr>
      <w:tr>
        <w:trPr>
          <w:trHeight w:val="208"/>
        </w:trPr>
        <w:tc>
          <w:tcPr>
            <w:tcW w:w="34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Exercise of 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FF0FC"/>
          </w:tcPr>
          <w:p>
            <w:pPr>
              <w:spacing w:after="0"/>
              <w:rPr>
                <w:sz w:val="18"/>
                <w:szCs w:val="18"/>
                <w:color w:val="auto"/>
              </w:rPr>
            </w:pPr>
          </w:p>
        </w:tc>
      </w:tr>
      <w:tr>
        <w:trPr>
          <w:trHeight w:val="184"/>
        </w:trPr>
        <w:tc>
          <w:tcPr>
            <w:tcW w:w="3420" w:type="dxa"/>
            <w:vAlign w:val="bottom"/>
          </w:tcPr>
          <w:p>
            <w:pPr>
              <w:ind w:left="280"/>
              <w:spacing w:after="0"/>
              <w:rPr>
                <w:sz w:val="20"/>
                <w:szCs w:val="20"/>
                <w:color w:val="auto"/>
              </w:rPr>
            </w:pPr>
            <w:r>
              <w:rPr>
                <w:rFonts w:ascii="Arial" w:cs="Arial" w:eastAsia="Arial" w:hAnsi="Arial"/>
                <w:sz w:val="14"/>
                <w:szCs w:val="14"/>
                <w:color w:val="auto"/>
              </w:rPr>
              <w:t>Shares issued pursuant to stock-based</w:t>
            </w: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420" w:type="dxa"/>
            <w:vAlign w:val="bottom"/>
          </w:tcPr>
          <w:p>
            <w:pPr>
              <w:ind w:left="380"/>
              <w:spacing w:after="0"/>
              <w:rPr>
                <w:sz w:val="20"/>
                <w:szCs w:val="20"/>
                <w:color w:val="auto"/>
              </w:rPr>
            </w:pPr>
            <w:r>
              <w:rPr>
                <w:rFonts w:ascii="Arial" w:cs="Arial" w:eastAsia="Arial" w:hAnsi="Arial"/>
                <w:sz w:val="14"/>
                <w:szCs w:val="14"/>
                <w:color w:val="auto"/>
              </w:rPr>
              <w:t>compensation plan</w:t>
            </w: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1,407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1,407</w:t>
            </w:r>
          </w:p>
        </w:tc>
        <w:tc>
          <w:tcPr>
            <w:tcW w:w="100" w:type="dxa"/>
            <w:vAlign w:val="bottom"/>
          </w:tcPr>
          <w:p>
            <w:pPr>
              <w:spacing w:after="0"/>
              <w:rPr>
                <w:sz w:val="16"/>
                <w:szCs w:val="16"/>
                <w:color w:val="auto"/>
              </w:rPr>
            </w:pPr>
          </w:p>
        </w:tc>
      </w:tr>
      <w:tr>
        <w:trPr>
          <w:trHeight w:val="190"/>
        </w:trPr>
        <w:tc>
          <w:tcPr>
            <w:tcW w:w="34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Cash dividends declared on common stock</w:t>
            </w: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($0.18 per share)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(24,419 )</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(24,419 )</w:t>
            </w:r>
          </w:p>
        </w:tc>
      </w:tr>
      <w:tr>
        <w:trPr>
          <w:trHeight w:val="196"/>
        </w:trPr>
        <w:tc>
          <w:tcPr>
            <w:tcW w:w="342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47,492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47,492</w:t>
            </w:r>
          </w:p>
        </w:tc>
        <w:tc>
          <w:tcPr>
            <w:tcW w:w="100" w:type="dxa"/>
            <w:vAlign w:val="bottom"/>
          </w:tcPr>
          <w:p>
            <w:pPr>
              <w:spacing w:after="0"/>
              <w:rPr>
                <w:sz w:val="17"/>
                <w:szCs w:val="17"/>
                <w:color w:val="auto"/>
              </w:rPr>
            </w:pPr>
          </w:p>
        </w:tc>
      </w:tr>
      <w:tr>
        <w:trPr>
          <w:trHeight w:val="209"/>
        </w:trPr>
        <w:tc>
          <w:tcPr>
            <w:tcW w:w="34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Other comprehensive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(1,411 )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(1,411 )</w:t>
            </w:r>
          </w:p>
        </w:tc>
      </w:tr>
      <w:tr>
        <w:trPr>
          <w:trHeight w:val="196"/>
        </w:trPr>
        <w:tc>
          <w:tcPr>
            <w:tcW w:w="342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Balance, September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135,509</w:t>
            </w:r>
          </w:p>
        </w:tc>
        <w:tc>
          <w:tcPr>
            <w:tcW w:w="3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1,210,646</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735,218</w:t>
            </w: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36,093</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1,981,957</w:t>
            </w:r>
          </w:p>
        </w:tc>
        <w:tc>
          <w:tcPr>
            <w:tcW w:w="100" w:type="dxa"/>
            <w:vAlign w:val="bottom"/>
            <w:tcBorders>
              <w:top w:val="single" w:sz="8" w:color="CFF0FC"/>
            </w:tcBorders>
          </w:tcPr>
          <w:p>
            <w:pPr>
              <w:spacing w:after="0"/>
              <w:rPr>
                <w:sz w:val="17"/>
                <w:szCs w:val="17"/>
                <w:color w:val="auto"/>
              </w:rPr>
            </w:pPr>
          </w:p>
        </w:tc>
      </w:tr>
      <w:tr>
        <w:trPr>
          <w:trHeight w:val="20"/>
        </w:trPr>
        <w:tc>
          <w:tcPr>
            <w:tcW w:w="3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-1573530</wp:posOffset>
            </wp:positionV>
            <wp:extent cx="22288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-1573530</wp:posOffset>
            </wp:positionV>
            <wp:extent cx="18859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-1573530</wp:posOffset>
            </wp:positionV>
            <wp:extent cx="17145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-1573530</wp:posOffset>
            </wp:positionV>
            <wp:extent cx="17145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-1573530</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-159385</wp:posOffset>
            </wp:positionV>
            <wp:extent cx="22288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-159385</wp:posOffset>
            </wp:positionV>
            <wp:extent cx="18859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17145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17145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-159385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Accumulated Other</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50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Common Shares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Comprehensive</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500" w:type="dxa"/>
            <w:vAlign w:val="bottom"/>
          </w:tcPr>
          <w:p>
            <w:pPr>
              <w:spacing w:after="0"/>
              <w:rPr>
                <w:sz w:val="16"/>
                <w:szCs w:val="16"/>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6"/>
                <w:szCs w:val="16"/>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16"/>
                <w:szCs w:val="16"/>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Retained Earnings</w:t>
            </w:r>
          </w:p>
        </w:tc>
        <w:tc>
          <w:tcPr>
            <w:tcW w:w="14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Income (Loss)</w:t>
            </w:r>
          </w:p>
        </w:tc>
        <w:tc>
          <w:tcPr>
            <w:tcW w:w="30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02"/>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135,601</w:t>
            </w: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1,211,780</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760,861</w:t>
            </w: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35,349</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2,007,990</w:t>
            </w:r>
          </w:p>
        </w:tc>
        <w:tc>
          <w:tcPr>
            <w:tcW w:w="100" w:type="dxa"/>
            <w:vAlign w:val="bottom"/>
            <w:shd w:val="clear" w:color="auto" w:fill="CFF0FC"/>
          </w:tcPr>
          <w:p>
            <w:pPr>
              <w:spacing w:after="0"/>
              <w:rPr>
                <w:sz w:val="17"/>
                <w:szCs w:val="17"/>
                <w:color w:val="auto"/>
              </w:rPr>
            </w:pPr>
          </w:p>
        </w:tc>
      </w:tr>
      <w:tr>
        <w:trPr>
          <w:trHeight w:val="196"/>
        </w:trPr>
        <w:tc>
          <w:tcPr>
            <w:tcW w:w="3500" w:type="dxa"/>
            <w:vAlign w:val="bottom"/>
          </w:tcPr>
          <w:p>
            <w:pPr>
              <w:ind w:left="300"/>
              <w:spacing w:after="0"/>
              <w:rPr>
                <w:sz w:val="20"/>
                <w:szCs w:val="20"/>
                <w:color w:val="auto"/>
              </w:rPr>
            </w:pPr>
            <w:r>
              <w:rPr>
                <w:rFonts w:ascii="Arial" w:cs="Arial" w:eastAsia="Arial" w:hAnsi="Arial"/>
                <w:sz w:val="14"/>
                <w:szCs w:val="14"/>
                <w:color w:val="auto"/>
              </w:rPr>
              <w:t>Repurchase of common stock</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(430 )</w:t>
            </w:r>
          </w:p>
        </w:tc>
        <w:tc>
          <w:tcPr>
            <w:tcW w:w="1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(8,246 )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(8,246 )</w:t>
            </w:r>
          </w:p>
        </w:tc>
      </w:tr>
      <w:tr>
        <w:trPr>
          <w:trHeight w:val="209"/>
        </w:trPr>
        <w:tc>
          <w:tcPr>
            <w:tcW w:w="3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w:t>
            </w:r>
          </w:p>
        </w:tc>
        <w:tc>
          <w:tcPr>
            <w:tcW w:w="100" w:type="dxa"/>
            <w:vAlign w:val="bottom"/>
            <w:shd w:val="clear" w:color="auto" w:fill="CFF0FC"/>
          </w:tcPr>
          <w:p>
            <w:pPr>
              <w:spacing w:after="0"/>
              <w:rPr>
                <w:sz w:val="18"/>
                <w:szCs w:val="18"/>
                <w:color w:val="auto"/>
              </w:rPr>
            </w:pPr>
          </w:p>
        </w:tc>
      </w:tr>
      <w:tr>
        <w:trPr>
          <w:trHeight w:val="184"/>
        </w:trPr>
        <w:tc>
          <w:tcPr>
            <w:tcW w:w="3500" w:type="dxa"/>
            <w:vAlign w:val="bottom"/>
          </w:tcPr>
          <w:p>
            <w:pPr>
              <w:ind w:left="300"/>
              <w:spacing w:after="0"/>
              <w:rPr>
                <w:sz w:val="20"/>
                <w:szCs w:val="20"/>
                <w:color w:val="auto"/>
              </w:rPr>
            </w:pPr>
            <w:r>
              <w:rPr>
                <w:rFonts w:ascii="Arial" w:cs="Arial" w:eastAsia="Arial" w:hAnsi="Arial"/>
                <w:sz w:val="14"/>
                <w:szCs w:val="14"/>
                <w:color w:val="auto"/>
              </w:rPr>
              <w:t>Shares issued pursuant to stock-based</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500" w:type="dxa"/>
            <w:vAlign w:val="bottom"/>
          </w:tcPr>
          <w:p>
            <w:pPr>
              <w:ind w:left="400"/>
              <w:spacing w:after="0"/>
              <w:rPr>
                <w:sz w:val="20"/>
                <w:szCs w:val="20"/>
                <w:color w:val="auto"/>
              </w:rPr>
            </w:pPr>
            <w:r>
              <w:rPr>
                <w:rFonts w:ascii="Arial" w:cs="Arial" w:eastAsia="Arial" w:hAnsi="Arial"/>
                <w:sz w:val="14"/>
                <w:szCs w:val="14"/>
                <w:color w:val="auto"/>
              </w:rPr>
              <w:t>compensation plan</w:t>
            </w:r>
          </w:p>
        </w:tc>
        <w:tc>
          <w:tcPr>
            <w:tcW w:w="1060" w:type="dxa"/>
            <w:vAlign w:val="bottom"/>
          </w:tcPr>
          <w:p>
            <w:pPr>
              <w:jc w:val="right"/>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4,049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4,049</w:t>
            </w:r>
          </w:p>
        </w:tc>
        <w:tc>
          <w:tcPr>
            <w:tcW w:w="100" w:type="dxa"/>
            <w:vAlign w:val="bottom"/>
          </w:tcPr>
          <w:p>
            <w:pPr>
              <w:spacing w:after="0"/>
              <w:rPr>
                <w:sz w:val="16"/>
                <w:szCs w:val="16"/>
                <w:color w:val="auto"/>
              </w:rPr>
            </w:pPr>
          </w:p>
        </w:tc>
      </w:tr>
      <w:tr>
        <w:trPr>
          <w:trHeight w:val="190"/>
        </w:trPr>
        <w:tc>
          <w:tcPr>
            <w:tcW w:w="3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Cash dividends declared on common stock</w:t>
            </w: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5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($0.54 per share)</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(73,413 )</w:t>
            </w: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(73,413 )</w:t>
            </w:r>
          </w:p>
        </w:tc>
      </w:tr>
      <w:tr>
        <w:trPr>
          <w:trHeight w:val="197"/>
        </w:trPr>
        <w:tc>
          <w:tcPr>
            <w:tcW w:w="3500" w:type="dxa"/>
            <w:vAlign w:val="bottom"/>
          </w:tcPr>
          <w:p>
            <w:pPr>
              <w:ind w:left="300"/>
              <w:spacing w:after="0"/>
              <w:rPr>
                <w:sz w:val="20"/>
                <w:szCs w:val="20"/>
                <w:color w:val="auto"/>
              </w:rPr>
            </w:pPr>
            <w:r>
              <w:rPr>
                <w:rFonts w:ascii="Arial" w:cs="Arial" w:eastAsia="Arial" w:hAnsi="Arial"/>
                <w:sz w:val="14"/>
                <w:szCs w:val="14"/>
                <w:color w:val="auto"/>
              </w:rPr>
              <w:t>Net earnings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164,825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164,825</w:t>
            </w:r>
          </w:p>
        </w:tc>
        <w:tc>
          <w:tcPr>
            <w:tcW w:w="100" w:type="dxa"/>
            <w:vAlign w:val="bottom"/>
          </w:tcPr>
          <w:p>
            <w:pPr>
              <w:spacing w:after="0"/>
              <w:rPr>
                <w:sz w:val="17"/>
                <w:szCs w:val="17"/>
                <w:color w:val="auto"/>
              </w:rPr>
            </w:pPr>
          </w:p>
        </w:tc>
      </w:tr>
      <w:tr>
        <w:trPr>
          <w:trHeight w:val="208"/>
        </w:trPr>
        <w:tc>
          <w:tcPr>
            <w:tcW w:w="3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(32,271 )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(32,271 )</w:t>
            </w:r>
          </w:p>
        </w:tc>
      </w:tr>
      <w:tr>
        <w:trPr>
          <w:trHeight w:val="196"/>
        </w:trPr>
        <w:tc>
          <w:tcPr>
            <w:tcW w:w="350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135,517</w:t>
            </w: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1,208,569</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852,273</w:t>
            </w: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3,078</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2,063,920</w:t>
            </w:r>
          </w:p>
        </w:tc>
        <w:tc>
          <w:tcPr>
            <w:tcW w:w="100" w:type="dxa"/>
            <w:vAlign w:val="bottom"/>
            <w:tcBorders>
              <w:top w:val="single" w:sz="8" w:color="CFF0FC"/>
            </w:tcBorders>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140,102</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1,298,792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682,692</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12,614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1,994,098</w:t>
            </w:r>
          </w:p>
        </w:tc>
        <w:tc>
          <w:tcPr>
            <w:tcW w:w="100" w:type="dxa"/>
            <w:vAlign w:val="bottom"/>
            <w:shd w:val="clear" w:color="auto" w:fill="CFF0FC"/>
          </w:tcPr>
          <w:p>
            <w:pPr>
              <w:spacing w:after="0"/>
              <w:rPr>
                <w:sz w:val="17"/>
                <w:szCs w:val="17"/>
                <w:color w:val="auto"/>
              </w:rPr>
            </w:pPr>
          </w:p>
        </w:tc>
      </w:tr>
      <w:tr>
        <w:trPr>
          <w:trHeight w:val="184"/>
        </w:trPr>
        <w:tc>
          <w:tcPr>
            <w:tcW w:w="3500" w:type="dxa"/>
            <w:vAlign w:val="bottom"/>
          </w:tcPr>
          <w:p>
            <w:pPr>
              <w:ind w:left="300"/>
              <w:spacing w:after="0"/>
              <w:rPr>
                <w:sz w:val="20"/>
                <w:szCs w:val="20"/>
                <w:color w:val="auto"/>
              </w:rPr>
            </w:pPr>
            <w:r>
              <w:rPr>
                <w:rFonts w:ascii="Arial" w:cs="Arial" w:eastAsia="Arial" w:hAnsi="Arial"/>
                <w:sz w:val="14"/>
                <w:szCs w:val="14"/>
                <w:color w:val="auto"/>
              </w:rPr>
              <w:t>Cumulative adjustment upon adoption of</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500" w:type="dxa"/>
            <w:vAlign w:val="bottom"/>
          </w:tcPr>
          <w:p>
            <w:pPr>
              <w:ind w:left="400"/>
              <w:spacing w:after="0"/>
              <w:rPr>
                <w:sz w:val="20"/>
                <w:szCs w:val="20"/>
                <w:color w:val="auto"/>
              </w:rPr>
            </w:pPr>
            <w:r>
              <w:rPr>
                <w:rFonts w:ascii="Arial" w:cs="Arial" w:eastAsia="Arial" w:hAnsi="Arial"/>
                <w:sz w:val="14"/>
                <w:szCs w:val="14"/>
                <w:color w:val="auto"/>
              </w:rPr>
              <w:t>ASU 2016-13</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(1,325 )</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(1,325 )</w:t>
            </w:r>
          </w:p>
        </w:tc>
      </w:tr>
      <w:tr>
        <w:trPr>
          <w:trHeight w:val="208"/>
        </w:trPr>
        <w:tc>
          <w:tcPr>
            <w:tcW w:w="3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 of common stock</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(5,004 )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(92,687 )</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(92,687 )</w:t>
            </w:r>
          </w:p>
        </w:tc>
      </w:tr>
      <w:tr>
        <w:trPr>
          <w:trHeight w:val="197"/>
        </w:trPr>
        <w:tc>
          <w:tcPr>
            <w:tcW w:w="350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r>
      <w:tr>
        <w:trPr>
          <w:trHeight w:val="190"/>
        </w:trPr>
        <w:tc>
          <w:tcPr>
            <w:tcW w:w="3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Shares issued pursuant to stock-based</w:t>
            </w: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5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compensation plan</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4,373</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4,373</w:t>
            </w:r>
          </w:p>
        </w:tc>
        <w:tc>
          <w:tcPr>
            <w:tcW w:w="100" w:type="dxa"/>
            <w:vAlign w:val="bottom"/>
            <w:shd w:val="clear" w:color="auto" w:fill="CFF0FC"/>
          </w:tcPr>
          <w:p>
            <w:pPr>
              <w:spacing w:after="0"/>
              <w:rPr>
                <w:sz w:val="16"/>
                <w:szCs w:val="16"/>
                <w:color w:val="auto"/>
              </w:rPr>
            </w:pPr>
          </w:p>
        </w:tc>
      </w:tr>
      <w:tr>
        <w:trPr>
          <w:trHeight w:val="184"/>
        </w:trPr>
        <w:tc>
          <w:tcPr>
            <w:tcW w:w="3500" w:type="dxa"/>
            <w:vAlign w:val="bottom"/>
          </w:tcPr>
          <w:p>
            <w:pPr>
              <w:ind w:left="300"/>
              <w:spacing w:after="0"/>
              <w:rPr>
                <w:sz w:val="20"/>
                <w:szCs w:val="20"/>
                <w:color w:val="auto"/>
              </w:rPr>
            </w:pPr>
            <w:r>
              <w:rPr>
                <w:rFonts w:ascii="Arial" w:cs="Arial" w:eastAsia="Arial" w:hAnsi="Arial"/>
                <w:sz w:val="14"/>
                <w:szCs w:val="14"/>
                <w:color w:val="auto"/>
              </w:rPr>
              <w:t>Cash dividends declared on common stock</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500" w:type="dxa"/>
            <w:vAlign w:val="bottom"/>
          </w:tcPr>
          <w:p>
            <w:pPr>
              <w:ind w:left="360"/>
              <w:spacing w:after="0"/>
              <w:rPr>
                <w:sz w:val="20"/>
                <w:szCs w:val="20"/>
                <w:color w:val="auto"/>
              </w:rPr>
            </w:pPr>
            <w:r>
              <w:rPr>
                <w:rFonts w:ascii="Arial" w:cs="Arial" w:eastAsia="Arial" w:hAnsi="Arial"/>
                <w:sz w:val="14"/>
                <w:szCs w:val="14"/>
                <w:color w:val="auto"/>
              </w:rPr>
              <w:t>($0.54 per share)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(73,252 )</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(73,252 )</w:t>
            </w:r>
          </w:p>
        </w:tc>
      </w:tr>
      <w:tr>
        <w:trPr>
          <w:trHeight w:val="208"/>
        </w:trPr>
        <w:tc>
          <w:tcPr>
            <w:tcW w:w="3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earnings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127,103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127,103</w:t>
            </w:r>
          </w:p>
        </w:tc>
        <w:tc>
          <w:tcPr>
            <w:tcW w:w="100" w:type="dxa"/>
            <w:vAlign w:val="bottom"/>
            <w:shd w:val="clear" w:color="auto" w:fill="CFF0FC"/>
          </w:tcPr>
          <w:p>
            <w:pPr>
              <w:spacing w:after="0"/>
              <w:rPr>
                <w:sz w:val="18"/>
                <w:szCs w:val="18"/>
                <w:color w:val="auto"/>
              </w:rPr>
            </w:pPr>
          </w:p>
        </w:tc>
      </w:tr>
      <w:tr>
        <w:trPr>
          <w:trHeight w:val="203"/>
        </w:trPr>
        <w:tc>
          <w:tcPr>
            <w:tcW w:w="3500" w:type="dxa"/>
            <w:vAlign w:val="bottom"/>
          </w:tcPr>
          <w:p>
            <w:pPr>
              <w:ind w:left="300"/>
              <w:spacing w:after="0"/>
              <w:rPr>
                <w:sz w:val="20"/>
                <w:szCs w:val="20"/>
                <w:color w:val="auto"/>
              </w:rPr>
            </w:pPr>
            <w:r>
              <w:rPr>
                <w:rFonts w:ascii="Arial" w:cs="Arial" w:eastAsia="Arial" w:hAnsi="Arial"/>
                <w:sz w:val="14"/>
                <w:szCs w:val="14"/>
                <w:color w:val="auto"/>
              </w:rPr>
              <w:t>Other comprehensive income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23,479</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23,479</w:t>
            </w:r>
          </w:p>
        </w:tc>
        <w:tc>
          <w:tcPr>
            <w:tcW w:w="100" w:type="dxa"/>
            <w:vAlign w:val="bottom"/>
          </w:tcPr>
          <w:p>
            <w:pPr>
              <w:spacing w:after="0"/>
              <w:rPr>
                <w:sz w:val="17"/>
                <w:szCs w:val="17"/>
                <w:color w:val="auto"/>
              </w:rPr>
            </w:pPr>
          </w:p>
        </w:tc>
      </w:tr>
      <w:tr>
        <w:trPr>
          <w:trHeight w:val="236"/>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135,509</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1,210,646</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735,218</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36,093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1,981,957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-1813560</wp:posOffset>
            </wp:positionV>
            <wp:extent cx="18859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-1813560</wp:posOffset>
            </wp:positionV>
            <wp:extent cx="18859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-1813560</wp:posOffset>
            </wp:positionV>
            <wp:extent cx="18859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-1813560</wp:posOffset>
            </wp:positionV>
            <wp:extent cx="17145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-1813560</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-25400</wp:posOffset>
            </wp:positionV>
            <wp:extent cx="1885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1885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-25400</wp:posOffset>
            </wp:positionV>
            <wp:extent cx="1885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1885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1885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1885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171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714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Nine Months Ended</w:t>
            </w:r>
          </w:p>
        </w:tc>
      </w:tr>
      <w:tr>
        <w:trPr>
          <w:trHeight w:val="263"/>
        </w:trPr>
        <w:tc>
          <w:tcPr>
            <w:tcW w:w="8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1"/>
                <w:szCs w:val="21"/>
                <w:color w:val="auto"/>
              </w:rPr>
            </w:pPr>
          </w:p>
        </w:tc>
      </w:tr>
      <w:tr>
        <w:trPr>
          <w:trHeight w:val="257"/>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Interest and dividends received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308,061</w:t>
            </w:r>
          </w:p>
        </w:tc>
        <w:tc>
          <w:tcPr>
            <w:tcW w:w="2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301,634</w:t>
            </w:r>
          </w:p>
        </w:tc>
        <w:tc>
          <w:tcPr>
            <w:tcW w:w="100" w:type="dxa"/>
            <w:vAlign w:val="bottom"/>
          </w:tcPr>
          <w:p>
            <w:pPr>
              <w:spacing w:after="0"/>
              <w:rPr>
                <w:sz w:val="21"/>
                <w:szCs w:val="21"/>
                <w:color w:val="auto"/>
              </w:rPr>
            </w:pP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Service charges and other fees received</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27,427</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w:t>
            </w:r>
          </w:p>
        </w:tc>
        <w:tc>
          <w:tcPr>
            <w:tcW w:w="100" w:type="dxa"/>
            <w:vAlign w:val="bottom"/>
            <w:shd w:val="clear" w:color="auto" w:fill="CFF0FC"/>
          </w:tcPr>
          <w:p>
            <w:pPr>
              <w:spacing w:after="0"/>
              <w:rPr>
                <w:sz w:val="22"/>
                <w:szCs w:val="22"/>
                <w:color w:val="auto"/>
              </w:rPr>
            </w:pP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Interest paid</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(4,866 )</w:t>
            </w: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(10,975 )</w:t>
            </w: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Net cash paid to vendors, employees and others</w:t>
            </w:r>
          </w:p>
        </w:tc>
        <w:tc>
          <w:tcPr>
            <w:tcW w:w="3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(135,640 )</w:t>
            </w:r>
          </w:p>
        </w:tc>
        <w:tc>
          <w:tcPr>
            <w:tcW w:w="4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(136,948 )</w:t>
            </w: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(58,402 )</w:t>
            </w: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(45,610 )</w:t>
            </w:r>
          </w:p>
        </w:tc>
      </w:tr>
      <w:tr>
        <w:trPr>
          <w:trHeight w:val="243"/>
        </w:trPr>
        <w:tc>
          <w:tcPr>
            <w:tcW w:w="808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136,580</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138,019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Net change in interest-earning balances from depository institutions</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(41,436 )</w:t>
            </w: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Proceeds from repayment of investment securities available-for-sale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599,139</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426,684</w:t>
            </w:r>
          </w:p>
        </w:tc>
        <w:tc>
          <w:tcPr>
            <w:tcW w:w="100" w:type="dxa"/>
            <w:vAlign w:val="bottom"/>
          </w:tcPr>
          <w:p>
            <w:pPr>
              <w:spacing w:after="0"/>
              <w:rPr>
                <w:sz w:val="21"/>
                <w:szCs w:val="21"/>
                <w:color w:val="auto"/>
              </w:rPr>
            </w:pP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Proceeds from maturity of investment securities available-for-sale</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w:t>
            </w:r>
          </w:p>
        </w:tc>
        <w:tc>
          <w:tcPr>
            <w:tcW w:w="100" w:type="dxa"/>
            <w:vAlign w:val="bottom"/>
            <w:shd w:val="clear" w:color="auto" w:fill="CFF0FC"/>
          </w:tcPr>
          <w:p>
            <w:pPr>
              <w:spacing w:after="0"/>
              <w:rPr>
                <w:sz w:val="22"/>
                <w:szCs w:val="22"/>
                <w:color w:val="auto"/>
              </w:rPr>
            </w:pP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Purchases of investment securities available-for-sale</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(1,247,286 )</w:t>
            </w: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(870,934 )</w:t>
            </w: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Proceeds from repayment and maturity of investment securities held-to-maturity</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113,134</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106,491</w:t>
            </w:r>
          </w:p>
        </w:tc>
        <w:tc>
          <w:tcPr>
            <w:tcW w:w="100" w:type="dxa"/>
            <w:vAlign w:val="bottom"/>
            <w:shd w:val="clear" w:color="auto" w:fill="CFF0FC"/>
          </w:tcPr>
          <w:p>
            <w:pPr>
              <w:spacing w:after="0"/>
              <w:rPr>
                <w:sz w:val="22"/>
                <w:szCs w:val="22"/>
                <w:color w:val="auto"/>
              </w:rPr>
            </w:pP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Purchases of investment securities held-to-maturity</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(830,886 )</w:t>
            </w: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(11,210 )</w:t>
            </w: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Net increase in equity investments</w:t>
            </w:r>
          </w:p>
        </w:tc>
        <w:tc>
          <w:tcPr>
            <w:tcW w:w="3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(4,934 )</w:t>
            </w:r>
          </w:p>
        </w:tc>
        <w:tc>
          <w:tcPr>
            <w:tcW w:w="4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(2,890 )</w:t>
            </w: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Net decrease (increase) in loan and lease finance receivables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529,771</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(815,151 )</w:t>
            </w: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Proceeds from sale of building, net of selling costs</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FF0FC"/>
          </w:tcPr>
          <w:p>
            <w:pPr>
              <w:spacing w:after="0"/>
              <w:rPr>
                <w:sz w:val="22"/>
                <w:szCs w:val="22"/>
                <w:color w:val="auto"/>
              </w:rPr>
            </w:pP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Purchase of premises and equipment</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(2,278 )</w:t>
            </w: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(2,444 )</w:t>
            </w: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Purchase of BOLI</w:t>
            </w:r>
          </w:p>
        </w:tc>
        <w:tc>
          <w:tcPr>
            <w:tcW w:w="3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(25,000 )</w:t>
            </w: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Proceeds from BOLI death benefit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11,121</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21"/>
                <w:szCs w:val="21"/>
                <w:color w:val="auto"/>
              </w:rPr>
            </w:pP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Proceeds from sales of other real estate owned</w:t>
            </w: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280" w:type="dxa"/>
            <w:vAlign w:val="bottom"/>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36"/>
        </w:trPr>
        <w:tc>
          <w:tcPr>
            <w:tcW w:w="8080" w:type="dxa"/>
            <w:vAlign w:val="bottom"/>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(835,890 )</w:t>
            </w:r>
          </w:p>
        </w:tc>
        <w:tc>
          <w:tcPr>
            <w:tcW w:w="4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(1,200,664 )</w:t>
            </w:r>
          </w:p>
        </w:tc>
      </w:tr>
      <w:tr>
        <w:trPr>
          <w:trHeight w:val="250"/>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Net increase in other deposits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1,250,970</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2,465,066</w:t>
            </w:r>
          </w:p>
        </w:tc>
        <w:tc>
          <w:tcPr>
            <w:tcW w:w="100" w:type="dxa"/>
            <w:vAlign w:val="bottom"/>
          </w:tcPr>
          <w:p>
            <w:pPr>
              <w:spacing w:after="0"/>
              <w:rPr>
                <w:sz w:val="21"/>
                <w:szCs w:val="21"/>
                <w:color w:val="auto"/>
              </w:rPr>
            </w:pP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Net decrease in time deposits</w:t>
            </w:r>
          </w:p>
        </w:tc>
        <w:tc>
          <w:tcPr>
            <w:tcW w:w="3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(57,255 )</w:t>
            </w:r>
          </w:p>
        </w:tc>
        <w:tc>
          <w:tcPr>
            <w:tcW w:w="4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(1,160 )</w:t>
            </w: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Net (decrease) increase in other borrowings</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(5,000 )</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Net increase in customer repurchase agreements</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220,173</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54,761</w:t>
            </w:r>
          </w:p>
        </w:tc>
        <w:tc>
          <w:tcPr>
            <w:tcW w:w="100" w:type="dxa"/>
            <w:vAlign w:val="bottom"/>
            <w:shd w:val="clear" w:color="auto" w:fill="CFF0FC"/>
          </w:tcPr>
          <w:p>
            <w:pPr>
              <w:spacing w:after="0"/>
              <w:rPr>
                <w:sz w:val="22"/>
                <w:szCs w:val="22"/>
                <w:color w:val="auto"/>
              </w:rPr>
            </w:pP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Repayment of junior subordinated debentures</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(25,774 )</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Cash dividends on common stock</w:t>
            </w:r>
          </w:p>
        </w:tc>
        <w:tc>
          <w:tcPr>
            <w:tcW w:w="3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(73,341 )</w:t>
            </w:r>
          </w:p>
        </w:tc>
        <w:tc>
          <w:tcPr>
            <w:tcW w:w="4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(74,068 )</w:t>
            </w:r>
          </w:p>
        </w:tc>
      </w:tr>
      <w:tr>
        <w:trPr>
          <w:trHeight w:val="250"/>
        </w:trPr>
        <w:tc>
          <w:tcPr>
            <w:tcW w:w="8080" w:type="dxa"/>
            <w:vAlign w:val="bottom"/>
          </w:tcPr>
          <w:p>
            <w:pPr>
              <w:ind w:left="30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(8,246 )</w:t>
            </w: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(92,687 )</w:t>
            </w:r>
          </w:p>
        </w:tc>
      </w:tr>
      <w:tr>
        <w:trPr>
          <w:trHeight w:val="263"/>
        </w:trPr>
        <w:tc>
          <w:tcPr>
            <w:tcW w:w="8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80" w:type="dxa"/>
            <w:vAlign w:val="bottom"/>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22"/>
                <w:szCs w:val="22"/>
                <w:color w:val="auto"/>
              </w:rPr>
            </w:pPr>
          </w:p>
        </w:tc>
      </w:tr>
      <w:tr>
        <w:trPr>
          <w:trHeight w:val="236"/>
        </w:trPr>
        <w:tc>
          <w:tcPr>
            <w:tcW w:w="8080" w:type="dxa"/>
            <w:vAlign w:val="bottom"/>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1,302,513</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2,362,080</w:t>
            </w:r>
          </w:p>
        </w:tc>
        <w:tc>
          <w:tcPr>
            <w:tcW w:w="100" w:type="dxa"/>
            <w:vAlign w:val="bottom"/>
          </w:tcPr>
          <w:p>
            <w:pPr>
              <w:spacing w:after="0"/>
              <w:rPr>
                <w:sz w:val="20"/>
                <w:szCs w:val="20"/>
                <w:color w:val="auto"/>
              </w:rPr>
            </w:pPr>
          </w:p>
        </w:tc>
      </w:tr>
      <w:tr>
        <w:trPr>
          <w:trHeight w:val="250"/>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603,203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1,299,435</w:t>
            </w:r>
          </w:p>
        </w:tc>
        <w:tc>
          <w:tcPr>
            <w:tcW w:w="100" w:type="dxa"/>
            <w:vAlign w:val="bottom"/>
            <w:shd w:val="clear" w:color="auto" w:fill="CFF0FC"/>
          </w:tcPr>
          <w:p>
            <w:pPr>
              <w:spacing w:after="0"/>
              <w:rPr>
                <w:sz w:val="21"/>
                <w:szCs w:val="21"/>
                <w:color w:val="auto"/>
              </w:rPr>
            </w:pPr>
          </w:p>
        </w:tc>
      </w:tr>
      <w:tr>
        <w:trPr>
          <w:trHeight w:val="507"/>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1,958,160</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185,518</w:t>
            </w:r>
          </w:p>
        </w:tc>
        <w:tc>
          <w:tcPr>
            <w:tcW w:w="100" w:type="dxa"/>
            <w:vAlign w:val="bottom"/>
          </w:tcPr>
          <w:p>
            <w:pPr>
              <w:spacing w:after="0"/>
              <w:rPr>
                <w:sz w:val="24"/>
                <w:szCs w:val="24"/>
                <w:color w:val="auto"/>
              </w:rPr>
            </w:pPr>
          </w:p>
        </w:tc>
      </w:tr>
      <w:tr>
        <w:trPr>
          <w:trHeight w:val="296"/>
        </w:trPr>
        <w:tc>
          <w:tcPr>
            <w:tcW w:w="8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2,561,363</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1,484,953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-4958080</wp:posOffset>
            </wp:positionV>
            <wp:extent cx="213995"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-4958080</wp:posOffset>
            </wp:positionV>
            <wp:extent cx="93980"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-2506345</wp:posOffset>
            </wp:positionV>
            <wp:extent cx="213995"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-2506345</wp:posOffset>
            </wp:positionV>
            <wp:extent cx="93980" cy="196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-869315</wp:posOffset>
            </wp:positionV>
            <wp:extent cx="213995"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-869315</wp:posOffset>
            </wp:positionV>
            <wp:extent cx="9398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1885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1885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263"/>
        </w:trPr>
        <w:tc>
          <w:tcPr>
            <w:tcW w:w="8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1"/>
                <w:szCs w:val="21"/>
                <w:color w:val="auto"/>
              </w:rPr>
            </w:pPr>
          </w:p>
        </w:tc>
      </w:tr>
      <w:tr>
        <w:trPr>
          <w:trHeight w:val="257"/>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of Net Earnings to Net Cash Provided by Operating Activities</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164,825</w:t>
            </w:r>
          </w:p>
        </w:tc>
        <w:tc>
          <w:tcPr>
            <w:tcW w:w="3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127,103</w:t>
            </w:r>
          </w:p>
        </w:tc>
        <w:tc>
          <w:tcPr>
            <w:tcW w:w="100" w:type="dxa"/>
            <w:vAlign w:val="bottom"/>
          </w:tcPr>
          <w:p>
            <w:pPr>
              <w:spacing w:after="0"/>
              <w:rPr>
                <w:sz w:val="21"/>
                <w:szCs w:val="21"/>
                <w:color w:val="auto"/>
              </w:rPr>
            </w:pPr>
          </w:p>
        </w:tc>
      </w:tr>
      <w:tr>
        <w:trPr>
          <w:trHeight w:val="263"/>
        </w:trPr>
        <w:tc>
          <w:tcPr>
            <w:tcW w:w="8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40" w:type="dxa"/>
            <w:vAlign w:val="bottom"/>
          </w:tcPr>
          <w:p>
            <w:pPr>
              <w:ind w:left="380"/>
              <w:spacing w:after="0"/>
              <w:rPr>
                <w:sz w:val="20"/>
                <w:szCs w:val="20"/>
                <w:color w:val="auto"/>
              </w:rPr>
            </w:pPr>
            <w:r>
              <w:rPr>
                <w:rFonts w:ascii="Arial" w:cs="Arial" w:eastAsia="Arial" w:hAnsi="Arial"/>
                <w:sz w:val="18"/>
                <w:szCs w:val="18"/>
                <w:color w:val="auto"/>
              </w:rPr>
              <w:t>Gain on sale of building, net</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(189 )</w:t>
            </w:r>
          </w:p>
        </w:tc>
        <w:tc>
          <w:tcPr>
            <w:tcW w:w="4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(1,680 )</w:t>
            </w:r>
          </w:p>
        </w:tc>
      </w:tr>
      <w:tr>
        <w:trPr>
          <w:trHeight w:val="263"/>
        </w:trPr>
        <w:tc>
          <w:tcPr>
            <w:tcW w:w="8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on sale of other real estate owned</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(477 )</w:t>
            </w: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8140" w:type="dxa"/>
            <w:vAlign w:val="bottom"/>
          </w:tcPr>
          <w:p>
            <w:pPr>
              <w:ind w:left="380"/>
              <w:spacing w:after="0"/>
              <w:rPr>
                <w:sz w:val="20"/>
                <w:szCs w:val="20"/>
                <w:color w:val="auto"/>
              </w:rPr>
            </w:pPr>
            <w:r>
              <w:rPr>
                <w:rFonts w:ascii="Arial" w:cs="Arial" w:eastAsia="Arial" w:hAnsi="Arial"/>
                <w:sz w:val="18"/>
                <w:szCs w:val="18"/>
                <w:color w:val="auto"/>
              </w:rPr>
              <w:t>Increase in BOLI</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(7,093 )</w:t>
            </w:r>
          </w:p>
        </w:tc>
        <w:tc>
          <w:tcPr>
            <w:tcW w:w="4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(4,028 )</w:t>
            </w:r>
          </w:p>
        </w:tc>
      </w:tr>
      <w:tr>
        <w:trPr>
          <w:trHeight w:val="263"/>
        </w:trPr>
        <w:tc>
          <w:tcPr>
            <w:tcW w:w="8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amortization of premiums and discounts on investment securities</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23,221</w:t>
            </w: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10,181</w:t>
            </w:r>
          </w:p>
        </w:tc>
        <w:tc>
          <w:tcPr>
            <w:tcW w:w="100" w:type="dxa"/>
            <w:vAlign w:val="bottom"/>
            <w:shd w:val="clear" w:color="auto" w:fill="CFF0FC"/>
          </w:tcPr>
          <w:p>
            <w:pPr>
              <w:spacing w:after="0"/>
              <w:rPr>
                <w:sz w:val="22"/>
                <w:szCs w:val="22"/>
                <w:color w:val="auto"/>
              </w:rPr>
            </w:pPr>
          </w:p>
        </w:tc>
      </w:tr>
      <w:tr>
        <w:trPr>
          <w:trHeight w:val="250"/>
        </w:trPr>
        <w:tc>
          <w:tcPr>
            <w:tcW w:w="8140" w:type="dxa"/>
            <w:vAlign w:val="bottom"/>
          </w:tcPr>
          <w:p>
            <w:pPr>
              <w:ind w:left="380"/>
              <w:spacing w:after="0"/>
              <w:rPr>
                <w:sz w:val="20"/>
                <w:szCs w:val="20"/>
                <w:color w:val="auto"/>
              </w:rPr>
            </w:pPr>
            <w:r>
              <w:rPr>
                <w:rFonts w:ascii="Arial" w:cs="Arial" w:eastAsia="Arial" w:hAnsi="Arial"/>
                <w:sz w:val="18"/>
                <w:szCs w:val="18"/>
                <w:color w:val="auto"/>
              </w:rPr>
              <w:t>Accretion of discount for acquired loans, net</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(10,158 )</w:t>
            </w:r>
          </w:p>
        </w:tc>
        <w:tc>
          <w:tcPr>
            <w:tcW w:w="4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(13,106 )</w:t>
            </w:r>
          </w:p>
        </w:tc>
      </w:tr>
      <w:tr>
        <w:trPr>
          <w:trHeight w:val="263"/>
        </w:trPr>
        <w:tc>
          <w:tcPr>
            <w:tcW w:w="8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(Recapture of) provision for credit losses</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(25,500 )</w:t>
            </w: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shd w:val="clear" w:color="auto" w:fill="CFF0FC"/>
          </w:tcPr>
          <w:p>
            <w:pPr>
              <w:spacing w:after="0"/>
              <w:rPr>
                <w:sz w:val="22"/>
                <w:szCs w:val="22"/>
                <w:color w:val="auto"/>
              </w:rPr>
            </w:pPr>
          </w:p>
        </w:tc>
      </w:tr>
      <w:tr>
        <w:trPr>
          <w:trHeight w:val="250"/>
        </w:trPr>
        <w:tc>
          <w:tcPr>
            <w:tcW w:w="8140" w:type="dxa"/>
            <w:vAlign w:val="bottom"/>
          </w:tcPr>
          <w:p>
            <w:pPr>
              <w:ind w:left="380"/>
              <w:spacing w:after="0"/>
              <w:rPr>
                <w:sz w:val="20"/>
                <w:szCs w:val="20"/>
                <w:color w:val="auto"/>
              </w:rPr>
            </w:pPr>
            <w:r>
              <w:rPr>
                <w:rFonts w:ascii="Arial" w:cs="Arial" w:eastAsia="Arial" w:hAnsi="Arial"/>
                <w:sz w:val="18"/>
                <w:szCs w:val="18"/>
                <w:color w:val="auto"/>
              </w:rPr>
              <w:t>(Recapture of) provision for unfunded loan commitments</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(1,000 )</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8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Valuation allowance on other real estate owned</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22"/>
                <w:szCs w:val="22"/>
                <w:color w:val="auto"/>
              </w:rPr>
            </w:pPr>
          </w:p>
        </w:tc>
      </w:tr>
      <w:tr>
        <w:trPr>
          <w:trHeight w:val="250"/>
        </w:trPr>
        <w:tc>
          <w:tcPr>
            <w:tcW w:w="81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4,049</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1"/>
                <w:szCs w:val="21"/>
                <w:color w:val="auto"/>
              </w:rPr>
            </w:pPr>
          </w:p>
        </w:tc>
      </w:tr>
      <w:tr>
        <w:trPr>
          <w:trHeight w:val="263"/>
        </w:trPr>
        <w:tc>
          <w:tcPr>
            <w:tcW w:w="8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 net</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(7,143 )</w:t>
            </w: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FF0FC"/>
          </w:tcPr>
          <w:p>
            <w:pPr>
              <w:spacing w:after="0"/>
              <w:rPr>
                <w:sz w:val="22"/>
                <w:szCs w:val="22"/>
                <w:color w:val="auto"/>
              </w:rPr>
            </w:pPr>
          </w:p>
        </w:tc>
      </w:tr>
      <w:tr>
        <w:trPr>
          <w:trHeight w:val="250"/>
        </w:trPr>
        <w:tc>
          <w:tcPr>
            <w:tcW w:w="8140" w:type="dxa"/>
            <w:vAlign w:val="bottom"/>
          </w:tcPr>
          <w:p>
            <w:pPr>
              <w:ind w:left="38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(3,955 )</w:t>
            </w:r>
          </w:p>
        </w:tc>
        <w:tc>
          <w:tcPr>
            <w:tcW w:w="4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(11,197 )</w:t>
            </w:r>
          </w:p>
        </w:tc>
      </w:tr>
      <w:tr>
        <w:trPr>
          <w:trHeight w:val="20"/>
        </w:trPr>
        <w:tc>
          <w:tcPr>
            <w:tcW w:w="8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1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adjustments</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(28,245 )</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21"/>
                <w:szCs w:val="21"/>
                <w:color w:val="auto"/>
              </w:rPr>
            </w:pPr>
          </w:p>
        </w:tc>
      </w:tr>
      <w:tr>
        <w:trPr>
          <w:trHeight w:val="257"/>
        </w:trPr>
        <w:tc>
          <w:tcPr>
            <w:tcW w:w="814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136,580</w:t>
            </w:r>
          </w:p>
        </w:tc>
        <w:tc>
          <w:tcPr>
            <w:tcW w:w="300" w:type="dxa"/>
            <w:vAlign w:val="bottom"/>
            <w:tcBorders>
              <w:top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138,019</w:t>
            </w:r>
          </w:p>
        </w:tc>
        <w:tc>
          <w:tcPr>
            <w:tcW w:w="100" w:type="dxa"/>
            <w:vAlign w:val="bottom"/>
            <w:tcBorders>
              <w:top w:val="single" w:sz="8" w:color="CFF0FC"/>
            </w:tcBorders>
          </w:tcPr>
          <w:p>
            <w:pPr>
              <w:spacing w:after="0"/>
              <w:rPr>
                <w:sz w:val="22"/>
                <w:szCs w:val="22"/>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8140" w:type="dxa"/>
            <w:vAlign w:val="bottom"/>
          </w:tcPr>
          <w:p>
            <w:pPr>
              <w:ind w:left="200"/>
              <w:spacing w:after="0"/>
              <w:rPr>
                <w:sz w:val="20"/>
                <w:szCs w:val="20"/>
                <w:color w:val="auto"/>
              </w:rPr>
            </w:pPr>
            <w:r>
              <w:rPr>
                <w:rFonts w:ascii="Arial" w:cs="Arial" w:eastAsia="Arial" w:hAnsi="Arial"/>
                <w:sz w:val="18"/>
                <w:szCs w:val="18"/>
                <w:color w:val="auto"/>
              </w:rPr>
              <w:t>Securities purchased and not settled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421,751</w:t>
            </w:r>
          </w:p>
        </w:tc>
        <w:tc>
          <w:tcPr>
            <w:tcW w:w="3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-673735</wp:posOffset>
            </wp:positionV>
            <wp:extent cx="18859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-673735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jc w:val="center"/>
        <w:spacing w:after="0" w:line="295" w:lineRule="auto"/>
        <w:rPr>
          <w:sz w:val="20"/>
          <w:szCs w:val="20"/>
          <w:color w:val="auto"/>
        </w:rPr>
      </w:pPr>
      <w:r>
        <w:rPr>
          <w:rFonts w:ascii="Arial" w:cs="Arial" w:eastAsia="Arial" w:hAnsi="Arial"/>
          <w:sz w:val="18"/>
          <w:szCs w:val="18"/>
          <w:b w:val="1"/>
          <w:bCs w:val="1"/>
          <w:color w:val="auto"/>
        </w:rPr>
        <w:t xml:space="preserve">CVB FINANCIAL CORP. AND SUBSIDIARIES NOTES TO THE CONDENSED CONSOLIDATED FINANCIAL STATEMENTS </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BUSINESS</w:t>
      </w:r>
    </w:p>
    <w:p>
      <w:pPr>
        <w:spacing w:after="0" w:line="256" w:lineRule="exact"/>
        <w:rPr>
          <w:sz w:val="20"/>
          <w:szCs w:val="20"/>
          <w:color w:val="auto"/>
        </w:rPr>
      </w:pPr>
    </w:p>
    <w:p>
      <w:pPr>
        <w:ind w:right="20" w:firstLine="469"/>
        <w:spacing w:after="0" w:line="279" w:lineRule="auto"/>
        <w:rPr>
          <w:sz w:val="20"/>
          <w:szCs w:val="20"/>
          <w:color w:val="auto"/>
        </w:rPr>
      </w:pPr>
      <w:r>
        <w:rPr>
          <w:rFonts w:ascii="Arial" w:cs="Arial" w:eastAsia="Arial" w:hAnsi="Arial"/>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96" w:lineRule="exact"/>
        <w:rPr>
          <w:sz w:val="20"/>
          <w:szCs w:val="20"/>
          <w:color w:val="auto"/>
        </w:rPr>
      </w:pPr>
    </w:p>
    <w:p>
      <w:pPr>
        <w:ind w:firstLine="469"/>
        <w:spacing w:after="0" w:line="292" w:lineRule="auto"/>
        <w:rPr>
          <w:sz w:val="20"/>
          <w:szCs w:val="20"/>
          <w:color w:val="auto"/>
        </w:rPr>
      </w:pPr>
      <w:r>
        <w:rPr>
          <w:rFonts w:ascii="Arial" w:cs="Arial" w:eastAsia="Arial" w:hAnsi="Arial"/>
          <w:sz w:val="17"/>
          <w:szCs w:val="17"/>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in the Inland Empire, Los Angeles County, Orange County, San Diego County, Ventura County, Santa Barbara County, and the Central Valley area of California. The Bank operates 58 banking centers and three trust office locations. The Company is headquartered in the city of Ontario, California.</w:t>
      </w: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PRESENTATION</w:t>
      </w:r>
    </w:p>
    <w:p>
      <w:pPr>
        <w:spacing w:after="0" w:line="256" w:lineRule="exact"/>
        <w:rPr>
          <w:sz w:val="20"/>
          <w:szCs w:val="20"/>
          <w:color w:val="auto"/>
        </w:rPr>
      </w:pPr>
    </w:p>
    <w:p>
      <w:pPr>
        <w:ind w:right="20" w:firstLine="469"/>
        <w:spacing w:after="0" w:line="306" w:lineRule="auto"/>
        <w:rPr>
          <w:sz w:val="20"/>
          <w:szCs w:val="20"/>
          <w:color w:val="auto"/>
        </w:rPr>
      </w:pPr>
      <w:r>
        <w:rPr>
          <w:rFonts w:ascii="Arial" w:cs="Arial" w:eastAsia="Arial" w:hAnsi="Arial"/>
          <w:sz w:val="16"/>
          <w:szCs w:val="16"/>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nine months ended September 30, 2021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2020, filed with the SEC. A summary of the significant accounting policies consistently applied in the preparation of the accompanying unaudited condensed consolidated financial statements follows.</w:t>
      </w:r>
    </w:p>
    <w:p>
      <w:pPr>
        <w:spacing w:after="0" w:line="179" w:lineRule="exact"/>
        <w:rPr>
          <w:sz w:val="20"/>
          <w:szCs w:val="20"/>
          <w:color w:val="auto"/>
        </w:rPr>
      </w:pPr>
    </w:p>
    <w:p>
      <w:pPr>
        <w:ind w:right="340" w:firstLine="469"/>
        <w:spacing w:after="0" w:line="359" w:lineRule="auto"/>
        <w:rPr>
          <w:sz w:val="20"/>
          <w:szCs w:val="20"/>
          <w:color w:val="auto"/>
        </w:rPr>
      </w:pPr>
      <w:r>
        <w:rPr>
          <w:rFonts w:ascii="Arial" w:cs="Arial" w:eastAsia="Arial" w:hAnsi="Arial"/>
          <w:sz w:val="16"/>
          <w:szCs w:val="16"/>
          <w:b w:val="1"/>
          <w:bCs w:val="1"/>
          <w:i w:val="1"/>
          <w:iCs w:val="1"/>
          <w:color w:val="auto"/>
        </w:rPr>
        <w:t xml:space="preserve">Reclassification </w:t>
      </w:r>
      <w:r>
        <w:rPr>
          <w:rFonts w:ascii="Arial" w:cs="Arial" w:eastAsia="Arial" w:hAnsi="Arial"/>
          <w:sz w:val="16"/>
          <w:szCs w:val="16"/>
          <w:color w:val="auto"/>
        </w:rPr>
        <w:t>— Certain amounts in the prior periods’ unaudited condensed consolidated financial statements and related footnote disclosures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reclassified to conform to the current presentation with no impact on previously reported net income or stockholders’ equity.</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SUMMARY OF SIGNIFICANT ACCOUNTING POLICIES</w:t>
      </w:r>
    </w:p>
    <w:p>
      <w:pPr>
        <w:spacing w:after="0" w:line="256" w:lineRule="exact"/>
        <w:rPr>
          <w:sz w:val="20"/>
          <w:szCs w:val="20"/>
          <w:color w:val="auto"/>
        </w:rPr>
      </w:pPr>
    </w:p>
    <w:p>
      <w:pPr>
        <w:ind w:right="280" w:firstLine="469"/>
        <w:spacing w:after="0" w:line="279" w:lineRule="auto"/>
        <w:rPr>
          <w:sz w:val="20"/>
          <w:szCs w:val="20"/>
          <w:color w:val="auto"/>
        </w:rPr>
      </w:pPr>
      <w:r>
        <w:rPr>
          <w:rFonts w:ascii="Arial" w:cs="Arial" w:eastAsia="Arial" w:hAnsi="Arial"/>
          <w:sz w:val="18"/>
          <w:szCs w:val="18"/>
          <w:color w:val="auto"/>
        </w:rPr>
        <w:t xml:space="preserve">Except as discussed below, our accounting policies are described in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audited consolidated financial statements included in our Annual Report on Form 10-K for the year ended December 31, 2020 as filed with the SEC (“Form 10-K”).</w:t>
      </w:r>
    </w:p>
    <w:p>
      <w:pPr>
        <w:spacing w:after="0" w:line="196" w:lineRule="exact"/>
        <w:rPr>
          <w:sz w:val="20"/>
          <w:szCs w:val="20"/>
          <w:color w:val="auto"/>
        </w:rPr>
      </w:pPr>
    </w:p>
    <w:p>
      <w:pPr>
        <w:ind w:right="20" w:firstLine="469"/>
        <w:spacing w:after="0" w:line="271" w:lineRule="auto"/>
        <w:rPr>
          <w:sz w:val="20"/>
          <w:szCs w:val="20"/>
          <w:color w:val="auto"/>
        </w:rPr>
      </w:pPr>
      <w:r>
        <w:rPr>
          <w:rFonts w:ascii="Arial" w:cs="Arial" w:eastAsia="Arial" w:hAnsi="Arial"/>
          <w:sz w:val="18"/>
          <w:szCs w:val="18"/>
          <w:b w:val="1"/>
          <w:bCs w:val="1"/>
          <w:i w:val="1"/>
          <w:iCs w:val="1"/>
          <w:color w:val="auto"/>
        </w:rPr>
        <w:t xml:space="preserve">Use of Estimates in the Preparation of Financial Statements </w:t>
      </w:r>
      <w:r>
        <w:rPr>
          <w:rFonts w:ascii="Arial" w:cs="Arial" w:eastAsia="Arial" w:hAnsi="Arial"/>
          <w:sz w:val="18"/>
          <w:szCs w:val="18"/>
          <w:color w:val="auto"/>
        </w:rPr>
        <w:t>— The preparation of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 w:name="page11"/>
    <w:bookmarkEnd w:id="10"/>
    <w:p>
      <w:pPr>
        <w:spacing w:after="0"/>
        <w:tabs>
          <w:tab w:leader="none" w:pos="300" w:val="left"/>
        </w:tabs>
        <w:rPr>
          <w:sz w:val="20"/>
          <w:szCs w:val="20"/>
          <w:color w:val="auto"/>
        </w:rPr>
      </w:pPr>
      <w:r>
        <w:rPr>
          <w:rFonts w:ascii="Arial" w:cs="Arial" w:eastAsia="Arial" w:hAnsi="Arial"/>
          <w:sz w:val="18"/>
          <w:szCs w:val="18"/>
          <w:b w:val="1"/>
          <w:bCs w:val="1"/>
          <w:color w:val="auto"/>
        </w:rPr>
        <w:t>4.</w:t>
        <w:tab/>
        <w:t>INVESTMENT SECURITIES</w:t>
      </w:r>
    </w:p>
    <w:p>
      <w:pPr>
        <w:spacing w:after="0" w:line="256" w:lineRule="exact"/>
        <w:rPr>
          <w:sz w:val="20"/>
          <w:szCs w:val="20"/>
          <w:color w:val="auto"/>
        </w:rPr>
      </w:pPr>
    </w:p>
    <w:p>
      <w:pPr>
        <w:ind w:right="340" w:firstLine="469"/>
        <w:spacing w:after="0" w:line="303" w:lineRule="auto"/>
        <w:rPr>
          <w:sz w:val="20"/>
          <w:szCs w:val="20"/>
          <w:color w:val="auto"/>
        </w:rPr>
      </w:pPr>
      <w:r>
        <w:rPr>
          <w:rFonts w:ascii="Arial" w:cs="Arial" w:eastAsia="Arial" w:hAnsi="Arial"/>
          <w:sz w:val="17"/>
          <w:szCs w:val="17"/>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88"/>
              </w:rPr>
              <w:t>September 30, 2021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8"/>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0"/>
        </w:trPr>
        <w:tc>
          <w:tcPr>
            <w:tcW w:w="3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780" w:type="dxa"/>
            <w:vAlign w:val="bottom"/>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Amortized Cost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Holding Gain</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Holding Loss</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20"/>
                <w:szCs w:val="20"/>
                <w:color w:val="auto"/>
              </w:rPr>
            </w:pPr>
          </w:p>
        </w:tc>
      </w:tr>
      <w:tr>
        <w:trPr>
          <w:trHeight w:val="247"/>
        </w:trPr>
        <w:tc>
          <w:tcPr>
            <w:tcW w:w="3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900" w:type="dxa"/>
            <w:vAlign w:val="bottom"/>
            <w:gridSpan w:val="4"/>
          </w:tcPr>
          <w:p>
            <w:pPr>
              <w:jc w:val="right"/>
              <w:ind w:right="420"/>
              <w:spacing w:after="0"/>
              <w:rPr>
                <w:sz w:val="20"/>
                <w:szCs w:val="20"/>
                <w:color w:val="auto"/>
              </w:rPr>
            </w:pPr>
            <w:r>
              <w:rPr>
                <w:rFonts w:ascii="Arial" w:cs="Arial" w:eastAsia="Arial" w:hAnsi="Arial"/>
                <w:sz w:val="16"/>
                <w:szCs w:val="16"/>
                <w:i w:val="1"/>
                <w:iCs w:val="1"/>
                <w:color w:val="auto"/>
                <w:w w:val="93"/>
              </w:rPr>
              <w:t>(Dollars in thousands)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32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2,256,252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(18,430 )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2,269,073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77.57 %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CMO/REMIC</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630,351</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(8,030 )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625,167</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21.37 %</w:t>
            </w: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28,697</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29,820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1.02 %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securities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0.04 %</w:t>
            </w:r>
          </w:p>
        </w:tc>
      </w:tr>
      <w:tr>
        <w:trPr>
          <w:trHeight w:val="20"/>
        </w:trPr>
        <w:tc>
          <w:tcPr>
            <w:tcW w:w="3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2,916,300</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35,220</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(26,460 )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2,925,060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100.00 %</w:t>
            </w:r>
          </w:p>
        </w:tc>
      </w:tr>
      <w:tr>
        <w:trPr>
          <w:trHeight w:val="20"/>
        </w:trPr>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Government agency/GSE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585,022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(8,112 )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583,695</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34.19 %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648,613</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(1,502 )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652,561</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37.91 %</w:t>
            </w: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264,324</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(1,118 )</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264,848</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15.45 %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212,979</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(1,614 )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216,126</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12.45 %</w:t>
            </w:r>
          </w:p>
        </w:tc>
      </w:tr>
      <w:tr>
        <w:trPr>
          <w:trHeight w:val="20"/>
        </w:trPr>
        <w:tc>
          <w:tcPr>
            <w:tcW w:w="3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380"/>
              <w:spacing w:after="0"/>
              <w:rPr>
                <w:sz w:val="20"/>
                <w:szCs w:val="20"/>
                <w:color w:val="auto"/>
              </w:rPr>
            </w:pPr>
            <w:r>
              <w:rPr>
                <w:rFonts w:ascii="Arial" w:cs="Arial" w:eastAsia="Arial" w:hAnsi="Arial"/>
                <w:sz w:val="18"/>
                <w:szCs w:val="18"/>
                <w:color w:val="auto"/>
              </w:rPr>
              <w:t>Total held-to-maturity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1,710,938</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18,638</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(12,346 )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1,717,230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100.00 %</w:t>
            </w:r>
          </w:p>
        </w:tc>
      </w:tr>
      <w:tr>
        <w:trPr>
          <w:trHeight w:val="20"/>
        </w:trPr>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60"/>
        </w:trPr>
        <w:tc>
          <w:tcPr>
            <w:tcW w:w="3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8"/>
                <w:szCs w:val="18"/>
                <w:b w:val="1"/>
                <w:bCs w:val="1"/>
                <w:color w:val="auto"/>
                <w:w w:val="90"/>
              </w:rPr>
              <w:t>December 31, 2020</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38"/>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0"/>
        </w:trPr>
        <w:tc>
          <w:tcPr>
            <w:tcW w:w="3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780" w:type="dxa"/>
            <w:vAlign w:val="bottom"/>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Amortized Cost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Holding Gain</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Holding Loss</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20"/>
                <w:szCs w:val="20"/>
                <w:color w:val="auto"/>
              </w:rPr>
            </w:pPr>
          </w:p>
        </w:tc>
      </w:tr>
      <w:tr>
        <w:trPr>
          <w:trHeight w:val="247"/>
        </w:trPr>
        <w:tc>
          <w:tcPr>
            <w:tcW w:w="3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900" w:type="dxa"/>
            <w:vAlign w:val="bottom"/>
            <w:gridSpan w:val="4"/>
          </w:tcPr>
          <w:p>
            <w:pPr>
              <w:jc w:val="right"/>
              <w:ind w:right="420"/>
              <w:spacing w:after="0"/>
              <w:rPr>
                <w:sz w:val="20"/>
                <w:szCs w:val="20"/>
                <w:color w:val="auto"/>
              </w:rPr>
            </w:pPr>
            <w:r>
              <w:rPr>
                <w:rFonts w:ascii="Arial" w:cs="Arial" w:eastAsia="Arial" w:hAnsi="Arial"/>
                <w:sz w:val="16"/>
                <w:szCs w:val="16"/>
                <w:i w:val="1"/>
                <w:iCs w:val="1"/>
                <w:color w:val="auto"/>
                <w:w w:val="93"/>
              </w:rPr>
              <w:t>(Dollars in thousands)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32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1,857,030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48,006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1,904,935</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79.41 %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CMO/REMIC</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457,548</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(249 )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462,814</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19.29 %</w:t>
            </w: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28,707</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30,285</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1.26 %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securities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0.04 %</w:t>
            </w:r>
          </w:p>
        </w:tc>
      </w:tr>
      <w:tr>
        <w:trPr>
          <w:trHeight w:val="20"/>
        </w:trPr>
        <w:tc>
          <w:tcPr>
            <w:tcW w:w="3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2,344,174</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55,099</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(350 )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2,398,923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100.00 %</w:t>
            </w:r>
          </w:p>
        </w:tc>
      </w:tr>
      <w:tr>
        <w:trPr>
          <w:trHeight w:val="20"/>
        </w:trPr>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Government agency/GSE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98,663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104,540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17.05 %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146,382</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153,994</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25.30 %</w:t>
            </w: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145,309</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150,511</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25.11 %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188,272</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6,980</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(74 )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195,178</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32.54 %</w:t>
            </w:r>
          </w:p>
        </w:tc>
      </w:tr>
      <w:tr>
        <w:trPr>
          <w:trHeight w:val="20"/>
        </w:trPr>
        <w:tc>
          <w:tcPr>
            <w:tcW w:w="3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380"/>
              <w:spacing w:after="0"/>
              <w:rPr>
                <w:sz w:val="20"/>
                <w:szCs w:val="20"/>
                <w:color w:val="auto"/>
              </w:rPr>
            </w:pPr>
            <w:r>
              <w:rPr>
                <w:rFonts w:ascii="Arial" w:cs="Arial" w:eastAsia="Arial" w:hAnsi="Arial"/>
                <w:sz w:val="18"/>
                <w:szCs w:val="18"/>
                <w:color w:val="auto"/>
              </w:rPr>
              <w:t>Total held-to-maturity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578,626</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25,703</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604,223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100.00 %</w:t>
            </w:r>
          </w:p>
        </w:tc>
      </w:tr>
      <w:tr>
        <w:trPr>
          <w:trHeight w:val="20"/>
        </w:trPr>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-4171315</wp:posOffset>
            </wp:positionV>
            <wp:extent cx="19748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-4171315</wp:posOffset>
            </wp:positionV>
            <wp:extent cx="19685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-4171315</wp:posOffset>
            </wp:positionV>
            <wp:extent cx="19748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-4171315</wp:posOffset>
            </wp:positionV>
            <wp:extent cx="17970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-4171315</wp:posOffset>
            </wp:positionV>
            <wp:extent cx="17145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-3159760</wp:posOffset>
            </wp:positionV>
            <wp:extent cx="19748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-3159760</wp:posOffset>
            </wp:positionV>
            <wp:extent cx="19685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-3159760</wp:posOffset>
            </wp:positionV>
            <wp:extent cx="19748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-3159760</wp:posOffset>
            </wp:positionV>
            <wp:extent cx="17970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-3159760</wp:posOffset>
            </wp:positionV>
            <wp:extent cx="17145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-1205230</wp:posOffset>
            </wp:positionV>
            <wp:extent cx="19748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-1205230</wp:posOffset>
            </wp:positionV>
            <wp:extent cx="19685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-1205230</wp:posOffset>
            </wp:positionV>
            <wp:extent cx="19748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-1205230</wp:posOffset>
            </wp:positionV>
            <wp:extent cx="17970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-1205230</wp:posOffset>
            </wp:positionV>
            <wp:extent cx="17145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-193675</wp:posOffset>
            </wp:positionV>
            <wp:extent cx="19748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-193675</wp:posOffset>
            </wp:positionV>
            <wp:extent cx="19685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-193675</wp:posOffset>
            </wp:positionV>
            <wp:extent cx="19748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wp:posOffset>
            </wp:positionV>
            <wp:extent cx="17970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-193675</wp:posOffset>
            </wp:positionV>
            <wp:extent cx="17145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 w:name="page12"/>
    <w:bookmarkEnd w:id="11"/>
    <w:p>
      <w:pPr>
        <w:ind w:right="280" w:firstLine="464"/>
        <w:spacing w:after="0" w:line="293" w:lineRule="auto"/>
        <w:rPr>
          <w:sz w:val="20"/>
          <w:szCs w:val="20"/>
          <w:color w:val="auto"/>
        </w:rPr>
      </w:pPr>
      <w:r>
        <w:rPr>
          <w:rFonts w:ascii="Arial" w:cs="Arial" w:eastAsia="Arial" w:hAnsi="Arial"/>
          <w:sz w:val="18"/>
          <w:szCs w:val="18"/>
          <w:color w:val="auto"/>
        </w:rPr>
        <w:t>The following table provides information about the amount of interest income earned on investment securities which is fully taxable and which is exempt from regular federal income tax.</w:t>
      </w:r>
    </w:p>
    <w:p>
      <w:pPr>
        <w:spacing w:after="0" w:line="193" w:lineRule="exact"/>
        <w:rPr>
          <w:sz w:val="20"/>
          <w:szCs w:val="20"/>
          <w:color w:val="auto"/>
        </w:rPr>
      </w:pPr>
    </w:p>
    <w:tbl>
      <w:tblPr>
        <w:tblLayout w:type="fixed"/>
        <w:tblInd w:w="5480" w:type="dxa"/>
        <w:tblCellMar>
          <w:top w:w="0" w:type="dxa"/>
          <w:left w:w="0" w:type="dxa"/>
          <w:bottom w:w="0" w:type="dxa"/>
          <w:right w:w="0" w:type="dxa"/>
        </w:tblCellMar>
      </w:tblPr>
      <w:tr>
        <w:trPr>
          <w:trHeight w:val="234"/>
        </w:trPr>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0"/>
                <w:szCs w:val="20"/>
                <w:color w:val="auto"/>
              </w:rPr>
            </w:pPr>
          </w:p>
        </w:tc>
        <w:tc>
          <w:tcPr>
            <w:tcW w:w="2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63"/>
        </w:trPr>
        <w:tc>
          <w:tcPr>
            <w:tcW w:w="7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89"/>
              </w:rPr>
              <w:t>September 30,</w:t>
            </w:r>
          </w:p>
        </w:tc>
      </w:tr>
      <w:tr>
        <w:trPr>
          <w:trHeight w:val="243"/>
        </w:trPr>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8255</wp:posOffset>
            </wp:positionV>
            <wp:extent cx="35915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8" w:lineRule="exact"/>
        <w:rPr>
          <w:sz w:val="20"/>
          <w:szCs w:val="20"/>
          <w:color w:val="auto"/>
        </w:rPr>
      </w:pPr>
    </w:p>
    <w:p>
      <w:pPr>
        <w:ind w:left="7580"/>
        <w:spacing w:after="0"/>
        <w:rPr>
          <w:sz w:val="20"/>
          <w:szCs w:val="20"/>
          <w:color w:val="auto"/>
        </w:rPr>
      </w:pPr>
      <w:r>
        <w:rPr>
          <w:rFonts w:ascii="Arial" w:cs="Arial" w:eastAsia="Arial" w:hAnsi="Arial"/>
          <w:sz w:val="16"/>
          <w:szCs w:val="16"/>
          <w:i w:val="1"/>
          <w:iCs w:val="1"/>
          <w:color w:val="auto"/>
        </w:rPr>
        <w:t>(Dollars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0"/>
              <w:spacing w:after="0"/>
              <w:rPr>
                <w:sz w:val="20"/>
                <w:szCs w:val="20"/>
                <w:color w:val="auto"/>
              </w:rPr>
            </w:pPr>
            <w:r>
              <w:rPr>
                <w:rFonts w:ascii="Arial" w:cs="Arial" w:eastAsia="Arial" w:hAnsi="Arial"/>
                <w:sz w:val="18"/>
                <w:szCs w:val="18"/>
                <w:color w:val="auto"/>
              </w:rPr>
              <w:t>Taxable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9,630</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8,244</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27,824</w:t>
            </w: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26,313</w:t>
            </w:r>
          </w:p>
        </w:tc>
        <w:tc>
          <w:tcPr>
            <w:tcW w:w="100" w:type="dxa"/>
            <w:vAlign w:val="bottom"/>
          </w:tcPr>
          <w:p>
            <w:pPr>
              <w:spacing w:after="0"/>
              <w:rPr>
                <w:sz w:val="21"/>
                <w:szCs w:val="21"/>
                <w:color w:val="auto"/>
              </w:rPr>
            </w:pPr>
          </w:p>
        </w:tc>
      </w:tr>
      <w:tr>
        <w:trPr>
          <w:trHeight w:val="263"/>
        </w:trPr>
        <w:tc>
          <w:tcPr>
            <w:tcW w:w="5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Tax-advantaged</w:t>
            </w:r>
          </w:p>
        </w:tc>
        <w:tc>
          <w:tcPr>
            <w:tcW w:w="4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80" w:type="dxa"/>
            <w:vAlign w:val="bottom"/>
          </w:tcPr>
          <w:p>
            <w:pPr>
              <w:ind w:left="300"/>
              <w:spacing w:after="0"/>
              <w:rPr>
                <w:sz w:val="20"/>
                <w:szCs w:val="20"/>
                <w:color w:val="auto"/>
              </w:rPr>
            </w:pPr>
            <w:r>
              <w:rPr>
                <w:rFonts w:ascii="Arial" w:cs="Arial" w:eastAsia="Arial" w:hAnsi="Arial"/>
                <w:sz w:val="18"/>
                <w:szCs w:val="18"/>
                <w:color w:val="auto"/>
              </w:rPr>
              <w:t>Total interest income from available-for-sale securities</w:t>
            </w: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w:t>
            </w: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28,382</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26,945</w:t>
            </w:r>
          </w:p>
        </w:tc>
        <w:tc>
          <w:tcPr>
            <w:tcW w:w="100" w:type="dxa"/>
            <w:vAlign w:val="bottom"/>
          </w:tcPr>
          <w:p>
            <w:pPr>
              <w:spacing w:after="0"/>
              <w:rPr>
                <w:sz w:val="21"/>
                <w:szCs w:val="21"/>
                <w:color w:val="auto"/>
              </w:rPr>
            </w:pPr>
          </w:p>
        </w:tc>
      </w:tr>
      <w:tr>
        <w:trPr>
          <w:trHeight w:val="250"/>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480" w:type="dxa"/>
            <w:vAlign w:val="bottom"/>
          </w:tcPr>
          <w:p>
            <w:pPr>
              <w:ind w:left="200"/>
              <w:spacing w:after="0"/>
              <w:rPr>
                <w:sz w:val="20"/>
                <w:szCs w:val="20"/>
                <w:color w:val="auto"/>
              </w:rPr>
            </w:pPr>
            <w:r>
              <w:rPr>
                <w:rFonts w:ascii="Arial" w:cs="Arial" w:eastAsia="Arial" w:hAnsi="Arial"/>
                <w:sz w:val="18"/>
                <w:szCs w:val="18"/>
                <w:color w:val="auto"/>
              </w:rPr>
              <w:t>Taxable</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4,099</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2,265</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10,917</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21"/>
                <w:szCs w:val="21"/>
                <w:color w:val="auto"/>
              </w:rPr>
            </w:pPr>
          </w:p>
        </w:tc>
      </w:tr>
      <w:tr>
        <w:trPr>
          <w:trHeight w:val="263"/>
        </w:trPr>
        <w:tc>
          <w:tcPr>
            <w:tcW w:w="5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Tax-advantaged</w:t>
            </w:r>
          </w:p>
        </w:tc>
        <w:tc>
          <w:tcPr>
            <w:tcW w:w="4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3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80" w:type="dxa"/>
            <w:vAlign w:val="bottom"/>
          </w:tcPr>
          <w:p>
            <w:pPr>
              <w:ind w:left="300"/>
              <w:spacing w:after="0"/>
              <w:rPr>
                <w:sz w:val="20"/>
                <w:szCs w:val="20"/>
                <w:color w:val="auto"/>
              </w:rPr>
            </w:pPr>
            <w:r>
              <w:rPr>
                <w:rFonts w:ascii="Arial" w:cs="Arial" w:eastAsia="Arial" w:hAnsi="Arial"/>
                <w:sz w:val="18"/>
                <w:szCs w:val="18"/>
                <w:color w:val="auto"/>
              </w:rPr>
              <w:t>Total interest income from held-to-maturity securities</w:t>
            </w: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14,258</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11,033</w:t>
            </w:r>
          </w:p>
        </w:tc>
        <w:tc>
          <w:tcPr>
            <w:tcW w:w="100" w:type="dxa"/>
            <w:vAlign w:val="bottom"/>
          </w:tcPr>
          <w:p>
            <w:pPr>
              <w:spacing w:after="0"/>
              <w:rPr>
                <w:sz w:val="21"/>
                <w:szCs w:val="21"/>
                <w:color w:val="auto"/>
              </w:rPr>
            </w:pPr>
          </w:p>
        </w:tc>
      </w:tr>
      <w:tr>
        <w:trPr>
          <w:trHeight w:val="290"/>
        </w:trPr>
        <w:tc>
          <w:tcPr>
            <w:tcW w:w="54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interest income from investment securities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15,001</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11,822</w:t>
            </w:r>
          </w:p>
        </w:tc>
        <w:tc>
          <w:tcPr>
            <w:tcW w:w="3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42,640</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-1033780</wp:posOffset>
            </wp:positionV>
            <wp:extent cx="19685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-1033780</wp:posOffset>
            </wp:positionV>
            <wp:extent cx="2057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-1033780</wp:posOffset>
            </wp:positionV>
            <wp:extent cx="17970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-1033780</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-365125</wp:posOffset>
            </wp:positionV>
            <wp:extent cx="1968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-365125</wp:posOffset>
            </wp:positionV>
            <wp:extent cx="2057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-365125</wp:posOffset>
            </wp:positionV>
            <wp:extent cx="17970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1968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1968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2057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2057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797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797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80" w:firstLine="469"/>
        <w:spacing w:after="0" w:line="272" w:lineRule="auto"/>
        <w:rPr>
          <w:sz w:val="20"/>
          <w:szCs w:val="20"/>
          <w:color w:val="auto"/>
        </w:rPr>
      </w:pPr>
      <w:r>
        <w:rPr>
          <w:rFonts w:ascii="Arial" w:cs="Arial" w:eastAsia="Arial" w:hAnsi="Arial"/>
          <w:sz w:val="18"/>
          <w:szCs w:val="18"/>
          <w:color w:val="auto"/>
        </w:rPr>
        <w:t>The adoption of CECL did not and continues to not have a material impact on the accounting for investment securities, as approximately 95% of the total investment securities portfolio at September 30, 2021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new CECL model was zero at September 30, 2021 and December 31, 2020.</w:t>
      </w:r>
    </w:p>
    <w:p>
      <w:pPr>
        <w:spacing w:after="0" w:line="204" w:lineRule="exact"/>
        <w:rPr>
          <w:sz w:val="20"/>
          <w:szCs w:val="20"/>
          <w:color w:val="auto"/>
        </w:rPr>
      </w:pPr>
    </w:p>
    <w:p>
      <w:pPr>
        <w:jc w:val="both"/>
        <w:ind w:right="600" w:firstLine="469"/>
        <w:spacing w:after="0" w:line="279" w:lineRule="auto"/>
        <w:rPr>
          <w:sz w:val="20"/>
          <w:szCs w:val="20"/>
          <w:color w:val="auto"/>
        </w:rPr>
      </w:pPr>
      <w:r>
        <w:rPr>
          <w:rFonts w:ascii="Arial" w:cs="Arial" w:eastAsia="Arial" w:hAnsi="Arial"/>
          <w:sz w:val="18"/>
          <w:szCs w:val="18"/>
          <w:color w:val="auto"/>
        </w:rPr>
        <w:t>We adopted ASU 2016-13 on January 1, 2020, on a modified retrospective basis. Under this ASU, once it is determined that a credit loss has occurred, an allowance for credit losses is established on our AFS and HTM securities. Management determined that there were no credit losses for securities in an unrealized loss position as of September 30, 2021 and December 31, 2020.</w:t>
      </w:r>
    </w:p>
    <w:p>
      <w:pPr>
        <w:spacing w:after="0" w:line="196" w:lineRule="exact"/>
        <w:rPr>
          <w:sz w:val="20"/>
          <w:szCs w:val="20"/>
          <w:color w:val="auto"/>
        </w:rPr>
      </w:pPr>
    </w:p>
    <w:p>
      <w:pPr>
        <w:ind w:right="40" w:firstLine="464"/>
        <w:spacing w:after="0" w:line="293" w:lineRule="auto"/>
        <w:rPr>
          <w:sz w:val="20"/>
          <w:szCs w:val="20"/>
          <w:color w:val="auto"/>
        </w:rPr>
      </w:pPr>
      <w:r>
        <w:rPr>
          <w:rFonts w:ascii="Arial" w:cs="Arial" w:eastAsia="Arial" w:hAnsi="Arial"/>
          <w:sz w:val="18"/>
          <w:szCs w:val="18"/>
          <w:color w:val="auto"/>
        </w:rPr>
        <w:t>The following table presents the Company’s available-for-sale investment securities, by investment category, in an unrealized loss position for which an allowance for credit losses has not been recorded as of September 30, 2021 and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6"/>
                <w:szCs w:val="16"/>
                <w:b w:val="1"/>
                <w:bCs w:val="1"/>
                <w:color w:val="auto"/>
                <w:w w:val="89"/>
              </w:rPr>
              <w:t>September 30, 2021</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Less Than 12 Months</w:t>
            </w:r>
          </w:p>
        </w:tc>
        <w:tc>
          <w:tcPr>
            <w:tcW w:w="100" w:type="dxa"/>
            <w:vAlign w:val="bottom"/>
          </w:tcPr>
          <w:p>
            <w:pPr>
              <w:spacing w:after="0"/>
              <w:rPr>
                <w:sz w:val="19"/>
                <w:szCs w:val="19"/>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12 Months or Longer</w:t>
            </w:r>
          </w:p>
        </w:tc>
        <w:tc>
          <w:tcPr>
            <w:tcW w:w="12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6"/>
              </w:rPr>
              <w:t>Gross</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6"/>
              </w:rPr>
              <w:t>Gross</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r>
      <w:tr>
        <w:trPr>
          <w:trHeight w:val="203"/>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Holding</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Holding</w:t>
            </w:r>
          </w:p>
        </w:tc>
      </w:tr>
      <w:tr>
        <w:trPr>
          <w:trHeight w:val="223"/>
        </w:trPr>
        <w:tc>
          <w:tcPr>
            <w:tcW w:w="3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3"/>
              </w:rPr>
              <w:t>Losses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3"/>
              </w:rPr>
              <w:t>Losses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r>
      <w:tr>
        <w:trPr>
          <w:trHeight w:val="220"/>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jc w:val="center"/>
              <w:ind w:right="520"/>
              <w:spacing w:after="0"/>
              <w:rPr>
                <w:sz w:val="20"/>
                <w:szCs w:val="20"/>
                <w:color w:val="auto"/>
              </w:rPr>
            </w:pPr>
            <w:r>
              <w:rPr>
                <w:rFonts w:ascii="Arial" w:cs="Arial" w:eastAsia="Arial" w:hAnsi="Arial"/>
                <w:sz w:val="16"/>
                <w:szCs w:val="16"/>
                <w:i w:val="1"/>
                <w:iCs w:val="1"/>
                <w:color w:val="auto"/>
                <w:w w:val="93"/>
              </w:rPr>
              <w:t>(Dollars in thousands)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4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40" w:type="dxa"/>
            <w:vAlign w:val="bottom"/>
            <w:tcBorders>
              <w:right w:val="single" w:sz="8" w:color="CFF0FC"/>
            </w:tcBorders>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spacing w:after="0"/>
              <w:rPr>
                <w:sz w:val="20"/>
                <w:szCs w:val="20"/>
                <w:color w:val="auto"/>
              </w:rPr>
            </w:pPr>
          </w:p>
        </w:tc>
        <w:tc>
          <w:tcPr>
            <w:tcW w:w="3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1,349,856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(18,243 )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21,273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(187 )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1,371,129</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(18,430 )</w:t>
            </w:r>
          </w:p>
        </w:tc>
      </w:tr>
      <w:tr>
        <w:trPr>
          <w:trHeight w:val="239"/>
        </w:trPr>
        <w:tc>
          <w:tcPr>
            <w:tcW w:w="3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CMO/REMIC</w:t>
            </w:r>
          </w:p>
        </w:tc>
        <w:tc>
          <w:tcPr>
            <w:tcW w:w="120" w:type="dxa"/>
            <w:vAlign w:val="bottom"/>
            <w:shd w:val="clear" w:color="auto" w:fill="CFF0FC"/>
          </w:tcPr>
          <w:p>
            <w:pPr>
              <w:spacing w:after="0"/>
              <w:rPr>
                <w:sz w:val="20"/>
                <w:szCs w:val="20"/>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510,308</w:t>
            </w:r>
          </w:p>
        </w:tc>
        <w:tc>
          <w:tcPr>
            <w:tcW w:w="3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(7,758 )</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11,162</w:t>
            </w:r>
          </w:p>
        </w:tc>
        <w:tc>
          <w:tcPr>
            <w:tcW w:w="32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(272 )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521,470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(8,030 )</w:t>
            </w:r>
          </w:p>
        </w:tc>
      </w:tr>
      <w:tr>
        <w:trPr>
          <w:trHeight w:val="227"/>
        </w:trPr>
        <w:tc>
          <w:tcPr>
            <w:tcW w:w="3420" w:type="dxa"/>
            <w:vAlign w:val="bottom"/>
          </w:tcPr>
          <w:p>
            <w:pPr>
              <w:ind w:left="20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46"/>
        </w:trPr>
        <w:tc>
          <w:tcPr>
            <w:tcW w:w="34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1,860,164</w:t>
            </w:r>
          </w:p>
        </w:tc>
        <w:tc>
          <w:tcPr>
            <w:tcW w:w="30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(26,001 )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32,435</w:t>
            </w:r>
          </w:p>
        </w:tc>
        <w:tc>
          <w:tcPr>
            <w:tcW w:w="32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(459 )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1,892,599</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(26,460 )</w:t>
            </w:r>
          </w:p>
        </w:tc>
      </w:tr>
      <w:tr>
        <w:trPr>
          <w:trHeight w:val="20"/>
        </w:trPr>
        <w:tc>
          <w:tcPr>
            <w:tcW w:w="34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33"/>
        </w:trPr>
        <w:tc>
          <w:tcPr>
            <w:tcW w:w="3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1"/>
              </w:rPr>
              <w:t>December 31, 2020</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Less Than 12 Months</w:t>
            </w:r>
          </w:p>
        </w:tc>
        <w:tc>
          <w:tcPr>
            <w:tcW w:w="100" w:type="dxa"/>
            <w:vAlign w:val="bottom"/>
          </w:tcPr>
          <w:p>
            <w:pPr>
              <w:spacing w:after="0"/>
              <w:rPr>
                <w:sz w:val="19"/>
                <w:szCs w:val="19"/>
                <w:color w:val="auto"/>
              </w:rPr>
            </w:pPr>
          </w:p>
        </w:tc>
        <w:tc>
          <w:tcPr>
            <w:tcW w:w="25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12 Months or Longer</w:t>
            </w:r>
          </w:p>
        </w:tc>
        <w:tc>
          <w:tcPr>
            <w:tcW w:w="12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6"/>
              </w:rPr>
              <w:t>Gross</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6"/>
              </w:rPr>
              <w:t>Gross</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r>
      <w:tr>
        <w:trPr>
          <w:trHeight w:val="203"/>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r>
      <w:tr>
        <w:trPr>
          <w:trHeight w:val="202"/>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Holding</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Holding</w:t>
            </w:r>
          </w:p>
        </w:tc>
      </w:tr>
      <w:tr>
        <w:trPr>
          <w:trHeight w:val="223"/>
        </w:trPr>
        <w:tc>
          <w:tcPr>
            <w:tcW w:w="3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Losses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Fair Value</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Losses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r>
      <w:tr>
        <w:trPr>
          <w:trHeight w:val="220"/>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jc w:val="center"/>
              <w:ind w:right="50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4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40" w:type="dxa"/>
            <w:vAlign w:val="bottom"/>
            <w:tcBorders>
              <w:right w:val="single" w:sz="8" w:color="CFF0FC"/>
            </w:tcBorders>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spacing w:after="0"/>
              <w:rPr>
                <w:sz w:val="20"/>
                <w:szCs w:val="20"/>
                <w:color w:val="auto"/>
              </w:rPr>
            </w:pPr>
          </w:p>
        </w:tc>
        <w:tc>
          <w:tcPr>
            <w:tcW w:w="3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420" w:type="dxa"/>
            <w:vAlign w:val="bottom"/>
          </w:tcPr>
          <w:p>
            <w:pPr>
              <w:ind w:left="20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72,219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(101 )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72,219</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(101 )</w:t>
            </w:r>
          </w:p>
        </w:tc>
      </w:tr>
      <w:tr>
        <w:trPr>
          <w:trHeight w:val="239"/>
        </w:trPr>
        <w:tc>
          <w:tcPr>
            <w:tcW w:w="3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CMO/REMIC</w:t>
            </w:r>
          </w:p>
        </w:tc>
        <w:tc>
          <w:tcPr>
            <w:tcW w:w="120" w:type="dxa"/>
            <w:vAlign w:val="bottom"/>
            <w:shd w:val="clear" w:color="auto" w:fill="CFF0FC"/>
          </w:tcPr>
          <w:p>
            <w:pPr>
              <w:spacing w:after="0"/>
              <w:rPr>
                <w:sz w:val="20"/>
                <w:szCs w:val="20"/>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96,974</w:t>
            </w:r>
          </w:p>
        </w:tc>
        <w:tc>
          <w:tcPr>
            <w:tcW w:w="3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(249 )</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96,974</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(249 )</w:t>
            </w:r>
          </w:p>
        </w:tc>
      </w:tr>
      <w:tr>
        <w:trPr>
          <w:trHeight w:val="226"/>
        </w:trPr>
        <w:tc>
          <w:tcPr>
            <w:tcW w:w="3420" w:type="dxa"/>
            <w:vAlign w:val="bottom"/>
          </w:tcPr>
          <w:p>
            <w:pPr>
              <w:ind w:left="20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46"/>
        </w:trPr>
        <w:tc>
          <w:tcPr>
            <w:tcW w:w="34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169,193</w:t>
            </w:r>
          </w:p>
        </w:tc>
        <w:tc>
          <w:tcPr>
            <w:tcW w:w="30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169,193</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(350 )</w:t>
            </w:r>
          </w:p>
        </w:tc>
      </w:tr>
      <w:tr>
        <w:trPr>
          <w:trHeight w:val="20"/>
        </w:trPr>
        <w:tc>
          <w:tcPr>
            <w:tcW w:w="34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-1927860</wp:posOffset>
            </wp:positionV>
            <wp:extent cx="1885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-1910715</wp:posOffset>
            </wp:positionV>
            <wp:extent cx="1885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-1927860</wp:posOffset>
            </wp:positionV>
            <wp:extent cx="1974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-1910715</wp:posOffset>
            </wp:positionV>
            <wp:extent cx="1974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-1927860</wp:posOffset>
            </wp:positionV>
            <wp:extent cx="1885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-1910715</wp:posOffset>
            </wp:positionV>
            <wp:extent cx="1885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-1927860</wp:posOffset>
            </wp:positionV>
            <wp:extent cx="1797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-1910715</wp:posOffset>
            </wp:positionV>
            <wp:extent cx="1797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-1927860</wp:posOffset>
            </wp:positionV>
            <wp:extent cx="171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-1910715</wp:posOffset>
            </wp:positionV>
            <wp:extent cx="1714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1885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1885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1968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1968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1885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1885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1714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1714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1714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1714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 w:name="page13"/>
    <w:bookmarkEnd w:id="12"/>
    <w:p>
      <w:pPr>
        <w:ind w:right="440" w:firstLine="469"/>
        <w:spacing w:after="0" w:line="359" w:lineRule="auto"/>
        <w:rPr>
          <w:sz w:val="20"/>
          <w:szCs w:val="20"/>
          <w:color w:val="auto"/>
        </w:rPr>
      </w:pPr>
      <w:r>
        <w:rPr>
          <w:rFonts w:ascii="Arial" w:cs="Arial" w:eastAsia="Arial" w:hAnsi="Arial"/>
          <w:sz w:val="16"/>
          <w:szCs w:val="16"/>
          <w:color w:val="auto"/>
        </w:rPr>
        <w:t>At September 30, 2021 and December 31, 2020, investment securities having a carrying value of approximately $2.20 billion and $1.81 billion, respectively, were pledged to secure public deposits, short and long-term borrowings, and for other purposes as required or permitted by law.</w:t>
      </w:r>
    </w:p>
    <w:p>
      <w:pPr>
        <w:spacing w:after="0" w:line="138" w:lineRule="exact"/>
        <w:rPr>
          <w:sz w:val="20"/>
          <w:szCs w:val="20"/>
          <w:color w:val="auto"/>
        </w:rPr>
      </w:pPr>
    </w:p>
    <w:p>
      <w:pPr>
        <w:ind w:right="60" w:firstLine="464"/>
        <w:spacing w:after="0" w:line="319" w:lineRule="auto"/>
        <w:rPr>
          <w:sz w:val="20"/>
          <w:szCs w:val="20"/>
          <w:color w:val="auto"/>
        </w:rPr>
      </w:pPr>
      <w:r>
        <w:rPr>
          <w:rFonts w:ascii="Arial" w:cs="Arial" w:eastAsia="Arial" w:hAnsi="Arial"/>
          <w:sz w:val="16"/>
          <w:szCs w:val="16"/>
          <w:color w:val="auto"/>
        </w:rPr>
        <w:t>The amortized cost and fair value of debt securities at September 30, 2021, by contractual maturity, are shown in the table below. Although mortgage-backed and CMO/REMIC securities have weighted average remaining contractual maturities of approximately 22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240"/>
          </w:cols>
          <w:pgMar w:left="320" w:top="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in one year or less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Due after one year through five years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Due after five years through ten years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ten years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investment securities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37376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Available-for-sale</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Held-to-maturity</w:t>
            </w:r>
          </w:p>
        </w:tc>
      </w:tr>
      <w:tr>
        <w:trPr>
          <w:trHeight w:val="196"/>
        </w:trPr>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2"/>
              </w:rPr>
              <w:t>Amortized Cost</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Amortized Cost</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4"/>
          </w:tcPr>
          <w:p>
            <w:pPr>
              <w:jc w:val="right"/>
              <w:ind w:right="668"/>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23,634</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23,919</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3,769</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3,834</w:t>
            </w:r>
          </w:p>
        </w:tc>
      </w:tr>
      <w:tr>
        <w:trPr>
          <w:trHeight w:val="203"/>
        </w:trPr>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1,803,142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1,820,712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270,074</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276,504</w:t>
            </w:r>
          </w:p>
        </w:tc>
      </w:tr>
      <w:tr>
        <w:trPr>
          <w:trHeight w:val="203"/>
        </w:trPr>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721,776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718,076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798,605</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798,051</w:t>
            </w:r>
          </w:p>
        </w:tc>
      </w:tr>
      <w:tr>
        <w:trPr>
          <w:trHeight w:val="209"/>
        </w:trPr>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367,748</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362,353</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638,490</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638,841</w:t>
            </w:r>
          </w:p>
        </w:tc>
      </w:tr>
      <w:tr>
        <w:trPr>
          <w:trHeight w:val="196"/>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2,916,300</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2,925,060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1,710,938</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1,717,230</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-676910</wp:posOffset>
            </wp:positionV>
            <wp:extent cx="7132320"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-419735</wp:posOffset>
            </wp:positionV>
            <wp:extent cx="7132320"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-153670</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000"/>
          </w:cols>
          <w:pgMar w:left="320" w:top="409" w:right="339" w:bottom="1440" w:gutter="0" w:footer="0" w:header="0"/>
          <w:type w:val="continuous"/>
        </w:sectPr>
      </w:pPr>
    </w:p>
    <w:p>
      <w:pPr>
        <w:spacing w:after="0" w:line="29" w:lineRule="exact"/>
        <w:rPr>
          <w:sz w:val="20"/>
          <w:szCs w:val="20"/>
          <w:color w:val="auto"/>
        </w:rPr>
      </w:pPr>
    </w:p>
    <w:p>
      <w:pPr>
        <w:ind w:right="400" w:firstLine="469"/>
        <w:spacing w:after="0" w:line="293" w:lineRule="auto"/>
        <w:rPr>
          <w:sz w:val="20"/>
          <w:szCs w:val="20"/>
          <w:color w:val="auto"/>
        </w:rPr>
      </w:pPr>
      <w:r>
        <w:rPr>
          <w:rFonts w:ascii="Arial" w:cs="Arial" w:eastAsia="Arial" w:hAnsi="Arial"/>
          <w:sz w:val="18"/>
          <w:szCs w:val="18"/>
          <w:color w:val="auto"/>
        </w:rPr>
        <w:t>The investment in FHLB stock is periodically evaluated for impairment based on, among other things, the capital adequacy of the FHLB and its overall financial condition. No impairment losses have been recorded through September 30, 2021.</w:t>
      </w:r>
    </w:p>
    <w:p>
      <w:pPr>
        <w:spacing w:after="0" w:line="355" w:lineRule="exact"/>
        <w:rPr>
          <w:sz w:val="20"/>
          <w:szCs w:val="20"/>
          <w:color w:val="auto"/>
        </w:rPr>
      </w:pPr>
    </w:p>
    <w:p>
      <w:pPr>
        <w:ind w:left="480" w:right="3500" w:hanging="472"/>
        <w:spacing w:after="0" w:line="571" w:lineRule="auto"/>
        <w:tabs>
          <w:tab w:leader="none" w:pos="331"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LOANS AND LEASE FINANCE RECEIVABLES AND ALLOWANCE FOR CREDIT LOSSES </w:t>
      </w:r>
      <w:r>
        <w:rPr>
          <w:rFonts w:ascii="Arial" w:cs="Arial" w:eastAsia="Arial" w:hAnsi="Arial"/>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September 30, 2021</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100" w:type="dxa"/>
            <w:vAlign w:val="bottom"/>
          </w:tcPr>
          <w:p>
            <w:pPr>
              <w:spacing w:after="0"/>
              <w:rPr>
                <w:sz w:val="20"/>
                <w:szCs w:val="20"/>
                <w:color w:val="auto"/>
              </w:rPr>
            </w:pPr>
          </w:p>
        </w:tc>
      </w:tr>
      <w:tr>
        <w:trPr>
          <w:trHeight w:val="237"/>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60" w:type="dxa"/>
            <w:vAlign w:val="bottom"/>
            <w:gridSpan w:val="5"/>
          </w:tcPr>
          <w:p>
            <w:pPr>
              <w:jc w:val="right"/>
              <w:ind w:right="1540"/>
              <w:spacing w:after="0"/>
              <w:rPr>
                <w:sz w:val="20"/>
                <w:szCs w:val="20"/>
                <w:color w:val="auto"/>
              </w:rPr>
            </w:pPr>
            <w:r>
              <w:rPr>
                <w:rFonts w:ascii="Arial" w:cs="Arial" w:eastAsia="Arial" w:hAnsi="Arial"/>
                <w:sz w:val="16"/>
                <w:szCs w:val="16"/>
                <w:i w:val="1"/>
                <w:iCs w:val="1"/>
                <w:color w:val="auto"/>
              </w:rPr>
              <w:t>(Dollars in thousands)</w:t>
            </w:r>
          </w:p>
        </w:tc>
      </w:tr>
      <w:tr>
        <w:trPr>
          <w:trHeight w:val="276"/>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5,734,699</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5,501,509</w:t>
            </w:r>
          </w:p>
        </w:tc>
        <w:tc>
          <w:tcPr>
            <w:tcW w:w="100" w:type="dxa"/>
            <w:vAlign w:val="bottom"/>
            <w:shd w:val="clear" w:color="auto" w:fill="CFF0FC"/>
          </w:tcPr>
          <w:p>
            <w:pPr>
              <w:spacing w:after="0"/>
              <w:rPr>
                <w:sz w:val="22"/>
                <w:szCs w:val="22"/>
                <w:color w:val="auto"/>
              </w:rPr>
            </w:pP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77,398</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85,145</w:t>
            </w:r>
          </w:p>
        </w:tc>
        <w:tc>
          <w:tcPr>
            <w:tcW w:w="100" w:type="dxa"/>
            <w:vAlign w:val="bottom"/>
          </w:tcPr>
          <w:p>
            <w:pPr>
              <w:spacing w:after="0"/>
              <w:rPr>
                <w:sz w:val="21"/>
                <w:szCs w:val="21"/>
                <w:color w:val="auto"/>
              </w:rPr>
            </w:pPr>
          </w:p>
        </w:tc>
      </w:tr>
      <w:tr>
        <w:trPr>
          <w:trHeight w:val="26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FF0FC"/>
          </w:tcPr>
          <w:p>
            <w:pPr>
              <w:spacing w:after="0"/>
              <w:rPr>
                <w:sz w:val="22"/>
                <w:szCs w:val="22"/>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307,533</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303,896</w:t>
            </w:r>
          </w:p>
        </w:tc>
        <w:tc>
          <w:tcPr>
            <w:tcW w:w="100" w:type="dxa"/>
            <w:vAlign w:val="bottom"/>
            <w:shd w:val="clear" w:color="auto" w:fill="CFF0FC"/>
          </w:tcPr>
          <w:p>
            <w:pPr>
              <w:spacing w:after="0"/>
              <w:rPr>
                <w:sz w:val="22"/>
                <w:szCs w:val="22"/>
                <w:color w:val="auto"/>
              </w:rPr>
            </w:pP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SBA - Paycheck Protection Program (PPP)</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330,960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882,986</w:t>
            </w:r>
          </w:p>
        </w:tc>
        <w:tc>
          <w:tcPr>
            <w:tcW w:w="100" w:type="dxa"/>
            <w:vAlign w:val="bottom"/>
          </w:tcPr>
          <w:p>
            <w:pPr>
              <w:spacing w:after="0"/>
              <w:rPr>
                <w:sz w:val="21"/>
                <w:szCs w:val="21"/>
                <w:color w:val="auto"/>
              </w:rPr>
            </w:pPr>
          </w:p>
        </w:tc>
      </w:tr>
      <w:tr>
        <w:trPr>
          <w:trHeight w:val="26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2"/>
                <w:szCs w:val="22"/>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769,977</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812,062</w:t>
            </w:r>
          </w:p>
        </w:tc>
        <w:tc>
          <w:tcPr>
            <w:tcW w:w="100" w:type="dxa"/>
            <w:vAlign w:val="bottom"/>
            <w:shd w:val="clear" w:color="auto" w:fill="CFF0FC"/>
          </w:tcPr>
          <w:p>
            <w:pPr>
              <w:spacing w:after="0"/>
              <w:rPr>
                <w:sz w:val="22"/>
                <w:szCs w:val="22"/>
                <w:color w:val="auto"/>
              </w:rPr>
            </w:pP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279,584</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361,146</w:t>
            </w:r>
          </w:p>
        </w:tc>
        <w:tc>
          <w:tcPr>
            <w:tcW w:w="100" w:type="dxa"/>
            <w:vAlign w:val="bottom"/>
          </w:tcPr>
          <w:p>
            <w:pPr>
              <w:spacing w:after="0"/>
              <w:rPr>
                <w:sz w:val="21"/>
                <w:szCs w:val="21"/>
                <w:color w:val="auto"/>
              </w:rPr>
            </w:pPr>
          </w:p>
        </w:tc>
      </w:tr>
      <w:tr>
        <w:trPr>
          <w:trHeight w:val="26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160" w:type="dxa"/>
            <w:vAlign w:val="bottom"/>
            <w:shd w:val="clear" w:color="auto" w:fill="CFF0FC"/>
          </w:tcPr>
          <w:p>
            <w:pPr>
              <w:spacing w:after="0"/>
              <w:rPr>
                <w:sz w:val="22"/>
                <w:szCs w:val="22"/>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47,305</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shd w:val="clear" w:color="auto" w:fill="CFF0FC"/>
          </w:tcPr>
          <w:p>
            <w:pPr>
              <w:spacing w:after="0"/>
              <w:rPr>
                <w:sz w:val="22"/>
                <w:szCs w:val="22"/>
                <w:color w:val="auto"/>
              </w:rPr>
            </w:pP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231,323</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270,511</w:t>
            </w:r>
          </w:p>
        </w:tc>
        <w:tc>
          <w:tcPr>
            <w:tcW w:w="100" w:type="dxa"/>
            <w:vAlign w:val="bottom"/>
          </w:tcPr>
          <w:p>
            <w:pPr>
              <w:spacing w:after="0"/>
              <w:rPr>
                <w:sz w:val="21"/>
                <w:szCs w:val="21"/>
                <w:color w:val="auto"/>
              </w:rPr>
            </w:pPr>
          </w:p>
        </w:tc>
      </w:tr>
      <w:tr>
        <w:trPr>
          <w:trHeight w:val="263"/>
        </w:trPr>
        <w:tc>
          <w:tcPr>
            <w:tcW w:w="6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160" w:type="dxa"/>
            <w:vAlign w:val="bottom"/>
            <w:tcBorders>
              <w:bottom w:val="single" w:sz="8" w:color="auto"/>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70,741</w:t>
            </w:r>
          </w:p>
        </w:tc>
        <w:tc>
          <w:tcPr>
            <w:tcW w:w="4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6820" w:type="dxa"/>
            <w:vAlign w:val="bottom"/>
          </w:tcPr>
          <w:p>
            <w:pPr>
              <w:ind w:left="300"/>
              <w:spacing w:after="0"/>
              <w:rPr>
                <w:sz w:val="20"/>
                <w:szCs w:val="20"/>
                <w:color w:val="auto"/>
              </w:rPr>
            </w:pPr>
            <w:r>
              <w:rPr>
                <w:rFonts w:ascii="Arial" w:cs="Arial" w:eastAsia="Arial" w:hAnsi="Arial"/>
                <w:sz w:val="18"/>
                <w:szCs w:val="18"/>
                <w:color w:val="auto"/>
              </w:rPr>
              <w:t>Total loans, at amortized cost</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7,849,520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8,348,808</w:t>
            </w:r>
          </w:p>
        </w:tc>
        <w:tc>
          <w:tcPr>
            <w:tcW w:w="100" w:type="dxa"/>
            <w:vAlign w:val="bottom"/>
          </w:tcPr>
          <w:p>
            <w:pPr>
              <w:spacing w:after="0"/>
              <w:rPr>
                <w:sz w:val="21"/>
                <w:szCs w:val="21"/>
                <w:color w:val="auto"/>
              </w:rPr>
            </w:pPr>
          </w:p>
        </w:tc>
      </w:tr>
      <w:tr>
        <w:trPr>
          <w:trHeight w:val="26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Allowance for credit losses</w:t>
            </w:r>
          </w:p>
        </w:tc>
        <w:tc>
          <w:tcPr>
            <w:tcW w:w="160" w:type="dxa"/>
            <w:vAlign w:val="bottom"/>
            <w:shd w:val="clear" w:color="auto" w:fill="CFF0FC"/>
          </w:tcPr>
          <w:p>
            <w:pPr>
              <w:spacing w:after="0"/>
              <w:rPr>
                <w:sz w:val="22"/>
                <w:szCs w:val="22"/>
                <w:color w:val="auto"/>
              </w:rPr>
            </w:pPr>
          </w:p>
        </w:tc>
        <w:tc>
          <w:tcPr>
            <w:tcW w:w="2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(65,364 )</w:t>
            </w:r>
          </w:p>
        </w:tc>
        <w:tc>
          <w:tcPr>
            <w:tcW w:w="18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(93,692 )</w:t>
            </w:r>
          </w:p>
        </w:tc>
      </w:tr>
      <w:tr>
        <w:trPr>
          <w:trHeight w:val="250"/>
        </w:trPr>
        <w:tc>
          <w:tcPr>
            <w:tcW w:w="6820" w:type="dxa"/>
            <w:vAlign w:val="bottom"/>
            <w:tcBorders>
              <w:top w:val="single" w:sz="8" w:color="CFF0FC"/>
            </w:tcBorders>
          </w:tcPr>
          <w:p>
            <w:pPr>
              <w:ind w:left="420"/>
              <w:spacing w:after="0"/>
              <w:rPr>
                <w:sz w:val="20"/>
                <w:szCs w:val="20"/>
                <w:color w:val="auto"/>
              </w:rPr>
            </w:pPr>
            <w:r>
              <w:rPr>
                <w:rFonts w:ascii="Arial" w:cs="Arial" w:eastAsia="Arial" w:hAnsi="Arial"/>
                <w:sz w:val="18"/>
                <w:szCs w:val="18"/>
                <w:color w:val="auto"/>
              </w:rPr>
              <w:t>Total loans and lease finance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7,784,156</w:t>
            </w:r>
          </w:p>
        </w:tc>
        <w:tc>
          <w:tcPr>
            <w:tcW w:w="40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8,255,116</w:t>
            </w:r>
          </w:p>
        </w:tc>
        <w:tc>
          <w:tcPr>
            <w:tcW w:w="100" w:type="dxa"/>
            <w:vAlign w:val="bottom"/>
            <w:tcBorders>
              <w:top w:val="single" w:sz="8" w:color="CFF0FC"/>
            </w:tcBorders>
          </w:tcPr>
          <w:p>
            <w:pPr>
              <w:spacing w:after="0"/>
              <w:rPr>
                <w:sz w:val="21"/>
                <w:szCs w:val="2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-527685</wp:posOffset>
            </wp:positionV>
            <wp:extent cx="25717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-193675</wp:posOffset>
            </wp:positionV>
            <wp:extent cx="25717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80" w:firstLine="469"/>
        <w:spacing w:after="0" w:line="287" w:lineRule="auto"/>
        <w:rPr>
          <w:sz w:val="20"/>
          <w:szCs w:val="20"/>
          <w:color w:val="auto"/>
        </w:rPr>
      </w:pPr>
      <w:r>
        <w:rPr>
          <w:rFonts w:ascii="Arial" w:cs="Arial" w:eastAsia="Arial" w:hAnsi="Arial"/>
          <w:sz w:val="17"/>
          <w:szCs w:val="17"/>
          <w:color w:val="auto"/>
        </w:rPr>
        <w:t>As of September 30, 2021, 76.99% of the Company’s total loan portfolio consisted of real estate loans, with commercial real estate loans representing 73.06% of total loans. The Company’s real estate loans and construction loans are secured by real properties primarily located in California. As of September 30, 2021, $354.3 million, or 6.18% of the total commercial real estate loans included loans secured by farmland, compared to $314.4 million, or 5.72%, at December 31, 2020. The loans secured by farmland included $125.1 million for loans secured by dairy &amp; livestock land and $229.2 million for loans secured by agricultural land at September 30, 2021, compared to $132.9 million for loans secured by dairy &amp; livestock land and $181.5 million for loans secured by agricultural land at December 31, 2020. As of September 30, 2021, dairy &amp; livestock and agribusiness loans of $279.6 million were comprised of $242.0 million for dairy &amp; livestock loans and $37.6 million for agribusiness loans, compared to $320.1 million for dairy &amp; livestock loans and $41.0 million for agribusiness loans at December 31, 2020.</w:t>
      </w:r>
    </w:p>
    <w:p>
      <w:pPr>
        <w:spacing w:after="0" w:line="195" w:lineRule="exact"/>
        <w:rPr>
          <w:sz w:val="20"/>
          <w:szCs w:val="20"/>
          <w:color w:val="auto"/>
        </w:rPr>
      </w:pPr>
    </w:p>
    <w:p>
      <w:pPr>
        <w:jc w:val="both"/>
        <w:ind w:right="220" w:firstLine="469"/>
        <w:spacing w:after="0" w:line="279" w:lineRule="auto"/>
        <w:rPr>
          <w:sz w:val="20"/>
          <w:szCs w:val="20"/>
          <w:color w:val="auto"/>
        </w:rPr>
      </w:pPr>
      <w:r>
        <w:rPr>
          <w:rFonts w:ascii="Arial" w:cs="Arial" w:eastAsia="Arial" w:hAnsi="Arial"/>
          <w:sz w:val="18"/>
          <w:szCs w:val="18"/>
          <w:color w:val="auto"/>
        </w:rPr>
        <w:t>At September 30, 2021 and December 31, 2020, loans totaling $6.26 billion and $6.07 billion, respectively, were pledged to secure the borrowings and available lines of credit from the FHLB and the Federal Reserve Bank. There were no outstanding loans held-for-sale as of September 30, 2021 and December 31,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252" w:lineRule="exact"/>
        <w:rPr>
          <w:sz w:val="20"/>
          <w:szCs w:val="20"/>
          <w:color w:val="auto"/>
        </w:rPr>
      </w:pPr>
    </w:p>
    <w:p>
      <w:pPr>
        <w:ind w:firstLine="469"/>
        <w:spacing w:after="0" w:line="359" w:lineRule="auto"/>
        <w:rPr>
          <w:sz w:val="20"/>
          <w:szCs w:val="20"/>
          <w:color w:val="auto"/>
        </w:rPr>
      </w:pPr>
      <w:r>
        <w:rPr>
          <w:rFonts w:ascii="Arial" w:cs="Arial" w:eastAsia="Arial" w:hAnsi="Arial"/>
          <w:sz w:val="16"/>
          <w:szCs w:val="16"/>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38" w:lineRule="exact"/>
        <w:rPr>
          <w:sz w:val="20"/>
          <w:szCs w:val="20"/>
          <w:color w:val="auto"/>
        </w:rPr>
      </w:pPr>
    </w:p>
    <w:p>
      <w:pPr>
        <w:jc w:val="both"/>
        <w:ind w:right="100" w:firstLine="469"/>
        <w:spacing w:after="0" w:line="272" w:lineRule="auto"/>
        <w:rPr>
          <w:sz w:val="20"/>
          <w:szCs w:val="20"/>
          <w:color w:val="auto"/>
        </w:rPr>
      </w:pPr>
      <w:r>
        <w:rPr>
          <w:rFonts w:ascii="Arial" w:cs="Arial" w:eastAsia="Arial" w:hAnsi="Arial"/>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204" w:lineRule="exact"/>
        <w:rPr>
          <w:sz w:val="20"/>
          <w:szCs w:val="20"/>
          <w:color w:val="auto"/>
        </w:rPr>
      </w:pPr>
    </w:p>
    <w:p>
      <w:pPr>
        <w:ind w:right="120" w:firstLine="469"/>
        <w:spacing w:after="0" w:line="359" w:lineRule="auto"/>
        <w:rPr>
          <w:sz w:val="20"/>
          <w:szCs w:val="20"/>
          <w:color w:val="auto"/>
        </w:rPr>
      </w:pPr>
      <w:r>
        <w:rPr>
          <w:rFonts w:ascii="Arial" w:cs="Arial" w:eastAsia="Arial" w:hAnsi="Arial"/>
          <w:sz w:val="16"/>
          <w:szCs w:val="16"/>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38" w:lineRule="exact"/>
        <w:rPr>
          <w:sz w:val="20"/>
          <w:szCs w:val="20"/>
          <w:color w:val="auto"/>
        </w:rPr>
      </w:pPr>
    </w:p>
    <w:p>
      <w:pPr>
        <w:ind w:firstLine="469"/>
        <w:spacing w:after="0" w:line="275" w:lineRule="auto"/>
        <w:rPr>
          <w:sz w:val="20"/>
          <w:szCs w:val="20"/>
          <w:color w:val="auto"/>
        </w:rPr>
      </w:pPr>
      <w:r>
        <w:rPr>
          <w:rFonts w:ascii="Arial" w:cs="Arial" w:eastAsia="Arial" w:hAnsi="Arial"/>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99" w:lineRule="exact"/>
        <w:rPr>
          <w:sz w:val="20"/>
          <w:szCs w:val="20"/>
          <w:color w:val="auto"/>
        </w:rPr>
      </w:pPr>
    </w:p>
    <w:p>
      <w:pPr>
        <w:jc w:val="both"/>
        <w:ind w:right="80" w:firstLine="469"/>
        <w:spacing w:after="0" w:line="329" w:lineRule="auto"/>
        <w:rPr>
          <w:sz w:val="20"/>
          <w:szCs w:val="20"/>
          <w:color w:val="auto"/>
        </w:rPr>
      </w:pPr>
      <w:r>
        <w:rPr>
          <w:rFonts w:ascii="Arial" w:cs="Arial" w:eastAsia="Arial" w:hAnsi="Arial"/>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61" w:lineRule="exact"/>
        <w:rPr>
          <w:sz w:val="20"/>
          <w:szCs w:val="20"/>
          <w:color w:val="auto"/>
        </w:rPr>
      </w:pPr>
    </w:p>
    <w:p>
      <w:pPr>
        <w:jc w:val="both"/>
        <w:ind w:right="140" w:firstLine="469"/>
        <w:spacing w:after="0" w:line="303" w:lineRule="auto"/>
        <w:rPr>
          <w:sz w:val="20"/>
          <w:szCs w:val="20"/>
          <w:color w:val="auto"/>
        </w:rPr>
      </w:pPr>
      <w:r>
        <w:rPr>
          <w:rFonts w:ascii="Arial" w:cs="Arial" w:eastAsia="Arial" w:hAnsi="Arial"/>
          <w:sz w:val="17"/>
          <w:szCs w:val="17"/>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78" w:lineRule="exact"/>
        <w:rPr>
          <w:sz w:val="20"/>
          <w:szCs w:val="20"/>
          <w:color w:val="auto"/>
        </w:rPr>
      </w:pPr>
    </w:p>
    <w:p>
      <w:pPr>
        <w:ind w:right="160" w:firstLine="469"/>
        <w:spacing w:after="0" w:line="359" w:lineRule="auto"/>
        <w:rPr>
          <w:sz w:val="20"/>
          <w:szCs w:val="20"/>
          <w:color w:val="auto"/>
        </w:rPr>
      </w:pPr>
      <w:r>
        <w:rPr>
          <w:rFonts w:ascii="Arial" w:cs="Arial" w:eastAsia="Arial" w:hAnsi="Arial"/>
          <w:sz w:val="16"/>
          <w:szCs w:val="16"/>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38" w:lineRule="exact"/>
        <w:rPr>
          <w:sz w:val="20"/>
          <w:szCs w:val="20"/>
          <w:color w:val="auto"/>
        </w:rPr>
      </w:pPr>
    </w:p>
    <w:p>
      <w:pPr>
        <w:jc w:val="both"/>
        <w:ind w:right="40" w:firstLine="469"/>
        <w:spacing w:after="0" w:line="279" w:lineRule="auto"/>
        <w:rPr>
          <w:sz w:val="20"/>
          <w:szCs w:val="20"/>
          <w:color w:val="auto"/>
        </w:rPr>
      </w:pPr>
      <w:r>
        <w:rPr>
          <w:rFonts w:ascii="Arial" w:cs="Arial" w:eastAsia="Arial" w:hAnsi="Arial"/>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9" w:right="419" w:bottom="1440" w:gutter="0" w:footer="0" w:header="0"/>
        </w:sectPr>
      </w:pPr>
    </w:p>
    <w:bookmarkStart w:id="14" w:name="page15"/>
    <w:bookmarkEnd w:id="14"/>
    <w:p>
      <w:pPr>
        <w:ind w:left="480"/>
        <w:spacing w:after="0"/>
        <w:rPr>
          <w:sz w:val="20"/>
          <w:szCs w:val="20"/>
          <w:color w:val="auto"/>
        </w:rPr>
      </w:pPr>
      <w:r>
        <w:rPr>
          <w:rFonts w:ascii="Arial" w:cs="Arial" w:eastAsia="Arial" w:hAnsi="Arial"/>
          <w:sz w:val="18"/>
          <w:szCs w:val="18"/>
          <w:color w:val="auto"/>
        </w:rPr>
        <w:t>The following table summarizes loans by type and origination year, according to our internal risk ratings as of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8"/>
              </w:rPr>
              <w:t>Origination Year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Revolving loans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Revolving loans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converted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September 30, 2021</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2018</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7"/>
              </w:rPr>
              <w:t>cost basis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term loans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gridSpan w:val="7"/>
          </w:tcPr>
          <w:p>
            <w:pPr>
              <w:jc w:val="right"/>
              <w:ind w:right="57"/>
              <w:spacing w:after="0"/>
              <w:rPr>
                <w:sz w:val="20"/>
                <w:szCs w:val="20"/>
                <w:color w:val="auto"/>
              </w:rPr>
            </w:pPr>
            <w:r>
              <w:rPr>
                <w:rFonts w:ascii="Arial" w:cs="Arial" w:eastAsia="Arial" w:hAnsi="Arial"/>
                <w:sz w:val="13"/>
                <w:szCs w:val="13"/>
                <w:i w:val="1"/>
                <w:iCs w:val="1"/>
                <w:color w:val="auto"/>
                <w:w w:val="91"/>
              </w:rPr>
              <w:t>(Dollars 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878,859</w:t>
            </w:r>
          </w:p>
        </w:tc>
        <w:tc>
          <w:tcPr>
            <w:tcW w:w="420" w:type="dxa"/>
            <w:vAlign w:val="bottom"/>
            <w:gridSpan w:val="3"/>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979,652</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622,674</w:t>
            </w:r>
          </w:p>
        </w:tc>
        <w:tc>
          <w:tcPr>
            <w:tcW w:w="44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547,936</w:t>
            </w:r>
          </w:p>
        </w:tc>
        <w:tc>
          <w:tcPr>
            <w:tcW w:w="32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511,804</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1,812,200</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169,358</w:t>
            </w:r>
          </w:p>
        </w:tc>
        <w:tc>
          <w:tcPr>
            <w:tcW w:w="300" w:type="dxa"/>
            <w:vAlign w:val="bottom"/>
            <w:gridSpan w:val="3"/>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44,792</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5,567,275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11,986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5,575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9,078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21,902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43,612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46,359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150,430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8,892</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Commercial real</w:t>
            </w:r>
          </w:p>
        </w:tc>
        <w:tc>
          <w:tcPr>
            <w:tcW w:w="22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893,291</w:t>
            </w:r>
          </w:p>
        </w:tc>
        <w:tc>
          <w:tcPr>
            <w:tcW w:w="420" w:type="dxa"/>
            <w:vAlign w:val="bottom"/>
            <w:gridSpan w:val="3"/>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985,227</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632,215</w:t>
            </w:r>
          </w:p>
        </w:tc>
        <w:tc>
          <w:tcPr>
            <w:tcW w:w="44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569,838</w:t>
            </w:r>
          </w:p>
        </w:tc>
        <w:tc>
          <w:tcPr>
            <w:tcW w:w="32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560,293</w:t>
            </w:r>
          </w:p>
        </w:tc>
        <w:tc>
          <w:tcPr>
            <w:tcW w:w="36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1,867,451</w:t>
            </w:r>
          </w:p>
        </w:tc>
        <w:tc>
          <w:tcPr>
            <w:tcW w:w="28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175,776</w:t>
            </w:r>
          </w:p>
        </w:tc>
        <w:tc>
          <w:tcPr>
            <w:tcW w:w="300" w:type="dxa"/>
            <w:vAlign w:val="bottom"/>
            <w:gridSpan w:val="3"/>
            <w:vMerge w:val="restart"/>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50,608</w:t>
            </w:r>
          </w:p>
        </w:tc>
        <w:tc>
          <w:tcPr>
            <w:tcW w:w="36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5,734,699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estate loans:</w:t>
            </w:r>
          </w:p>
        </w:tc>
        <w:tc>
          <w:tcPr>
            <w:tcW w:w="2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196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Construction loans:</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Pass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7,465</w:t>
            </w:r>
          </w:p>
        </w:tc>
        <w:tc>
          <w:tcPr>
            <w:tcW w:w="42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22,258</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7,148</w:t>
            </w:r>
          </w:p>
        </w:tc>
        <w:tc>
          <w:tcPr>
            <w:tcW w:w="44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3,142</w:t>
            </w:r>
          </w:p>
        </w:tc>
        <w:tc>
          <w:tcPr>
            <w:tcW w:w="32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37,385</w:t>
            </w:r>
          </w:p>
        </w:tc>
        <w:tc>
          <w:tcPr>
            <w:tcW w:w="300" w:type="dxa"/>
            <w:vAlign w:val="bottom"/>
            <w:gridSpan w:val="3"/>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77,398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Total Construction</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7,465</w:t>
            </w:r>
          </w:p>
        </w:tc>
        <w:tc>
          <w:tcPr>
            <w:tcW w:w="420" w:type="dxa"/>
            <w:vAlign w:val="bottom"/>
            <w:gridSpan w:val="3"/>
            <w:vMerge w:val="restart"/>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22,258</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7,148</w:t>
            </w:r>
          </w:p>
        </w:tc>
        <w:tc>
          <w:tcPr>
            <w:tcW w:w="44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3,142</w:t>
            </w:r>
          </w:p>
        </w:tc>
        <w:tc>
          <w:tcPr>
            <w:tcW w:w="32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37,385</w:t>
            </w:r>
          </w:p>
        </w:tc>
        <w:tc>
          <w:tcPr>
            <w:tcW w:w="300" w:type="dxa"/>
            <w:vAlign w:val="bottom"/>
            <w:gridSpan w:val="3"/>
            <w:vMerge w:val="restart"/>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77,398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SBA loans:</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63,286</w:t>
            </w:r>
          </w:p>
        </w:tc>
        <w:tc>
          <w:tcPr>
            <w:tcW w:w="420" w:type="dxa"/>
            <w:vAlign w:val="bottom"/>
            <w:gridSpan w:val="3"/>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42,468</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11,233</w:t>
            </w:r>
          </w:p>
        </w:tc>
        <w:tc>
          <w:tcPr>
            <w:tcW w:w="44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38,918</w:t>
            </w:r>
          </w:p>
        </w:tc>
        <w:tc>
          <w:tcPr>
            <w:tcW w:w="32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43,891</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88,592</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288,388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6,075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10,196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5,471</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2,638</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SBA loans:</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63,286</w:t>
            </w:r>
          </w:p>
        </w:tc>
        <w:tc>
          <w:tcPr>
            <w:tcW w:w="420" w:type="dxa"/>
            <w:vAlign w:val="bottom"/>
            <w:gridSpan w:val="3"/>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42,468</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11,233</w:t>
            </w:r>
          </w:p>
        </w:tc>
        <w:tc>
          <w:tcPr>
            <w:tcW w:w="44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39,758</w:t>
            </w:r>
          </w:p>
        </w:tc>
        <w:tc>
          <w:tcPr>
            <w:tcW w:w="32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53,483</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97,305</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307,533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196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SBA - PPP loans:</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Pass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278,560</w:t>
            </w:r>
          </w:p>
        </w:tc>
        <w:tc>
          <w:tcPr>
            <w:tcW w:w="42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50,877</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329,437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Total SBA - PPP loans: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278,560</w:t>
            </w:r>
          </w:p>
        </w:tc>
        <w:tc>
          <w:tcPr>
            <w:tcW w:w="42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52,400</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330,960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Commercial and</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100,677</w:t>
            </w:r>
          </w:p>
        </w:tc>
        <w:tc>
          <w:tcPr>
            <w:tcW w:w="420" w:type="dxa"/>
            <w:vAlign w:val="bottom"/>
            <w:gridSpan w:val="3"/>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87,523</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134,219</w:t>
            </w:r>
          </w:p>
        </w:tc>
        <w:tc>
          <w:tcPr>
            <w:tcW w:w="44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59,713</w:t>
            </w:r>
          </w:p>
        </w:tc>
        <w:tc>
          <w:tcPr>
            <w:tcW w:w="32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38,121</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81,999</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237,284</w:t>
            </w:r>
          </w:p>
        </w:tc>
        <w:tc>
          <w:tcPr>
            <w:tcW w:w="300" w:type="dxa"/>
            <w:vAlign w:val="bottom"/>
            <w:gridSpan w:val="3"/>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5,919</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745,455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1,481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2,016</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Commercial and</w:t>
            </w:r>
          </w:p>
        </w:tc>
        <w:tc>
          <w:tcPr>
            <w:tcW w:w="22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104,241</w:t>
            </w:r>
          </w:p>
        </w:tc>
        <w:tc>
          <w:tcPr>
            <w:tcW w:w="200" w:type="dxa"/>
            <w:vAlign w:val="bottom"/>
            <w:gridSpan w:val="2"/>
            <w:vMerge w:val="restart"/>
            <w:shd w:val="clear" w:color="auto" w:fill="CFF0FC"/>
          </w:tcPr>
          <w:p>
            <w:pPr>
              <w:spacing w:after="0"/>
              <w:rPr>
                <w:sz w:val="14"/>
                <w:szCs w:val="14"/>
                <w:color w:val="auto"/>
              </w:rPr>
            </w:pPr>
          </w:p>
        </w:tc>
        <w:tc>
          <w:tcPr>
            <w:tcW w:w="22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89,883</w:t>
            </w:r>
          </w:p>
        </w:tc>
        <w:tc>
          <w:tcPr>
            <w:tcW w:w="200" w:type="dxa"/>
            <w:vAlign w:val="bottom"/>
            <w:gridSpan w:val="2"/>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135,326</w:t>
            </w:r>
          </w:p>
        </w:tc>
        <w:tc>
          <w:tcPr>
            <w:tcW w:w="180" w:type="dxa"/>
            <w:vAlign w:val="bottom"/>
            <w:gridSpan w:val="2"/>
            <w:vMerge w:val="restart"/>
            <w:shd w:val="clear" w:color="auto" w:fill="CFF0FC"/>
          </w:tcPr>
          <w:p>
            <w:pPr>
              <w:spacing w:after="0"/>
              <w:rPr>
                <w:sz w:val="14"/>
                <w:szCs w:val="14"/>
                <w:color w:val="auto"/>
              </w:rPr>
            </w:pPr>
          </w:p>
        </w:tc>
        <w:tc>
          <w:tcPr>
            <w:tcW w:w="260" w:type="dxa"/>
            <w:vAlign w:val="bottom"/>
            <w:vMerge w:val="restart"/>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63,210</w:t>
            </w:r>
          </w:p>
        </w:tc>
        <w:tc>
          <w:tcPr>
            <w:tcW w:w="160" w:type="dxa"/>
            <w:vAlign w:val="bottom"/>
            <w:gridSpan w:val="2"/>
            <w:vMerge w:val="restart"/>
            <w:shd w:val="clear" w:color="auto" w:fill="CFF0FC"/>
          </w:tcPr>
          <w:p>
            <w:pPr>
              <w:spacing w:after="0"/>
              <w:rPr>
                <w:sz w:val="14"/>
                <w:szCs w:val="14"/>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39,778</w:t>
            </w:r>
          </w:p>
        </w:tc>
        <w:tc>
          <w:tcPr>
            <w:tcW w:w="160" w:type="dxa"/>
            <w:vAlign w:val="bottom"/>
            <w:gridSpan w:val="2"/>
            <w:vMerge w:val="restart"/>
            <w:shd w:val="clear" w:color="auto" w:fill="CFF0FC"/>
          </w:tcPr>
          <w:p>
            <w:pPr>
              <w:spacing w:after="0"/>
              <w:rPr>
                <w:sz w:val="14"/>
                <w:szCs w:val="14"/>
                <w:color w:val="auto"/>
              </w:rPr>
            </w:pP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82,751</w:t>
            </w:r>
          </w:p>
        </w:tc>
        <w:tc>
          <w:tcPr>
            <w:tcW w:w="160" w:type="dxa"/>
            <w:vAlign w:val="bottom"/>
            <w:gridSpan w:val="2"/>
            <w:vMerge w:val="restart"/>
            <w:shd w:val="clear" w:color="auto" w:fill="CFF0FC"/>
          </w:tcPr>
          <w:p>
            <w:pPr>
              <w:spacing w:after="0"/>
              <w:rPr>
                <w:sz w:val="14"/>
                <w:szCs w:val="14"/>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245,224</w:t>
            </w:r>
          </w:p>
        </w:tc>
        <w:tc>
          <w:tcPr>
            <w:tcW w:w="200" w:type="dxa"/>
            <w:vAlign w:val="bottom"/>
            <w:gridSpan w:val="2"/>
            <w:vMerge w:val="restart"/>
            <w:shd w:val="clear" w:color="auto" w:fill="CFF0FC"/>
          </w:tcPr>
          <w:p>
            <w:pPr>
              <w:spacing w:after="0"/>
              <w:rPr>
                <w:sz w:val="14"/>
                <w:szCs w:val="14"/>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9,564</w:t>
            </w:r>
          </w:p>
        </w:tc>
        <w:tc>
          <w:tcPr>
            <w:tcW w:w="180" w:type="dxa"/>
            <w:vAlign w:val="bottom"/>
            <w:gridSpan w:val="2"/>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769,977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5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-4205605</wp:posOffset>
            </wp:positionV>
            <wp:extent cx="12890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-4205605</wp:posOffset>
            </wp:positionV>
            <wp:extent cx="12890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-4205605</wp:posOffset>
            </wp:positionV>
            <wp:extent cx="12001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-4205605</wp:posOffset>
            </wp:positionV>
            <wp:extent cx="10287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-4205605</wp:posOffset>
            </wp:positionV>
            <wp:extent cx="1028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-4205605</wp:posOffset>
            </wp:positionV>
            <wp:extent cx="11176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-4205605</wp:posOffset>
            </wp:positionV>
            <wp:extent cx="12890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-4205605</wp:posOffset>
            </wp:positionV>
            <wp:extent cx="11112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-4205605</wp:posOffset>
            </wp:positionV>
            <wp:extent cx="596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-3356610</wp:posOffset>
            </wp:positionV>
            <wp:extent cx="12890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-3356610</wp:posOffset>
            </wp:positionV>
            <wp:extent cx="12890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-3356610</wp:posOffset>
            </wp:positionV>
            <wp:extent cx="12001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-3356610</wp:posOffset>
            </wp:positionV>
            <wp:extent cx="10287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-3356610</wp:posOffset>
            </wp:positionV>
            <wp:extent cx="10287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-3356610</wp:posOffset>
            </wp:positionV>
            <wp:extent cx="11176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-3356610</wp:posOffset>
            </wp:positionV>
            <wp:extent cx="12890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-3356610</wp:posOffset>
            </wp:positionV>
            <wp:extent cx="11112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-3356610</wp:posOffset>
            </wp:positionV>
            <wp:extent cx="596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-2156460</wp:posOffset>
            </wp:positionV>
            <wp:extent cx="12890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-2156460</wp:posOffset>
            </wp:positionV>
            <wp:extent cx="12890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-2156460</wp:posOffset>
            </wp:positionV>
            <wp:extent cx="12001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-2156460</wp:posOffset>
            </wp:positionV>
            <wp:extent cx="10287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-2156460</wp:posOffset>
            </wp:positionV>
            <wp:extent cx="10287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-2156460</wp:posOffset>
            </wp:positionV>
            <wp:extent cx="11176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-2156460</wp:posOffset>
            </wp:positionV>
            <wp:extent cx="12890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-2156460</wp:posOffset>
            </wp:positionV>
            <wp:extent cx="11112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-2156460</wp:posOffset>
            </wp:positionV>
            <wp:extent cx="596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-1308100</wp:posOffset>
            </wp:positionV>
            <wp:extent cx="12890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-1308100</wp:posOffset>
            </wp:positionV>
            <wp:extent cx="12890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-1308100</wp:posOffset>
            </wp:positionV>
            <wp:extent cx="12001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-1308100</wp:posOffset>
            </wp:positionV>
            <wp:extent cx="10287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-1308100</wp:posOffset>
            </wp:positionV>
            <wp:extent cx="10287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-1308100</wp:posOffset>
            </wp:positionV>
            <wp:extent cx="11176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-1308100</wp:posOffset>
            </wp:positionV>
            <wp:extent cx="12890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-1308100</wp:posOffset>
            </wp:positionV>
            <wp:extent cx="11112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-1308100</wp:posOffset>
            </wp:positionV>
            <wp:extent cx="5969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-5080</wp:posOffset>
            </wp:positionV>
            <wp:extent cx="12890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-5080</wp:posOffset>
            </wp:positionV>
            <wp:extent cx="12890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-5080</wp:posOffset>
            </wp:positionV>
            <wp:extent cx="12001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-5080</wp:posOffset>
            </wp:positionV>
            <wp:extent cx="10287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-5080</wp:posOffset>
            </wp:positionV>
            <wp:extent cx="10287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-5080</wp:posOffset>
            </wp:positionV>
            <wp:extent cx="11176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-5080</wp:posOffset>
            </wp:positionV>
            <wp:extent cx="12890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-5080</wp:posOffset>
            </wp:positionV>
            <wp:extent cx="1111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-5080</wp:posOffset>
            </wp:positionV>
            <wp:extent cx="596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vMerge w:val="restart"/>
          </w:tcPr>
          <w:p>
            <w:pPr>
              <w:jc w:val="right"/>
              <w:ind w:right="417"/>
              <w:spacing w:after="0"/>
              <w:rPr>
                <w:sz w:val="20"/>
                <w:szCs w:val="20"/>
                <w:color w:val="auto"/>
              </w:rPr>
            </w:pPr>
            <w:r>
              <w:rPr>
                <w:rFonts w:ascii="Arial" w:cs="Arial" w:eastAsia="Arial" w:hAnsi="Arial"/>
                <w:sz w:val="13"/>
                <w:szCs w:val="13"/>
                <w:b w:val="1"/>
                <w:bCs w:val="1"/>
                <w:color w:val="auto"/>
              </w:rPr>
              <w:t>Origination Year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Revolving loans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Revolving loans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converted to</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September 30, 2021</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7"/>
              </w:rPr>
              <w:t>cost basis</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term loans</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7"/>
          </w:tcPr>
          <w:p>
            <w:pPr>
              <w:jc w:val="right"/>
              <w:ind w:right="57"/>
              <w:spacing w:after="0"/>
              <w:rPr>
                <w:sz w:val="20"/>
                <w:szCs w:val="20"/>
                <w:color w:val="auto"/>
              </w:rPr>
            </w:pPr>
            <w:r>
              <w:rPr>
                <w:rFonts w:ascii="Arial" w:cs="Arial" w:eastAsia="Arial" w:hAnsi="Arial"/>
                <w:sz w:val="13"/>
                <w:szCs w:val="13"/>
                <w:i w:val="1"/>
                <w:iCs w:val="1"/>
                <w:color w:val="auto"/>
                <w:w w:val="94"/>
              </w:rPr>
              <w:t>(Dollars in thousands)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Dairy &amp; livestock and</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agribusiness loans:</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988</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258,432</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886</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5,094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8,732</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Dairy &amp; livestock</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and agribusiness</w:t>
            </w:r>
          </w:p>
        </w:tc>
        <w:tc>
          <w:tcPr>
            <w:tcW w:w="22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988</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1,420</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1,271</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322</w:t>
            </w:r>
          </w:p>
        </w:tc>
        <w:tc>
          <w:tcPr>
            <w:tcW w:w="30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263,526</w:t>
            </w:r>
          </w:p>
        </w:tc>
        <w:tc>
          <w:tcPr>
            <w:tcW w:w="26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11,918</w:t>
            </w:r>
          </w:p>
        </w:tc>
        <w:tc>
          <w:tcPr>
            <w:tcW w:w="36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279,584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196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Municipal lease finance</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60" w:type="dxa"/>
            <w:vAlign w:val="bottom"/>
          </w:tcPr>
          <w:p>
            <w:pPr>
              <w:ind w:left="120"/>
              <w:spacing w:after="0"/>
              <w:rPr>
                <w:sz w:val="20"/>
                <w:szCs w:val="20"/>
                <w:color w:val="auto"/>
              </w:rPr>
            </w:pPr>
            <w:r>
              <w:rPr>
                <w:rFonts w:ascii="Arial" w:cs="Arial" w:eastAsia="Arial" w:hAnsi="Arial"/>
                <w:sz w:val="13"/>
                <w:szCs w:val="13"/>
                <w:b w:val="1"/>
                <w:bCs w:val="1"/>
                <w:color w:val="auto"/>
              </w:rPr>
              <w:t>receivables loans: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Pass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9,557</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7,875</w:t>
            </w:r>
          </w:p>
        </w:tc>
        <w:tc>
          <w:tcPr>
            <w:tcW w:w="34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279</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9,720</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19,498</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18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46,929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Total Municipal lease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Arial" w:cs="Arial" w:eastAsia="Arial" w:hAnsi="Arial"/>
                <w:sz w:val="13"/>
                <w:szCs w:val="13"/>
                <w:b w:val="1"/>
                <w:bCs w:val="1"/>
                <w:color w:val="auto"/>
              </w:rPr>
              <w:t>finance receivables</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9,557</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7,875</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279</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9,720</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19,874</w:t>
            </w:r>
          </w:p>
        </w:tc>
        <w:tc>
          <w:tcPr>
            <w:tcW w:w="300" w:type="dxa"/>
            <w:vAlign w:val="bottom"/>
            <w:gridSpan w:val="3"/>
            <w:vMerge w:val="restart"/>
          </w:tcPr>
          <w:p>
            <w:pPr>
              <w:ind w:left="20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vMerge w:val="restart"/>
          </w:tcPr>
          <w:p>
            <w:pPr>
              <w:ind w:left="180"/>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47,305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SFR mortgage loans:</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27,356</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52,771</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44,447</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20,072</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17,176</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66,847</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228,821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2,088</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SFR mortgage</w:t>
            </w:r>
          </w:p>
        </w:tc>
        <w:tc>
          <w:tcPr>
            <w:tcW w:w="22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27,356</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52,771</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44,447</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20,072</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17,176</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68,935</w:t>
            </w:r>
          </w:p>
        </w:tc>
        <w:tc>
          <w:tcPr>
            <w:tcW w:w="30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152</w:t>
            </w:r>
          </w:p>
        </w:tc>
        <w:tc>
          <w:tcPr>
            <w:tcW w:w="26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414</w:t>
            </w:r>
          </w:p>
        </w:tc>
        <w:tc>
          <w:tcPr>
            <w:tcW w:w="36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231,323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196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Consumer and other</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6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Pass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5,196</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2,825</w:t>
            </w:r>
          </w:p>
        </w:tc>
        <w:tc>
          <w:tcPr>
            <w:tcW w:w="34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1,539</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558</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454</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1,901</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53,550</w:t>
            </w:r>
          </w:p>
        </w:tc>
        <w:tc>
          <w:tcPr>
            <w:tcW w:w="260" w:type="dxa"/>
            <w:vAlign w:val="bottom"/>
            <w:gridSpan w:val="3"/>
          </w:tcPr>
          <w:p>
            <w:pPr>
              <w:ind w:left="18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2,195</w:t>
            </w:r>
          </w:p>
        </w:tc>
        <w:tc>
          <w:tcPr>
            <w:tcW w:w="36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68,218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Total Consumer and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6,105</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2,825</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1,539</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558</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454</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2,068</w:t>
            </w:r>
          </w:p>
        </w:tc>
        <w:tc>
          <w:tcPr>
            <w:tcW w:w="300" w:type="dxa"/>
            <w:vAlign w:val="bottom"/>
            <w:gridSpan w:val="3"/>
            <w:vMerge w:val="restart"/>
          </w:tcPr>
          <w:p>
            <w:pPr>
              <w:ind w:left="20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54,146</w:t>
            </w:r>
          </w:p>
        </w:tc>
        <w:tc>
          <w:tcPr>
            <w:tcW w:w="260" w:type="dxa"/>
            <w:vAlign w:val="bottom"/>
            <w:gridSpan w:val="3"/>
            <w:vMerge w:val="restart"/>
          </w:tcPr>
          <w:p>
            <w:pPr>
              <w:ind w:left="180"/>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3,046</w:t>
            </w:r>
          </w:p>
        </w:tc>
        <w:tc>
          <w:tcPr>
            <w:tcW w:w="36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70,741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ind w:left="120"/>
              <w:spacing w:after="0"/>
              <w:rPr>
                <w:sz w:val="20"/>
                <w:szCs w:val="20"/>
                <w:color w:val="auto"/>
              </w:rPr>
            </w:pPr>
            <w:r>
              <w:rPr>
                <w:rFonts w:ascii="Arial" w:cs="Arial" w:eastAsia="Arial" w:hAnsi="Arial"/>
                <w:sz w:val="13"/>
                <w:szCs w:val="13"/>
                <w:b w:val="1"/>
                <w:bCs w:val="1"/>
                <w:color w:val="auto"/>
              </w:rPr>
              <w:t>other loans:</w:t>
            </w: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1,370,969</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1,247,237</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822,680</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671,770</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621,292</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2,071,359</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756,161</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53,792</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7,615,260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10,079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23,383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48,248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52,950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8,401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184,505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5,089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11,490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14,397</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13,357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1,389,874</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1,256,695</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833,328</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698,128</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681,030</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2,138,706</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776,209</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75,550</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7,849,520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-4522470</wp:posOffset>
            </wp:positionV>
            <wp:extent cx="12890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-4522470</wp:posOffset>
            </wp:positionV>
            <wp:extent cx="12001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-4522470</wp:posOffset>
            </wp:positionV>
            <wp:extent cx="12001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-4522470</wp:posOffset>
            </wp:positionV>
            <wp:extent cx="12001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-4522470</wp:posOffset>
            </wp:positionV>
            <wp:extent cx="12890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-4522470</wp:posOffset>
            </wp:positionV>
            <wp:extent cx="11112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-4522470</wp:posOffset>
            </wp:positionV>
            <wp:extent cx="10287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-4522470</wp:posOffset>
            </wp:positionV>
            <wp:extent cx="10287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-4522470</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-3571240</wp:posOffset>
            </wp:positionV>
            <wp:extent cx="12890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-3571240</wp:posOffset>
            </wp:positionV>
            <wp:extent cx="12001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-3571240</wp:posOffset>
            </wp:positionV>
            <wp:extent cx="12001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-3571240</wp:posOffset>
            </wp:positionV>
            <wp:extent cx="12001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-3571240</wp:posOffset>
            </wp:positionV>
            <wp:extent cx="12890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-3571240</wp:posOffset>
            </wp:positionV>
            <wp:extent cx="11112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-3571240</wp:posOffset>
            </wp:positionV>
            <wp:extent cx="10287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-3571240</wp:posOffset>
            </wp:positionV>
            <wp:extent cx="10287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-3571240</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-2173605</wp:posOffset>
            </wp:positionV>
            <wp:extent cx="12890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-2173605</wp:posOffset>
            </wp:positionV>
            <wp:extent cx="12001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-2173605</wp:posOffset>
            </wp:positionV>
            <wp:extent cx="12001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-2173605</wp:posOffset>
            </wp:positionV>
            <wp:extent cx="1200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-2173605</wp:posOffset>
            </wp:positionV>
            <wp:extent cx="12890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-2173605</wp:posOffset>
            </wp:positionV>
            <wp:extent cx="11112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-2173605</wp:posOffset>
            </wp:positionV>
            <wp:extent cx="10287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-2173605</wp:posOffset>
            </wp:positionV>
            <wp:extent cx="10287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-2173605</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-1222375</wp:posOffset>
            </wp:positionV>
            <wp:extent cx="12890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-1222375</wp:posOffset>
            </wp:positionV>
            <wp:extent cx="12001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-1222375</wp:posOffset>
            </wp:positionV>
            <wp:extent cx="12001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-1222375</wp:posOffset>
            </wp:positionV>
            <wp:extent cx="1200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-1222375</wp:posOffset>
            </wp:positionV>
            <wp:extent cx="12890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-1222375</wp:posOffset>
            </wp:positionV>
            <wp:extent cx="1111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-1222375</wp:posOffset>
            </wp:positionV>
            <wp:extent cx="10287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-1222375</wp:posOffset>
            </wp:positionV>
            <wp:extent cx="10287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-24765</wp:posOffset>
            </wp:positionV>
            <wp:extent cx="1289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-7620</wp:posOffset>
            </wp:positionV>
            <wp:extent cx="1289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1200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1200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1200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1200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1200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1200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1289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289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1111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1028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02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Origination Year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Revolving loans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Revolving loans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w w:val="84"/>
              </w:rPr>
              <w:t>converted to</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7"/>
              </w:rPr>
              <w:t>cost basis</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term loans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gridSpan w:val="7"/>
          </w:tcPr>
          <w:p>
            <w:pPr>
              <w:jc w:val="right"/>
              <w:ind w:right="17"/>
              <w:spacing w:after="0"/>
              <w:rPr>
                <w:sz w:val="20"/>
                <w:szCs w:val="20"/>
                <w:color w:val="auto"/>
              </w:rPr>
            </w:pPr>
            <w:r>
              <w:rPr>
                <w:rFonts w:ascii="Arial" w:cs="Arial" w:eastAsia="Arial" w:hAnsi="Arial"/>
                <w:sz w:val="13"/>
                <w:szCs w:val="13"/>
                <w:i w:val="1"/>
                <w:iCs w:val="1"/>
                <w:color w:val="auto"/>
                <w:w w:val="96"/>
              </w:rPr>
              <w:t>(Dollars in thousands)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979,499</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691,091</w:t>
            </w:r>
          </w:p>
        </w:tc>
        <w:tc>
          <w:tcPr>
            <w:tcW w:w="36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607,753</w:t>
            </w:r>
          </w:p>
        </w:tc>
        <w:tc>
          <w:tcPr>
            <w:tcW w:w="420" w:type="dxa"/>
            <w:vAlign w:val="bottom"/>
            <w:gridSpan w:val="3"/>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617,640</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550,105</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1,646,876</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192,583</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24,548</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5,310,095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30,049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43,870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17,398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49,840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164,365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7,382</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2,528</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13,790</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Commercial real</w:t>
            </w:r>
          </w:p>
        </w:tc>
        <w:tc>
          <w:tcPr>
            <w:tcW w:w="200" w:type="dxa"/>
            <w:vAlign w:val="bottom"/>
            <w:vMerge w:val="restart"/>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988,831</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698,744</w:t>
            </w:r>
          </w:p>
        </w:tc>
        <w:tc>
          <w:tcPr>
            <w:tcW w:w="360" w:type="dxa"/>
            <w:vAlign w:val="bottom"/>
            <w:gridSpan w:val="3"/>
            <w:vMerge w:val="restart"/>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639,959</w:t>
            </w:r>
          </w:p>
        </w:tc>
        <w:tc>
          <w:tcPr>
            <w:tcW w:w="420" w:type="dxa"/>
            <w:vAlign w:val="bottom"/>
            <w:gridSpan w:val="3"/>
            <w:vMerge w:val="restart"/>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668,892</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570,031</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1,710,506</w:t>
            </w:r>
          </w:p>
        </w:tc>
        <w:tc>
          <w:tcPr>
            <w:tcW w:w="30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198,663</w:t>
            </w:r>
          </w:p>
        </w:tc>
        <w:tc>
          <w:tcPr>
            <w:tcW w:w="26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25,883</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5,501,509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estate loans:</w:t>
            </w:r>
          </w:p>
        </w:tc>
        <w:tc>
          <w:tcPr>
            <w:tcW w:w="20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60" w:type="dxa"/>
            <w:vAlign w:val="bottom"/>
            <w:gridSpan w:val="3"/>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Construction loans:</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14,511</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9,350</w:t>
            </w:r>
          </w:p>
        </w:tc>
        <w:tc>
          <w:tcPr>
            <w:tcW w:w="36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14,945</w:t>
            </w:r>
          </w:p>
        </w:tc>
        <w:tc>
          <w:tcPr>
            <w:tcW w:w="420" w:type="dxa"/>
            <w:vAlign w:val="bottom"/>
            <w:gridSpan w:val="3"/>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2,258</w:t>
            </w:r>
          </w:p>
        </w:tc>
        <w:tc>
          <w:tcPr>
            <w:tcW w:w="34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44,077</w:t>
            </w:r>
          </w:p>
        </w:tc>
        <w:tc>
          <w:tcPr>
            <w:tcW w:w="260" w:type="dxa"/>
            <w:vAlign w:val="bottom"/>
            <w:gridSpan w:val="3"/>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85,145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Total Construction</w:t>
            </w: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14,511</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9,350</w:t>
            </w:r>
          </w:p>
        </w:tc>
        <w:tc>
          <w:tcPr>
            <w:tcW w:w="360" w:type="dxa"/>
            <w:vAlign w:val="bottom"/>
            <w:gridSpan w:val="3"/>
            <w:vMerge w:val="restart"/>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14,945</w:t>
            </w:r>
          </w:p>
        </w:tc>
        <w:tc>
          <w:tcPr>
            <w:tcW w:w="420" w:type="dxa"/>
            <w:vAlign w:val="bottom"/>
            <w:gridSpan w:val="3"/>
            <w:vMerge w:val="restart"/>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2,258</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300" w:type="dxa"/>
            <w:vAlign w:val="bottom"/>
            <w:gridSpan w:val="3"/>
            <w:vMerge w:val="restart"/>
          </w:tcPr>
          <w:p>
            <w:pPr>
              <w:ind w:left="2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44,077</w:t>
            </w:r>
          </w:p>
        </w:tc>
        <w:tc>
          <w:tcPr>
            <w:tcW w:w="260" w:type="dxa"/>
            <w:vAlign w:val="bottom"/>
            <w:gridSpan w:val="3"/>
            <w:vMerge w:val="restart"/>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85,145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SBA loans:</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47,901</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12,821</w:t>
            </w:r>
          </w:p>
        </w:tc>
        <w:tc>
          <w:tcPr>
            <w:tcW w:w="36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44,950</w:t>
            </w:r>
          </w:p>
        </w:tc>
        <w:tc>
          <w:tcPr>
            <w:tcW w:w="420" w:type="dxa"/>
            <w:vAlign w:val="bottom"/>
            <w:gridSpan w:val="3"/>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58,839</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26,136</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86,085</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279,708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5,446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1,336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5,648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12,430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904</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3,797</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SBA loans: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47,901</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12,821</w:t>
            </w:r>
          </w:p>
        </w:tc>
        <w:tc>
          <w:tcPr>
            <w:tcW w:w="36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45,854</w:t>
            </w:r>
          </w:p>
        </w:tc>
        <w:tc>
          <w:tcPr>
            <w:tcW w:w="420" w:type="dxa"/>
            <w:vAlign w:val="bottom"/>
            <w:gridSpan w:val="3"/>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69,788</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29,026</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95,530</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303,896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20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SBA - PPP loans:</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882,986</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882,986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Total SBA - PPP loans: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882,986</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882,986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Commercial and</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104,478</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168,050</w:t>
            </w:r>
          </w:p>
        </w:tc>
        <w:tc>
          <w:tcPr>
            <w:tcW w:w="36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62,453</w:t>
            </w:r>
          </w:p>
        </w:tc>
        <w:tc>
          <w:tcPr>
            <w:tcW w:w="420" w:type="dxa"/>
            <w:vAlign w:val="bottom"/>
            <w:gridSpan w:val="3"/>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56,043</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32,149</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76,019</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257,250</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6,058</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1,028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4,882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17,395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2,282</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Commercial and</w:t>
            </w:r>
          </w:p>
        </w:tc>
        <w:tc>
          <w:tcPr>
            <w:tcW w:w="200" w:type="dxa"/>
            <w:vAlign w:val="bottom"/>
            <w:vMerge w:val="restart"/>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110,819</w:t>
            </w:r>
          </w:p>
        </w:tc>
        <w:tc>
          <w:tcPr>
            <w:tcW w:w="200" w:type="dxa"/>
            <w:vAlign w:val="bottom"/>
            <w:gridSpan w:val="2"/>
            <w:vMerge w:val="restart"/>
            <w:shd w:val="clear" w:color="auto" w:fill="CFF0FC"/>
          </w:tcPr>
          <w:p>
            <w:pPr>
              <w:spacing w:after="0"/>
              <w:rPr>
                <w:sz w:val="14"/>
                <w:szCs w:val="14"/>
                <w:color w:val="auto"/>
              </w:rPr>
            </w:pP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169,991</w:t>
            </w:r>
          </w:p>
        </w:tc>
        <w:tc>
          <w:tcPr>
            <w:tcW w:w="200" w:type="dxa"/>
            <w:vAlign w:val="bottom"/>
            <w:gridSpan w:val="2"/>
            <w:vMerge w:val="restart"/>
            <w:shd w:val="clear" w:color="auto" w:fill="CFF0FC"/>
          </w:tcPr>
          <w:p>
            <w:pPr>
              <w:spacing w:after="0"/>
              <w:rPr>
                <w:sz w:val="14"/>
                <w:szCs w:val="14"/>
                <w:color w:val="auto"/>
              </w:rPr>
            </w:pPr>
          </w:p>
        </w:tc>
        <w:tc>
          <w:tcPr>
            <w:tcW w:w="160" w:type="dxa"/>
            <w:vAlign w:val="bottom"/>
            <w:vMerge w:val="restart"/>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68,341</w:t>
            </w:r>
          </w:p>
        </w:tc>
        <w:tc>
          <w:tcPr>
            <w:tcW w:w="180" w:type="dxa"/>
            <w:vAlign w:val="bottom"/>
            <w:gridSpan w:val="2"/>
            <w:vMerge w:val="restart"/>
            <w:shd w:val="clear" w:color="auto" w:fill="CFF0FC"/>
          </w:tcPr>
          <w:p>
            <w:pPr>
              <w:spacing w:after="0"/>
              <w:rPr>
                <w:sz w:val="14"/>
                <w:szCs w:val="14"/>
                <w:color w:val="auto"/>
              </w:rPr>
            </w:pPr>
          </w:p>
        </w:tc>
        <w:tc>
          <w:tcPr>
            <w:tcW w:w="240" w:type="dxa"/>
            <w:vAlign w:val="bottom"/>
            <w:vMerge w:val="restart"/>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59,353</w:t>
            </w:r>
          </w:p>
        </w:tc>
        <w:tc>
          <w:tcPr>
            <w:tcW w:w="180" w:type="dxa"/>
            <w:vAlign w:val="bottom"/>
            <w:gridSpan w:val="2"/>
            <w:vMerge w:val="restart"/>
            <w:shd w:val="clear" w:color="auto" w:fill="CFF0FC"/>
          </w:tcPr>
          <w:p>
            <w:pPr>
              <w:spacing w:after="0"/>
              <w:rPr>
                <w:sz w:val="14"/>
                <w:szCs w:val="14"/>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32,529</w:t>
            </w:r>
          </w:p>
        </w:tc>
        <w:tc>
          <w:tcPr>
            <w:tcW w:w="180" w:type="dxa"/>
            <w:vAlign w:val="bottom"/>
            <w:gridSpan w:val="2"/>
            <w:vMerge w:val="restart"/>
            <w:shd w:val="clear" w:color="auto" w:fill="CFF0FC"/>
          </w:tcPr>
          <w:p>
            <w:pPr>
              <w:spacing w:after="0"/>
              <w:rPr>
                <w:sz w:val="14"/>
                <w:szCs w:val="14"/>
                <w:color w:val="auto"/>
              </w:rPr>
            </w:pP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80,995</w:t>
            </w:r>
          </w:p>
        </w:tc>
        <w:tc>
          <w:tcPr>
            <w:tcW w:w="180" w:type="dxa"/>
            <w:vAlign w:val="bottom"/>
            <w:gridSpan w:val="2"/>
            <w:vMerge w:val="restart"/>
            <w:shd w:val="clear" w:color="auto" w:fill="CFF0FC"/>
          </w:tcPr>
          <w:p>
            <w:pPr>
              <w:spacing w:after="0"/>
              <w:rPr>
                <w:sz w:val="14"/>
                <w:szCs w:val="14"/>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281,322</w:t>
            </w:r>
          </w:p>
        </w:tc>
        <w:tc>
          <w:tcPr>
            <w:tcW w:w="160" w:type="dxa"/>
            <w:vAlign w:val="bottom"/>
            <w:gridSpan w:val="2"/>
            <w:vMerge w:val="restart"/>
            <w:shd w:val="clear" w:color="auto" w:fill="CFF0FC"/>
          </w:tcPr>
          <w:p>
            <w:pPr>
              <w:spacing w:after="0"/>
              <w:rPr>
                <w:sz w:val="14"/>
                <w:szCs w:val="14"/>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8,712</w:t>
            </w:r>
          </w:p>
        </w:tc>
        <w:tc>
          <w:tcPr>
            <w:tcW w:w="180" w:type="dxa"/>
            <w:vAlign w:val="bottom"/>
            <w:gridSpan w:val="2"/>
            <w:vMerge w:val="restart"/>
            <w:shd w:val="clear" w:color="auto" w:fill="CFF0FC"/>
          </w:tcPr>
          <w:p>
            <w:pPr>
              <w:spacing w:after="0"/>
              <w:rPr>
                <w:sz w:val="14"/>
                <w:szCs w:val="14"/>
                <w:color w:val="auto"/>
              </w:rPr>
            </w:pP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812,062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-4205605</wp:posOffset>
            </wp:positionV>
            <wp:extent cx="12890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-4205605</wp:posOffset>
            </wp:positionV>
            <wp:extent cx="12890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-4205605</wp:posOffset>
            </wp:positionV>
            <wp:extent cx="11176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-4205605</wp:posOffset>
            </wp:positionV>
            <wp:extent cx="11112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-4205605</wp:posOffset>
            </wp:positionV>
            <wp:extent cx="11112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-4205605</wp:posOffset>
            </wp:positionV>
            <wp:extent cx="1111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-4205605</wp:posOffset>
            </wp:positionV>
            <wp:extent cx="11112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-4205605</wp:posOffset>
            </wp:positionV>
            <wp:extent cx="11112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-4205605</wp:posOffset>
            </wp:positionV>
            <wp:extent cx="685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-3356610</wp:posOffset>
            </wp:positionV>
            <wp:extent cx="12890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-3356610</wp:posOffset>
            </wp:positionV>
            <wp:extent cx="12890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-3356610</wp:posOffset>
            </wp:positionV>
            <wp:extent cx="11176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-3356610</wp:posOffset>
            </wp:positionV>
            <wp:extent cx="11112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-3356610</wp:posOffset>
            </wp:positionV>
            <wp:extent cx="11112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-3356610</wp:posOffset>
            </wp:positionV>
            <wp:extent cx="11112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-3356610</wp:posOffset>
            </wp:positionV>
            <wp:extent cx="11112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-3356610</wp:posOffset>
            </wp:positionV>
            <wp:extent cx="11112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-3356610</wp:posOffset>
            </wp:positionV>
            <wp:extent cx="685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-2156460</wp:posOffset>
            </wp:positionV>
            <wp:extent cx="12890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-2156460</wp:posOffset>
            </wp:positionV>
            <wp:extent cx="12890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-2156460</wp:posOffset>
            </wp:positionV>
            <wp:extent cx="11176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-2156460</wp:posOffset>
            </wp:positionV>
            <wp:extent cx="11112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-2156460</wp:posOffset>
            </wp:positionV>
            <wp:extent cx="11112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-2156460</wp:posOffset>
            </wp:positionV>
            <wp:extent cx="11112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-2156460</wp:posOffset>
            </wp:positionV>
            <wp:extent cx="11112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-2156460</wp:posOffset>
            </wp:positionV>
            <wp:extent cx="11112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-2156460</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-1308100</wp:posOffset>
            </wp:positionV>
            <wp:extent cx="12890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-1308100</wp:posOffset>
            </wp:positionV>
            <wp:extent cx="12890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-1308100</wp:posOffset>
            </wp:positionV>
            <wp:extent cx="11176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-1308100</wp:posOffset>
            </wp:positionV>
            <wp:extent cx="11112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-1308100</wp:posOffset>
            </wp:positionV>
            <wp:extent cx="11112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-1308100</wp:posOffset>
            </wp:positionV>
            <wp:extent cx="11112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-1308100</wp:posOffset>
            </wp:positionV>
            <wp:extent cx="11112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-1308100</wp:posOffset>
            </wp:positionV>
            <wp:extent cx="11112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-1308100</wp:posOffset>
            </wp:positionV>
            <wp:extent cx="685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-5080</wp:posOffset>
            </wp:positionV>
            <wp:extent cx="12890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-5080</wp:posOffset>
            </wp:positionV>
            <wp:extent cx="12890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-5080</wp:posOffset>
            </wp:positionV>
            <wp:extent cx="11176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-5080</wp:posOffset>
            </wp:positionV>
            <wp:extent cx="11112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-5080</wp:posOffset>
            </wp:positionV>
            <wp:extent cx="11112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-5080</wp:posOffset>
            </wp:positionV>
            <wp:extent cx="11112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-5080</wp:posOffset>
            </wp:positionV>
            <wp:extent cx="11112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-5080</wp:posOffset>
            </wp:positionV>
            <wp:extent cx="11112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Origination Year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Revolving loans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Revolving loans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w w:val="84"/>
              </w:rPr>
              <w:t>converted to</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7"/>
              </w:rPr>
              <w:t>cost basis</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term loans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gridSpan w:val="7"/>
          </w:tcPr>
          <w:p>
            <w:pPr>
              <w:jc w:val="right"/>
              <w:ind w:right="17"/>
              <w:spacing w:after="0"/>
              <w:rPr>
                <w:sz w:val="20"/>
                <w:szCs w:val="20"/>
                <w:color w:val="auto"/>
              </w:rPr>
            </w:pPr>
            <w:r>
              <w:rPr>
                <w:rFonts w:ascii="Arial" w:cs="Arial" w:eastAsia="Arial" w:hAnsi="Arial"/>
                <w:sz w:val="13"/>
                <w:szCs w:val="13"/>
                <w:i w:val="1"/>
                <w:iCs w:val="1"/>
                <w:color w:val="auto"/>
                <w:w w:val="96"/>
              </w:rPr>
              <w:t>(Dollars in thousands)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Dairy &amp; livestock and</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agribusiness loans:</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1,041</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1,765</w:t>
            </w:r>
          </w:p>
        </w:tc>
        <w:tc>
          <w:tcPr>
            <w:tcW w:w="36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w:t>
            </w:r>
          </w:p>
        </w:tc>
        <w:tc>
          <w:tcPr>
            <w:tcW w:w="420" w:type="dxa"/>
            <w:vAlign w:val="bottom"/>
            <w:gridSpan w:val="3"/>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5,680</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319,211</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329,699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13,255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1,511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11,677</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Dairy &amp; livestock</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and agribusiness</w:t>
            </w:r>
          </w:p>
        </w:tc>
        <w:tc>
          <w:tcPr>
            <w:tcW w:w="200" w:type="dxa"/>
            <w:vAlign w:val="bottom"/>
            <w:vMerge w:val="restart"/>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1,919</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1,765</w:t>
            </w:r>
          </w:p>
        </w:tc>
        <w:tc>
          <w:tcPr>
            <w:tcW w:w="360" w:type="dxa"/>
            <w:vAlign w:val="bottom"/>
            <w:gridSpan w:val="3"/>
            <w:vMerge w:val="restart"/>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2,347</w:t>
            </w:r>
          </w:p>
        </w:tc>
        <w:tc>
          <w:tcPr>
            <w:tcW w:w="420" w:type="dxa"/>
            <w:vAlign w:val="bottom"/>
            <w:gridSpan w:val="3"/>
            <w:vMerge w:val="restart"/>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6,373</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2,405</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30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332,466</w:t>
            </w:r>
          </w:p>
        </w:tc>
        <w:tc>
          <w:tcPr>
            <w:tcW w:w="26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13,551</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361,146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60" w:type="dxa"/>
            <w:vAlign w:val="bottom"/>
            <w:gridSpan w:val="3"/>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0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Municipal lease finance</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receivables loans: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8,478</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2,556</w:t>
            </w:r>
          </w:p>
        </w:tc>
        <w:tc>
          <w:tcPr>
            <w:tcW w:w="420" w:type="dxa"/>
            <w:vAlign w:val="bottom"/>
            <w:gridSpan w:val="3"/>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10,249</w:t>
            </w:r>
          </w:p>
        </w:tc>
        <w:tc>
          <w:tcPr>
            <w:tcW w:w="34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3,586</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20,266</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Total Municipal lease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finance receivables</w:t>
            </w: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8,478</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2,556</w:t>
            </w:r>
          </w:p>
        </w:tc>
        <w:tc>
          <w:tcPr>
            <w:tcW w:w="420" w:type="dxa"/>
            <w:vAlign w:val="bottom"/>
            <w:gridSpan w:val="3"/>
            <w:vMerge w:val="restart"/>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10,249</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3,586</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20,678</w:t>
            </w:r>
          </w:p>
        </w:tc>
        <w:tc>
          <w:tcPr>
            <w:tcW w:w="300" w:type="dxa"/>
            <w:vAlign w:val="bottom"/>
            <w:gridSpan w:val="3"/>
            <w:vMerge w:val="restart"/>
          </w:tcPr>
          <w:p>
            <w:pPr>
              <w:ind w:left="2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vMerge w:val="restart"/>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45,547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SFR mortgage loans:</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65,463</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59,596</w:t>
            </w:r>
          </w:p>
        </w:tc>
        <w:tc>
          <w:tcPr>
            <w:tcW w:w="36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29,142</w:t>
            </w:r>
          </w:p>
        </w:tc>
        <w:tc>
          <w:tcPr>
            <w:tcW w:w="420" w:type="dxa"/>
            <w:vAlign w:val="bottom"/>
            <w:gridSpan w:val="3"/>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22,452</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27,192</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62,593</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266,441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2,957</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SFR mortgage</w:t>
            </w:r>
          </w:p>
        </w:tc>
        <w:tc>
          <w:tcPr>
            <w:tcW w:w="200" w:type="dxa"/>
            <w:vAlign w:val="bottom"/>
            <w:vMerge w:val="restart"/>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65,463</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59,596</w:t>
            </w:r>
          </w:p>
        </w:tc>
        <w:tc>
          <w:tcPr>
            <w:tcW w:w="360" w:type="dxa"/>
            <w:vAlign w:val="bottom"/>
            <w:gridSpan w:val="3"/>
            <w:vMerge w:val="restart"/>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29,142</w:t>
            </w:r>
          </w:p>
        </w:tc>
        <w:tc>
          <w:tcPr>
            <w:tcW w:w="420" w:type="dxa"/>
            <w:vAlign w:val="bottom"/>
            <w:gridSpan w:val="3"/>
            <w:vMerge w:val="restart"/>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22,452</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27,421</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66,002</w:t>
            </w:r>
          </w:p>
        </w:tc>
        <w:tc>
          <w:tcPr>
            <w:tcW w:w="30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432</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270,511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60" w:type="dxa"/>
            <w:vAlign w:val="bottom"/>
            <w:gridSpan w:val="3"/>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0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Consumer and other</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8,557</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2,077</w:t>
            </w:r>
          </w:p>
        </w:tc>
        <w:tc>
          <w:tcPr>
            <w:tcW w:w="36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871</w:t>
            </w:r>
          </w:p>
        </w:tc>
        <w:tc>
          <w:tcPr>
            <w:tcW w:w="420" w:type="dxa"/>
            <w:vAlign w:val="bottom"/>
            <w:gridSpan w:val="3"/>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969</w:t>
            </w:r>
          </w:p>
        </w:tc>
        <w:tc>
          <w:tcPr>
            <w:tcW w:w="34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1,586</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961</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67,774</w:t>
            </w:r>
          </w:p>
        </w:tc>
        <w:tc>
          <w:tcPr>
            <w:tcW w:w="260" w:type="dxa"/>
            <w:vAlign w:val="bottom"/>
            <w:gridSpan w:val="3"/>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1,688</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84,483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Total Consumer and</w:t>
            </w: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8,557</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2,077</w:t>
            </w:r>
          </w:p>
        </w:tc>
        <w:tc>
          <w:tcPr>
            <w:tcW w:w="360" w:type="dxa"/>
            <w:vAlign w:val="bottom"/>
            <w:gridSpan w:val="3"/>
            <w:vMerge w:val="restart"/>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871</w:t>
            </w:r>
          </w:p>
        </w:tc>
        <w:tc>
          <w:tcPr>
            <w:tcW w:w="420" w:type="dxa"/>
            <w:vAlign w:val="bottom"/>
            <w:gridSpan w:val="3"/>
            <w:vMerge w:val="restart"/>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969</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1,586</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1,224</w:t>
            </w:r>
          </w:p>
        </w:tc>
        <w:tc>
          <w:tcPr>
            <w:tcW w:w="300" w:type="dxa"/>
            <w:vAlign w:val="bottom"/>
            <w:gridSpan w:val="3"/>
            <w:vMerge w:val="restart"/>
          </w:tcPr>
          <w:p>
            <w:pPr>
              <w:ind w:left="2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68,291</w:t>
            </w:r>
          </w:p>
        </w:tc>
        <w:tc>
          <w:tcPr>
            <w:tcW w:w="260" w:type="dxa"/>
            <w:vAlign w:val="bottom"/>
            <w:gridSpan w:val="3"/>
            <w:vMerge w:val="restart"/>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2,431</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86,006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other loans:</w:t>
            </w: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2,112,914</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944,750</w:t>
            </w:r>
          </w:p>
        </w:tc>
        <w:tc>
          <w:tcPr>
            <w:tcW w:w="36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763,869</w:t>
            </w:r>
          </w:p>
        </w:tc>
        <w:tc>
          <w:tcPr>
            <w:tcW w:w="420" w:type="dxa"/>
            <w:vAlign w:val="bottom"/>
            <w:gridSpan w:val="3"/>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774,130</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640,874</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1,893,124</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880,898</w:t>
            </w: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35,633</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8,046,192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12,205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32,305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50,344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18,829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61,325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36,887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3,659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223,797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15,860</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6,881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20,810</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14,693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78,819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2,129,465</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954,344</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804,015</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840,334</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666,584</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1,975,259</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924,822</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53,985</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8,348,808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-4522470</wp:posOffset>
            </wp:positionV>
            <wp:extent cx="12890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-4522470</wp:posOffset>
            </wp:positionV>
            <wp:extent cx="12890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-4522470</wp:posOffset>
            </wp:positionV>
            <wp:extent cx="11176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-4522470</wp:posOffset>
            </wp:positionV>
            <wp:extent cx="11112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-4522470</wp:posOffset>
            </wp:positionV>
            <wp:extent cx="11112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-4522470</wp:posOffset>
            </wp:positionV>
            <wp:extent cx="11112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-4522470</wp:posOffset>
            </wp:positionV>
            <wp:extent cx="11112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-4522470</wp:posOffset>
            </wp:positionV>
            <wp:extent cx="11112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-4522470</wp:posOffset>
            </wp:positionV>
            <wp:extent cx="685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-3571240</wp:posOffset>
            </wp:positionV>
            <wp:extent cx="12890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-3571240</wp:posOffset>
            </wp:positionV>
            <wp:extent cx="12890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-3571240</wp:posOffset>
            </wp:positionV>
            <wp:extent cx="11176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-3571240</wp:posOffset>
            </wp:positionV>
            <wp:extent cx="11112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-3571240</wp:posOffset>
            </wp:positionV>
            <wp:extent cx="111125"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-3571240</wp:posOffset>
            </wp:positionV>
            <wp:extent cx="11112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-3571240</wp:posOffset>
            </wp:positionV>
            <wp:extent cx="11112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-3571240</wp:posOffset>
            </wp:positionV>
            <wp:extent cx="11112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-3571240</wp:posOffset>
            </wp:positionV>
            <wp:extent cx="685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-2173605</wp:posOffset>
            </wp:positionV>
            <wp:extent cx="12890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-2173605</wp:posOffset>
            </wp:positionV>
            <wp:extent cx="12890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-2173605</wp:posOffset>
            </wp:positionV>
            <wp:extent cx="11176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-2173605</wp:posOffset>
            </wp:positionV>
            <wp:extent cx="11112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-2173605</wp:posOffset>
            </wp:positionV>
            <wp:extent cx="111125"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-2173605</wp:posOffset>
            </wp:positionV>
            <wp:extent cx="11112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-2173605</wp:posOffset>
            </wp:positionV>
            <wp:extent cx="11112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-2173605</wp:posOffset>
            </wp:positionV>
            <wp:extent cx="11112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-2173605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-1222375</wp:posOffset>
            </wp:positionV>
            <wp:extent cx="12890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-1222375</wp:posOffset>
            </wp:positionV>
            <wp:extent cx="12890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-1222375</wp:posOffset>
            </wp:positionV>
            <wp:extent cx="11176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-1222375</wp:posOffset>
            </wp:positionV>
            <wp:extent cx="11112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-1222375</wp:posOffset>
            </wp:positionV>
            <wp:extent cx="11112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-1222375</wp:posOffset>
            </wp:positionV>
            <wp:extent cx="11112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-1222375</wp:posOffset>
            </wp:positionV>
            <wp:extent cx="11112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-1222375</wp:posOffset>
            </wp:positionV>
            <wp:extent cx="11112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-24765</wp:posOffset>
            </wp:positionV>
            <wp:extent cx="12890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-7620</wp:posOffset>
            </wp:positionV>
            <wp:extent cx="1289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1289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1289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1117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1117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1111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1111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1111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111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111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1111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1111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1111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1111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1111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("ACL")</w:t>
      </w:r>
    </w:p>
    <w:p>
      <w:pPr>
        <w:spacing w:after="0" w:line="252" w:lineRule="exact"/>
        <w:rPr>
          <w:sz w:val="20"/>
          <w:szCs w:val="20"/>
          <w:color w:val="auto"/>
        </w:rPr>
      </w:pPr>
    </w:p>
    <w:p>
      <w:pPr>
        <w:ind w:right="20" w:firstLine="469"/>
        <w:spacing w:after="0" w:line="299" w:lineRule="auto"/>
        <w:rPr>
          <w:sz w:val="20"/>
          <w:szCs w:val="20"/>
          <w:color w:val="auto"/>
        </w:rPr>
      </w:pPr>
      <w:r>
        <w:rPr>
          <w:rFonts w:ascii="Arial" w:cs="Arial" w:eastAsia="Arial" w:hAnsi="Arial"/>
          <w:sz w:val="16"/>
          <w:szCs w:val="16"/>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Payment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8" w:name="page19"/>
    <w:bookmarkEnd w:id="18"/>
    <w:p>
      <w:pPr>
        <w:jc w:val="both"/>
        <w:ind w:right="40"/>
        <w:spacing w:after="0" w:line="279" w:lineRule="auto"/>
        <w:rPr>
          <w:sz w:val="20"/>
          <w:szCs w:val="20"/>
          <w:color w:val="auto"/>
        </w:rPr>
      </w:pPr>
      <w:r>
        <w:rPr>
          <w:rFonts w:ascii="Arial" w:cs="Arial" w:eastAsia="Arial" w:hAnsi="Arial"/>
          <w:sz w:val="18"/>
          <w:szCs w:val="18"/>
          <w:color w:val="auto"/>
        </w:rPr>
        <w:t xml:space="preserve">portfolio, and expectations for macroeconomic changes. Our methodology for assessing the appropriateness of the allowance is reviewed on a regular basis and considers overall risks in the Bank’s loan portfolio.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contained herein for a more detailed discussion concerning the allowance for credit losses.</w:t>
      </w:r>
    </w:p>
    <w:p>
      <w:pPr>
        <w:spacing w:after="0" w:line="196" w:lineRule="exact"/>
        <w:rPr>
          <w:sz w:val="20"/>
          <w:szCs w:val="20"/>
          <w:color w:val="auto"/>
        </w:rPr>
      </w:pPr>
    </w:p>
    <w:p>
      <w:pPr>
        <w:ind w:right="40" w:firstLine="469"/>
        <w:spacing w:after="0" w:line="285" w:lineRule="auto"/>
        <w:rPr>
          <w:sz w:val="20"/>
          <w:szCs w:val="20"/>
          <w:color w:val="auto"/>
        </w:rPr>
      </w:pPr>
      <w:r>
        <w:rPr>
          <w:rFonts w:ascii="Arial" w:cs="Arial" w:eastAsia="Arial" w:hAnsi="Arial"/>
          <w:sz w:val="17"/>
          <w:szCs w:val="17"/>
          <w:color w:val="auto"/>
        </w:rPr>
        <w:t>Our allowance for credit losses at September 30, 2021 decreased from the prior quarter end by $4.0 million, due to a $4.0 million recapture of provision for credit losses, primarily due to a modest improvement in our economic forecast</w:t>
      </w:r>
      <w:r>
        <w:rPr>
          <w:rFonts w:ascii="Arial" w:cs="Arial" w:eastAsia="Arial" w:hAnsi="Arial"/>
          <w:sz w:val="17"/>
          <w:szCs w:val="17"/>
          <w:color w:val="CC0000"/>
        </w:rPr>
        <w:t>.</w:t>
      </w:r>
      <w:r>
        <w:rPr>
          <w:rFonts w:ascii="Arial" w:cs="Arial" w:eastAsia="Arial" w:hAnsi="Arial"/>
          <w:sz w:val="17"/>
          <w:szCs w:val="17"/>
          <w:color w:val="auto"/>
        </w:rPr>
        <w:t xml:space="preserve"> In comparison, the second quarter of 2021 included $2.0 million in recapture of provision that was also a result of an improving forecast of macroeconomic variables. Based on the magnitude of government economic stimulus and the wide availability of vaccines, our economic forecasts have continued to reflect improvements in key macroeconomic variables, including GDP, the commercial real estate price index and the unemployment rate. As a result, a $25.5 million recapture of provision for credit losses was recorded for the nine months ended September 30, 2021. In comparison, $23.5 million in provision for credit losses was recorded for the nine months ended September 30, 2020 due to the severe economic forecast at that time as a result of the COVID-19 pandemic. Our economic forecast continues to be a blend of multiple forecasts produced by Moody’s. These U.S. economic forecasts include a baseline forecast, as well as upside and downside forecasts. Our weighted forecast at the end of the third quarter of 2021, assumes GDP will increase by 5.7% in 2021 and then grows by more than 2% in both 2022 and 2023. The forecast for the unemployment rate is 5.7% in 2021 and then 5.6% in 2022, before declining to 5.3% in 2023. At September 30, 2021, the allowance for credit losses of $65.4 million was 0.83% of total loans, compared to 1.12% and 1.12% at December 31, 2020 and September 30, 2020, respectively.</w:t>
      </w:r>
    </w:p>
    <w:p>
      <w:pPr>
        <w:spacing w:after="0" w:line="198" w:lineRule="exact"/>
        <w:rPr>
          <w:sz w:val="20"/>
          <w:szCs w:val="20"/>
          <w:color w:val="auto"/>
        </w:rPr>
      </w:pPr>
    </w:p>
    <w:p>
      <w:pPr>
        <w:ind w:right="100" w:firstLine="469"/>
        <w:spacing w:after="0" w:line="275" w:lineRule="auto"/>
        <w:rPr>
          <w:sz w:val="20"/>
          <w:szCs w:val="20"/>
          <w:color w:val="auto"/>
        </w:rPr>
      </w:pPr>
      <w:r>
        <w:rPr>
          <w:rFonts w:ascii="Arial" w:cs="Arial" w:eastAsia="Arial" w:hAnsi="Arial"/>
          <w:sz w:val="18"/>
          <w:szCs w:val="18"/>
          <w:color w:val="auto"/>
        </w:rPr>
        <w:t>Management believes that the ACL was appropriate at September 30, 2021 and December 31, 2020. Due to the degree of uncertainty around the epidemiological assumptions and on-going impact of government responses to the pandemic that impact our economic forecast, no assurance can be given that economic conditions that adversely affect the Company’s service areas or other circumstances will not be reflected in increased provisions for credit losses in the future.</w:t>
      </w:r>
    </w:p>
    <w:p>
      <w:pPr>
        <w:spacing w:after="0" w:line="145" w:lineRule="exact"/>
        <w:rPr>
          <w:sz w:val="20"/>
          <w:szCs w:val="20"/>
          <w:color w:val="auto"/>
        </w:rPr>
      </w:pPr>
    </w:p>
    <w:p>
      <w:pPr>
        <w:ind w:right="200" w:firstLine="464"/>
        <w:spacing w:after="0" w:line="293" w:lineRule="auto"/>
        <w:rPr>
          <w:sz w:val="20"/>
          <w:szCs w:val="20"/>
          <w:color w:val="auto"/>
        </w:rPr>
      </w:pPr>
      <w:r>
        <w:rPr>
          <w:rFonts w:ascii="Arial" w:cs="Arial" w:eastAsia="Arial" w:hAnsi="Arial"/>
          <w:sz w:val="18"/>
          <w:szCs w:val="18"/>
          <w:color w:val="auto"/>
        </w:rPr>
        <w:t>The following tables present the balance and activity related to the allowance for credit losses for held-for-investment loans by type for the periods presented.</w:t>
      </w:r>
    </w:p>
    <w:p>
      <w:pPr>
        <w:spacing w:after="0" w:line="188"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23495</wp:posOffset>
            </wp:positionV>
            <wp:extent cx="53232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35" w:lineRule="exact"/>
        <w:rPr>
          <w:sz w:val="20"/>
          <w:szCs w:val="20"/>
          <w:color w:val="auto"/>
        </w:rPr>
      </w:pPr>
    </w:p>
    <w:tbl>
      <w:tblPr>
        <w:tblLayout w:type="fixed"/>
        <w:tblInd w:w="2740" w:type="dxa"/>
        <w:tblCellMar>
          <w:top w:w="0" w:type="dxa"/>
          <w:left w:w="0" w:type="dxa"/>
          <w:bottom w:w="0" w:type="dxa"/>
          <w:right w:w="0" w:type="dxa"/>
        </w:tblCellMar>
      </w:tblPr>
      <w:tr>
        <w:trPr>
          <w:trHeight w:val="175"/>
        </w:trPr>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(Recapture of)</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Ending Balance June</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Provision for</w:t>
            </w:r>
          </w:p>
        </w:tc>
        <w:tc>
          <w:tcPr>
            <w:tcW w:w="2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Ending Balance</w:t>
            </w:r>
          </w:p>
        </w:tc>
      </w:tr>
      <w:tr>
        <w:trPr>
          <w:trHeight w:val="192"/>
        </w:trPr>
        <w:tc>
          <w:tcPr>
            <w:tcW w:w="14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30, 2021</w:t>
            </w:r>
          </w:p>
        </w:tc>
        <w:tc>
          <w:tcPr>
            <w:tcW w:w="280" w:type="dxa"/>
            <w:vAlign w:val="bottom"/>
          </w:tcPr>
          <w:p>
            <w:pPr>
              <w:spacing w:after="0"/>
              <w:rPr>
                <w:sz w:val="16"/>
                <w:szCs w:val="16"/>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Charge-offs</w:t>
            </w:r>
          </w:p>
        </w:tc>
        <w:tc>
          <w:tcPr>
            <w:tcW w:w="280" w:type="dxa"/>
            <w:vAlign w:val="bottom"/>
          </w:tcPr>
          <w:p>
            <w:pPr>
              <w:spacing w:after="0"/>
              <w:rPr>
                <w:sz w:val="16"/>
                <w:szCs w:val="16"/>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Recoveries</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Credit Losses</w:t>
            </w:r>
          </w:p>
        </w:tc>
        <w:tc>
          <w:tcPr>
            <w:tcW w:w="24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September 30, 2021</w:t>
            </w:r>
          </w:p>
        </w:tc>
      </w:tr>
      <w:tr>
        <w:trPr>
          <w:trHeight w:val="190"/>
        </w:trPr>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289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Commercial real estate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Construction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SBA</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Commercial and industrial</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Dairy &amp; livestock and agribusiness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Municipal lease finance receivables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SFR mortgage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Consumer and other loans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Total allowance for credit losses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55,200</w:t>
            </w:r>
          </w:p>
        </w:tc>
        <w:tc>
          <w:tcPr>
            <w:tcW w:w="96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(2,888 )</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52,312</w:t>
            </w:r>
          </w:p>
        </w:tc>
      </w:tr>
      <w:tr>
        <w:trPr>
          <w:trHeight w:val="203"/>
        </w:trPr>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1,825</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(775 )</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1,061</w:t>
            </w:r>
          </w:p>
        </w:tc>
      </w:tr>
      <w:tr>
        <w:trPr>
          <w:trHeight w:val="203"/>
        </w:trPr>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2,546</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2,927</w:t>
            </w:r>
          </w:p>
        </w:tc>
      </w:tr>
      <w:tr>
        <w:trPr>
          <w:trHeight w:val="203"/>
        </w:trPr>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5,667</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(10 )</w:t>
            </w:r>
          </w:p>
        </w:tc>
        <w:tc>
          <w:tcPr>
            <w:tcW w:w="7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(755 )</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4,908</w:t>
            </w:r>
          </w:p>
        </w:tc>
      </w:tr>
      <w:tr>
        <w:trPr>
          <w:trHeight w:val="203"/>
        </w:trPr>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2,775</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3,166</w:t>
            </w:r>
          </w:p>
        </w:tc>
      </w:tr>
      <w:tr>
        <w:trPr>
          <w:trHeight w:val="203"/>
        </w:trPr>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03"/>
        </w:trPr>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(94 )</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208"/>
        </w:trPr>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978</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(1 )</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(273 )</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715</w:t>
            </w:r>
          </w:p>
        </w:tc>
      </w:tr>
      <w:tr>
        <w:trPr>
          <w:trHeight w:val="20"/>
        </w:trPr>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96"/>
        </w:trPr>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69,342</w:t>
            </w:r>
          </w:p>
        </w:tc>
        <w:tc>
          <w:tcPr>
            <w:tcW w:w="280" w:type="dxa"/>
            <w:vAlign w:val="bottom"/>
          </w:tcPr>
          <w:p>
            <w:pPr>
              <w:spacing w:after="0"/>
              <w:rPr>
                <w:sz w:val="17"/>
                <w:szCs w:val="17"/>
                <w:color w:val="auto"/>
              </w:rPr>
            </w:pP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(11 )</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w:t>
            </w:r>
          </w:p>
        </w:tc>
        <w:tc>
          <w:tcPr>
            <w:tcW w:w="8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(4,000 )</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65,364</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-933450</wp:posOffset>
            </wp:positionV>
            <wp:extent cx="7132320" cy="1282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-676910</wp:posOffset>
            </wp:positionV>
            <wp:extent cx="7132320" cy="1289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-419735</wp:posOffset>
            </wp:positionV>
            <wp:extent cx="7132320" cy="1289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-153670</wp:posOffset>
            </wp:positionV>
            <wp:extent cx="7132320"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4"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Three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32320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Provision for</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Ending Balance June</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(Recapture of)</w:t>
            </w:r>
          </w:p>
        </w:tc>
        <w:tc>
          <w:tcPr>
            <w:tcW w:w="2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Ending Balance</w:t>
            </w:r>
          </w:p>
        </w:tc>
      </w:tr>
      <w:tr>
        <w:trPr>
          <w:trHeight w:val="192"/>
        </w:trPr>
        <w:tc>
          <w:tcPr>
            <w:tcW w:w="14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30, 2020</w:t>
            </w:r>
          </w:p>
        </w:tc>
        <w:tc>
          <w:tcPr>
            <w:tcW w:w="280" w:type="dxa"/>
            <w:vAlign w:val="bottom"/>
          </w:tcPr>
          <w:p>
            <w:pPr>
              <w:spacing w:after="0"/>
              <w:rPr>
                <w:sz w:val="16"/>
                <w:szCs w:val="16"/>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Charge-offs</w:t>
            </w:r>
          </w:p>
        </w:tc>
        <w:tc>
          <w:tcPr>
            <w:tcW w:w="280" w:type="dxa"/>
            <w:vAlign w:val="bottom"/>
          </w:tcPr>
          <w:p>
            <w:pPr>
              <w:spacing w:after="0"/>
              <w:rPr>
                <w:sz w:val="16"/>
                <w:szCs w:val="16"/>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Recoveries</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Credit Losses</w:t>
            </w:r>
          </w:p>
        </w:tc>
        <w:tc>
          <w:tcPr>
            <w:tcW w:w="24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September 30, 2020</w:t>
            </w:r>
          </w:p>
        </w:tc>
      </w:tr>
      <w:tr>
        <w:trPr>
          <w:trHeight w:val="190"/>
        </w:trPr>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20" w:lineRule="exact"/>
        <w:rPr>
          <w:sz w:val="20"/>
          <w:szCs w:val="20"/>
          <w:color w:val="auto"/>
        </w:rPr>
      </w:pPr>
    </w:p>
    <w:p>
      <w:pPr>
        <w:sectPr>
          <w:pgSz w:w="11900" w:h="16838" w:orient="portrait"/>
          <w:cols w:equalWidth="0" w:num="2">
            <w:col w:w="2080" w:space="660"/>
            <w:col w:w="8500"/>
          </w:cols>
          <w:pgMar w:left="320" w:top="409"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58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74,928</w:t>
            </w:r>
          </w:p>
        </w:tc>
        <w:tc>
          <w:tcPr>
            <w:tcW w:w="920" w:type="dxa"/>
            <w:vAlign w:val="bottom"/>
            <w:gridSpan w:val="2"/>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(473 )</w:t>
            </w:r>
          </w:p>
        </w:tc>
        <w:tc>
          <w:tcPr>
            <w:tcW w:w="56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74,455</w:t>
            </w:r>
          </w:p>
        </w:tc>
        <w:tc>
          <w:tcPr>
            <w:tcW w:w="100" w:type="dxa"/>
            <w:vAlign w:val="bottom"/>
            <w:shd w:val="clear" w:color="auto" w:fill="CFF0FC"/>
          </w:tcPr>
          <w:p>
            <w:pPr>
              <w:spacing w:after="0"/>
              <w:rPr>
                <w:sz w:val="16"/>
                <w:szCs w:val="16"/>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2,290</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(355 )</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17"/>
                <w:szCs w:val="17"/>
                <w:color w:val="auto"/>
              </w:rPr>
            </w:pPr>
          </w:p>
        </w:tc>
      </w:tr>
      <w:tr>
        <w:trPr>
          <w:trHeight w:val="208"/>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5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(47 )</w:t>
            </w:r>
          </w:p>
        </w:tc>
        <w:tc>
          <w:tcPr>
            <w:tcW w:w="6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(169 )</w:t>
            </w: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3,504</w:t>
            </w:r>
          </w:p>
        </w:tc>
        <w:tc>
          <w:tcPr>
            <w:tcW w:w="100" w:type="dxa"/>
            <w:vAlign w:val="bottom"/>
            <w:shd w:val="clear" w:color="auto" w:fill="CFF0FC"/>
          </w:tcPr>
          <w:p>
            <w:pPr>
              <w:spacing w:after="0"/>
              <w:rPr>
                <w:sz w:val="18"/>
                <w:szCs w:val="18"/>
                <w:color w:val="auto"/>
              </w:rPr>
            </w:pPr>
          </w:p>
        </w:tc>
      </w:tr>
      <w:tr>
        <w:trPr>
          <w:trHeight w:val="197"/>
        </w:trPr>
        <w:tc>
          <w:tcPr>
            <w:tcW w:w="274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7,991</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(161 )</w:t>
            </w: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761</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8,593</w:t>
            </w:r>
          </w:p>
        </w:tc>
        <w:tc>
          <w:tcPr>
            <w:tcW w:w="100" w:type="dxa"/>
            <w:vAlign w:val="bottom"/>
          </w:tcPr>
          <w:p>
            <w:pPr>
              <w:spacing w:after="0"/>
              <w:rPr>
                <w:sz w:val="17"/>
                <w:szCs w:val="17"/>
                <w:color w:val="auto"/>
              </w:rPr>
            </w:pPr>
          </w:p>
        </w:tc>
      </w:tr>
      <w:tr>
        <w:trPr>
          <w:trHeight w:val="208"/>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Dairy &amp; livestock and agribusiness</w:t>
            </w:r>
          </w:p>
        </w:tc>
        <w:tc>
          <w:tcPr>
            <w:tcW w:w="5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3,379</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3,709</w:t>
            </w:r>
          </w:p>
        </w:tc>
        <w:tc>
          <w:tcPr>
            <w:tcW w:w="100" w:type="dxa"/>
            <w:vAlign w:val="bottom"/>
            <w:shd w:val="clear" w:color="auto" w:fill="CFF0FC"/>
          </w:tcPr>
          <w:p>
            <w:pPr>
              <w:spacing w:after="0"/>
              <w:rPr>
                <w:sz w:val="18"/>
                <w:szCs w:val="18"/>
                <w:color w:val="auto"/>
              </w:rPr>
            </w:pPr>
          </w:p>
        </w:tc>
      </w:tr>
      <w:tr>
        <w:trPr>
          <w:trHeight w:val="197"/>
        </w:trPr>
        <w:tc>
          <w:tcPr>
            <w:tcW w:w="2740" w:type="dxa"/>
            <w:vAlign w:val="bottom"/>
          </w:tcPr>
          <w:p>
            <w:pPr>
              <w:ind w:left="20"/>
              <w:spacing w:after="0"/>
              <w:rPr>
                <w:sz w:val="20"/>
                <w:szCs w:val="20"/>
                <w:color w:val="auto"/>
              </w:rPr>
            </w:pPr>
            <w:r>
              <w:rPr>
                <w:rFonts w:ascii="Arial" w:cs="Arial" w:eastAsia="Arial" w:hAnsi="Arial"/>
                <w:sz w:val="14"/>
                <w:szCs w:val="14"/>
                <w:color w:val="auto"/>
              </w:rPr>
              <w:t>Municipal lease finance receivables</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(153 )</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r>
      <w:tr>
        <w:trPr>
          <w:trHeight w:val="208"/>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SFR mortgage</w:t>
            </w:r>
          </w:p>
        </w:tc>
        <w:tc>
          <w:tcPr>
            <w:tcW w:w="5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FF0FC"/>
          </w:tcPr>
          <w:p>
            <w:pPr>
              <w:spacing w:after="0"/>
              <w:rPr>
                <w:sz w:val="18"/>
                <w:szCs w:val="18"/>
                <w:color w:val="auto"/>
              </w:rPr>
            </w:pP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Consumer and other loans</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1,220</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(23 )</w:t>
            </w: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1,284</w:t>
            </w:r>
          </w:p>
        </w:tc>
        <w:tc>
          <w:tcPr>
            <w:tcW w:w="10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allowance for credit losses</w:t>
            </w:r>
          </w:p>
        </w:tc>
        <w:tc>
          <w:tcPr>
            <w:tcW w:w="58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93,983</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(231 )</w:t>
            </w:r>
          </w:p>
        </w:tc>
        <w:tc>
          <w:tcPr>
            <w:tcW w:w="68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900" w:type="dxa"/>
            <w:vAlign w:val="bottom"/>
            <w:gridSpan w:val="2"/>
            <w:shd w:val="clear" w:color="auto" w:fill="CFF0FC"/>
          </w:tcPr>
          <w:p>
            <w:pPr>
              <w:jc w:val="right"/>
              <w:ind w:right="5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93,869</w:t>
            </w:r>
          </w:p>
        </w:tc>
        <w:tc>
          <w:tcPr>
            <w:tcW w:w="100" w:type="dxa"/>
            <w:vAlign w:val="bottom"/>
            <w:shd w:val="clear" w:color="auto" w:fill="CFF0FC"/>
          </w:tcPr>
          <w:p>
            <w:pPr>
              <w:spacing w:after="0"/>
              <w:rPr>
                <w:sz w:val="18"/>
                <w:szCs w:val="18"/>
                <w:color w:val="auto"/>
              </w:rPr>
            </w:pPr>
          </w:p>
        </w:tc>
      </w:tr>
      <w:tr>
        <w:trPr>
          <w:trHeight w:val="20"/>
        </w:trPr>
        <w:tc>
          <w:tcPr>
            <w:tcW w:w="27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-25400</wp:posOffset>
            </wp:positionV>
            <wp:extent cx="18034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-8255</wp:posOffset>
            </wp:positionV>
            <wp:extent cx="18034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-25400</wp:posOffset>
            </wp:positionV>
            <wp:extent cx="18034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18034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17145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17145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1625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625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10"/>
          </w:tcPr>
          <w:p>
            <w:pPr>
              <w:jc w:val="center"/>
              <w:ind w:right="28"/>
              <w:spacing w:after="0"/>
              <w:rPr>
                <w:sz w:val="20"/>
                <w:szCs w:val="20"/>
                <w:color w:val="auto"/>
              </w:rPr>
            </w:pPr>
            <w:r>
              <w:rPr>
                <w:rFonts w:ascii="Arial" w:cs="Arial" w:eastAsia="Arial" w:hAnsi="Arial"/>
                <w:sz w:val="14"/>
                <w:szCs w:val="14"/>
                <w:b w:val="1"/>
                <w:bCs w:val="1"/>
                <w:color w:val="auto"/>
                <w:w w:val="93"/>
              </w:rPr>
              <w:t>Nine Months Ended September 30, 2021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(Recapture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Ending Balance</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Provision for</w:t>
            </w:r>
          </w:p>
        </w:tc>
        <w:tc>
          <w:tcPr>
            <w:tcW w:w="100" w:type="dxa"/>
            <w:vAlign w:val="bottom"/>
          </w:tcPr>
          <w:p>
            <w:pPr>
              <w:spacing w:after="0"/>
              <w:rPr>
                <w:sz w:val="15"/>
                <w:szCs w:val="15"/>
                <w:color w:val="auto"/>
              </w:rPr>
            </w:pPr>
          </w:p>
        </w:tc>
        <w:tc>
          <w:tcPr>
            <w:tcW w:w="134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Ending Balance</w:t>
            </w:r>
          </w:p>
        </w:tc>
        <w:tc>
          <w:tcPr>
            <w:tcW w:w="100" w:type="dxa"/>
            <w:vAlign w:val="bottom"/>
          </w:tcPr>
          <w:p>
            <w:pPr>
              <w:spacing w:after="0"/>
              <w:rPr>
                <w:sz w:val="15"/>
                <w:szCs w:val="15"/>
                <w:color w:val="auto"/>
              </w:rPr>
            </w:pPr>
          </w:p>
        </w:tc>
      </w:tr>
      <w:tr>
        <w:trPr>
          <w:trHeight w:val="192"/>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6"/>
                <w:szCs w:val="16"/>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Charge-offs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Recoveries</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Credit Losses</w:t>
            </w:r>
          </w:p>
        </w:tc>
        <w:tc>
          <w:tcPr>
            <w:tcW w:w="100" w:type="dxa"/>
            <w:vAlign w:val="bottom"/>
          </w:tcPr>
          <w:p>
            <w:pPr>
              <w:spacing w:after="0"/>
              <w:rPr>
                <w:sz w:val="16"/>
                <w:szCs w:val="16"/>
                <w:color w:val="auto"/>
              </w:rPr>
            </w:pPr>
          </w:p>
        </w:tc>
        <w:tc>
          <w:tcPr>
            <w:tcW w:w="13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6"/>
                <w:szCs w:val="16"/>
                <w:color w:val="auto"/>
              </w:rPr>
            </w:pPr>
          </w:p>
        </w:tc>
      </w:tr>
      <w:tr>
        <w:trPr>
          <w:trHeight w:val="196"/>
        </w:trPr>
        <w:tc>
          <w:tcPr>
            <w:tcW w:w="27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auto"/>
            </w:tcBorders>
            <w:gridSpan w:val="4"/>
          </w:tcPr>
          <w:p>
            <w:pPr>
              <w:jc w:val="center"/>
              <w:ind w:right="8"/>
              <w:spacing w:after="0"/>
              <w:rPr>
                <w:sz w:val="20"/>
                <w:szCs w:val="20"/>
                <w:color w:val="auto"/>
              </w:rPr>
            </w:pPr>
            <w:r>
              <w:rPr>
                <w:rFonts w:ascii="Arial" w:cs="Arial" w:eastAsia="Arial" w:hAnsi="Arial"/>
                <w:sz w:val="14"/>
                <w:szCs w:val="14"/>
                <w:i w:val="1"/>
                <w:iCs w:val="1"/>
                <w:color w:val="auto"/>
                <w:w w:val="96"/>
              </w:rPr>
              <w:t>(Dollars in thousands)</w:t>
            </w: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2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75,439</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67"/>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FF0FC"/>
            </w:tcBorders>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(23,127 )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52,312</w:t>
            </w:r>
          </w:p>
        </w:tc>
        <w:tc>
          <w:tcPr>
            <w:tcW w:w="100" w:type="dxa"/>
            <w:vAlign w:val="bottom"/>
            <w:shd w:val="clear" w:color="auto" w:fill="CFF0FC"/>
          </w:tcPr>
          <w:p>
            <w:pPr>
              <w:spacing w:after="0"/>
              <w:rPr>
                <w:sz w:val="18"/>
                <w:szCs w:val="18"/>
                <w:color w:val="auto"/>
              </w:rPr>
            </w:pPr>
          </w:p>
        </w:tc>
      </w:tr>
      <w:tr>
        <w:trPr>
          <w:trHeight w:val="197"/>
        </w:trPr>
        <w:tc>
          <w:tcPr>
            <w:tcW w:w="276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1,934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(928 )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17"/>
                <w:szCs w:val="17"/>
                <w:color w:val="auto"/>
              </w:rPr>
            </w:pPr>
          </w:p>
        </w:tc>
      </w:tr>
      <w:tr>
        <w:trPr>
          <w:trHeight w:val="208"/>
        </w:trPr>
        <w:tc>
          <w:tcPr>
            <w:tcW w:w="2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2,992</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(78 )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2,927</w:t>
            </w:r>
          </w:p>
        </w:tc>
        <w:tc>
          <w:tcPr>
            <w:tcW w:w="100" w:type="dxa"/>
            <w:vAlign w:val="bottom"/>
            <w:shd w:val="clear" w:color="auto" w:fill="CFF0FC"/>
          </w:tcPr>
          <w:p>
            <w:pPr>
              <w:spacing w:after="0"/>
              <w:rPr>
                <w:sz w:val="18"/>
                <w:szCs w:val="18"/>
                <w:color w:val="auto"/>
              </w:rPr>
            </w:pPr>
          </w:p>
        </w:tc>
      </w:tr>
      <w:tr>
        <w:trPr>
          <w:trHeight w:val="197"/>
        </w:trPr>
        <w:tc>
          <w:tcPr>
            <w:tcW w:w="276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7,142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(2,985 )</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4,908</w:t>
            </w:r>
          </w:p>
        </w:tc>
        <w:tc>
          <w:tcPr>
            <w:tcW w:w="100" w:type="dxa"/>
            <w:vAlign w:val="bottom"/>
          </w:tcPr>
          <w:p>
            <w:pPr>
              <w:spacing w:after="0"/>
              <w:rPr>
                <w:sz w:val="17"/>
                <w:szCs w:val="17"/>
                <w:color w:val="auto"/>
              </w:rPr>
            </w:pPr>
          </w:p>
        </w:tc>
      </w:tr>
      <w:tr>
        <w:trPr>
          <w:trHeight w:val="208"/>
        </w:trPr>
        <w:tc>
          <w:tcPr>
            <w:tcW w:w="2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Dairy &amp; livestock and agribusiness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3,949</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(783 )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3,166</w:t>
            </w:r>
          </w:p>
        </w:tc>
        <w:tc>
          <w:tcPr>
            <w:tcW w:w="100" w:type="dxa"/>
            <w:vAlign w:val="bottom"/>
            <w:shd w:val="clear" w:color="auto" w:fill="CFF0FC"/>
          </w:tcPr>
          <w:p>
            <w:pPr>
              <w:spacing w:after="0"/>
              <w:rPr>
                <w:sz w:val="18"/>
                <w:szCs w:val="18"/>
                <w:color w:val="auto"/>
              </w:rPr>
            </w:pPr>
          </w:p>
        </w:tc>
      </w:tr>
      <w:tr>
        <w:trPr>
          <w:trHeight w:val="197"/>
        </w:trPr>
        <w:tc>
          <w:tcPr>
            <w:tcW w:w="2760" w:type="dxa"/>
            <w:vAlign w:val="bottom"/>
          </w:tcPr>
          <w:p>
            <w:pPr>
              <w:ind w:left="20"/>
              <w:spacing w:after="0"/>
              <w:rPr>
                <w:sz w:val="20"/>
                <w:szCs w:val="20"/>
                <w:color w:val="auto"/>
              </w:rPr>
            </w:pPr>
            <w:r>
              <w:rPr>
                <w:rFonts w:ascii="Arial" w:cs="Arial" w:eastAsia="Arial" w:hAnsi="Arial"/>
                <w:sz w:val="14"/>
                <w:szCs w:val="14"/>
                <w:color w:val="auto"/>
              </w:rPr>
              <w:t>Municipal lease finance receivables</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r>
      <w:tr>
        <w:trPr>
          <w:trHeight w:val="208"/>
        </w:trPr>
        <w:tc>
          <w:tcPr>
            <w:tcW w:w="2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SFR mortgage</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(256 )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FF0FC"/>
          </w:tcPr>
          <w:p>
            <w:pPr>
              <w:spacing w:after="0"/>
              <w:rPr>
                <w:sz w:val="18"/>
                <w:szCs w:val="18"/>
                <w:color w:val="auto"/>
              </w:rPr>
            </w:pPr>
          </w:p>
        </w:tc>
      </w:tr>
      <w:tr>
        <w:trPr>
          <w:trHeight w:val="203"/>
        </w:trPr>
        <w:tc>
          <w:tcPr>
            <w:tcW w:w="2760" w:type="dxa"/>
            <w:vAlign w:val="bottom"/>
          </w:tcPr>
          <w:p>
            <w:pPr>
              <w:ind w:left="20"/>
              <w:spacing w:after="0"/>
              <w:rPr>
                <w:sz w:val="20"/>
                <w:szCs w:val="20"/>
                <w:color w:val="auto"/>
              </w:rPr>
            </w:pPr>
            <w:r>
              <w:rPr>
                <w:rFonts w:ascii="Arial" w:cs="Arial" w:eastAsia="Arial" w:hAnsi="Arial"/>
                <w:sz w:val="14"/>
                <w:szCs w:val="14"/>
                <w:color w:val="auto"/>
              </w:rPr>
              <w:t>Consumer and other loans</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1,795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90"/>
              </w:rPr>
              <w:t>(11 )</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(1,080 )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17"/>
                <w:szCs w:val="17"/>
                <w:color w:val="auto"/>
              </w:rPr>
            </w:pPr>
          </w:p>
        </w:tc>
      </w:tr>
      <w:tr>
        <w:trPr>
          <w:trHeight w:val="20"/>
        </w:trPr>
        <w:tc>
          <w:tcPr>
            <w:tcW w:w="27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7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93,692</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67"/>
              <w:spacing w:after="0"/>
              <w:rPr>
                <w:sz w:val="20"/>
                <w:szCs w:val="20"/>
                <w:color w:val="auto"/>
              </w:rPr>
            </w:pPr>
            <w:r>
              <w:rPr>
                <w:rFonts w:ascii="Arial" w:cs="Arial" w:eastAsia="Arial" w:hAnsi="Arial"/>
                <w:sz w:val="5"/>
                <w:szCs w:val="5"/>
                <w:color w:val="auto"/>
                <w:w w:val="70"/>
              </w:rPr>
              <w:t>$</w:t>
            </w:r>
          </w:p>
        </w:tc>
        <w:tc>
          <w:tcPr>
            <w:tcW w:w="138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(2,996 )</w:t>
            </w:r>
          </w:p>
        </w:tc>
        <w:tc>
          <w:tcPr>
            <w:tcW w:w="920" w:type="dxa"/>
            <w:vAlign w:val="bottom"/>
            <w:gridSpan w:val="2"/>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600" w:type="dxa"/>
            <w:vAlign w:val="bottom"/>
            <w:tcBorders>
              <w:right w:val="single" w:sz="8" w:color="CFF0FC"/>
            </w:tcBorders>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(25,500 )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65,364</w:t>
            </w:r>
          </w:p>
        </w:tc>
        <w:tc>
          <w:tcPr>
            <w:tcW w:w="100" w:type="dxa"/>
            <w:vAlign w:val="bottom"/>
            <w:shd w:val="clear" w:color="auto" w:fill="CFF0FC"/>
          </w:tcPr>
          <w:p>
            <w:pPr>
              <w:spacing w:after="0"/>
              <w:rPr>
                <w:sz w:val="18"/>
                <w:szCs w:val="18"/>
                <w:color w:val="auto"/>
              </w:rPr>
            </w:pPr>
          </w:p>
        </w:tc>
      </w:tr>
      <w:tr>
        <w:trPr>
          <w:trHeight w:val="20"/>
        </w:trPr>
        <w:tc>
          <w:tcPr>
            <w:tcW w:w="27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3"/>
        </w:trPr>
        <w:tc>
          <w:tcPr>
            <w:tcW w:w="2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jc w:val="center"/>
              <w:ind w:right="8"/>
              <w:spacing w:after="0"/>
              <w:rPr>
                <w:sz w:val="20"/>
                <w:szCs w:val="20"/>
                <w:color w:val="auto"/>
              </w:rPr>
            </w:pPr>
            <w:r>
              <w:rPr>
                <w:rFonts w:ascii="Arial" w:cs="Arial" w:eastAsia="Arial" w:hAnsi="Arial"/>
                <w:sz w:val="14"/>
                <w:szCs w:val="14"/>
                <w:b w:val="1"/>
                <w:bCs w:val="1"/>
                <w:color w:val="auto"/>
                <w:w w:val="92"/>
              </w:rPr>
              <w:t>Nine Months Ended September 30, 2020</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Ending Balance,</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prior to adoption</w:t>
            </w:r>
          </w:p>
        </w:tc>
        <w:tc>
          <w:tcPr>
            <w:tcW w:w="160" w:type="dxa"/>
            <w:vAlign w:val="bottom"/>
          </w:tcPr>
          <w:p>
            <w:pPr>
              <w:spacing w:after="0"/>
              <w:rPr>
                <w:sz w:val="15"/>
                <w:szCs w:val="15"/>
                <w:color w:val="auto"/>
              </w:rPr>
            </w:pPr>
          </w:p>
        </w:tc>
        <w:tc>
          <w:tcPr>
            <w:tcW w:w="104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Impact of</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Provision for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Ending Balance</w:t>
            </w:r>
          </w:p>
        </w:tc>
        <w:tc>
          <w:tcPr>
            <w:tcW w:w="100" w:type="dxa"/>
            <w:vAlign w:val="bottom"/>
          </w:tcPr>
          <w:p>
            <w:pPr>
              <w:spacing w:after="0"/>
              <w:rPr>
                <w:sz w:val="15"/>
                <w:szCs w:val="15"/>
                <w:color w:val="auto"/>
              </w:rPr>
            </w:pPr>
          </w:p>
        </w:tc>
      </w:tr>
      <w:tr>
        <w:trPr>
          <w:trHeight w:val="176"/>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of ASU 2016-13</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Adoption of ASU</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(Recapture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r>
      <w:tr>
        <w:trPr>
          <w:trHeight w:val="192"/>
        </w:trPr>
        <w:tc>
          <w:tcPr>
            <w:tcW w:w="2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December 31, 2019</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4"/>
              </w:rPr>
              <w:t>Charge-offs</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3"/>
              </w:rPr>
              <w:t>Recoveries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Credit Losses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r>
      <w:tr>
        <w:trPr>
          <w:trHeight w:val="196"/>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i w:val="1"/>
                <w:iCs w:val="1"/>
                <w:color w:val="auto"/>
                <w:w w:val="95"/>
              </w:rPr>
              <w:t>(Dollars in thousands)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48,629</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3,547</w:t>
            </w: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22,279</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74,455</w:t>
            </w:r>
          </w:p>
        </w:tc>
        <w:tc>
          <w:tcPr>
            <w:tcW w:w="100" w:type="dxa"/>
            <w:vAlign w:val="bottom"/>
            <w:shd w:val="clear" w:color="auto" w:fill="CFF0FC"/>
          </w:tcPr>
          <w:p>
            <w:pPr>
              <w:spacing w:after="0"/>
              <w:rPr>
                <w:sz w:val="18"/>
                <w:szCs w:val="18"/>
                <w:color w:val="auto"/>
              </w:rPr>
            </w:pPr>
          </w:p>
        </w:tc>
      </w:tr>
      <w:tr>
        <w:trPr>
          <w:trHeight w:val="196"/>
        </w:trPr>
        <w:tc>
          <w:tcPr>
            <w:tcW w:w="276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17"/>
                <w:szCs w:val="17"/>
                <w:color w:val="auto"/>
              </w:rPr>
            </w:pPr>
          </w:p>
        </w:tc>
      </w:tr>
      <w:tr>
        <w:trPr>
          <w:trHeight w:val="209"/>
        </w:trPr>
        <w:tc>
          <w:tcPr>
            <w:tcW w:w="2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1,453</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w:t>
            </w: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(203 )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3,504</w:t>
            </w:r>
          </w:p>
        </w:tc>
        <w:tc>
          <w:tcPr>
            <w:tcW w:w="100" w:type="dxa"/>
            <w:vAlign w:val="bottom"/>
            <w:shd w:val="clear" w:color="auto" w:fill="CFF0FC"/>
          </w:tcPr>
          <w:p>
            <w:pPr>
              <w:spacing w:after="0"/>
              <w:rPr>
                <w:sz w:val="18"/>
                <w:szCs w:val="18"/>
                <w:color w:val="auto"/>
              </w:rPr>
            </w:pPr>
          </w:p>
        </w:tc>
      </w:tr>
      <w:tr>
        <w:trPr>
          <w:trHeight w:val="196"/>
        </w:trPr>
        <w:tc>
          <w:tcPr>
            <w:tcW w:w="276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8,880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(2,442 )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(172 )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2,320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8,593</w:t>
            </w:r>
          </w:p>
        </w:tc>
        <w:tc>
          <w:tcPr>
            <w:tcW w:w="100" w:type="dxa"/>
            <w:vAlign w:val="bottom"/>
          </w:tcPr>
          <w:p>
            <w:pPr>
              <w:spacing w:after="0"/>
              <w:rPr>
                <w:sz w:val="17"/>
                <w:szCs w:val="17"/>
                <w:color w:val="auto"/>
              </w:rPr>
            </w:pPr>
          </w:p>
        </w:tc>
      </w:tr>
      <w:tr>
        <w:trPr>
          <w:trHeight w:val="209"/>
        </w:trPr>
        <w:tc>
          <w:tcPr>
            <w:tcW w:w="2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Dairy &amp; livestock and agribusiness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5,255</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(186 )</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(1,360 )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3,709</w:t>
            </w:r>
          </w:p>
        </w:tc>
        <w:tc>
          <w:tcPr>
            <w:tcW w:w="100" w:type="dxa"/>
            <w:vAlign w:val="bottom"/>
            <w:shd w:val="clear" w:color="auto" w:fill="CFF0FC"/>
          </w:tcPr>
          <w:p>
            <w:pPr>
              <w:spacing w:after="0"/>
              <w:rPr>
                <w:sz w:val="18"/>
                <w:szCs w:val="18"/>
                <w:color w:val="auto"/>
              </w:rPr>
            </w:pPr>
          </w:p>
        </w:tc>
      </w:tr>
      <w:tr>
        <w:trPr>
          <w:trHeight w:val="196"/>
        </w:trPr>
        <w:tc>
          <w:tcPr>
            <w:tcW w:w="2760" w:type="dxa"/>
            <w:vAlign w:val="bottom"/>
          </w:tcPr>
          <w:p>
            <w:pPr>
              <w:ind w:left="20"/>
              <w:spacing w:after="0"/>
              <w:rPr>
                <w:sz w:val="20"/>
                <w:szCs w:val="20"/>
                <w:color w:val="auto"/>
              </w:rPr>
            </w:pPr>
            <w:r>
              <w:rPr>
                <w:rFonts w:ascii="Arial" w:cs="Arial" w:eastAsia="Arial" w:hAnsi="Arial"/>
                <w:sz w:val="14"/>
                <w:szCs w:val="14"/>
                <w:color w:val="auto"/>
              </w:rPr>
              <w:t>Municipal lease finance receivables</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(416 )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r>
      <w:tr>
        <w:trPr>
          <w:trHeight w:val="209"/>
        </w:trPr>
        <w:tc>
          <w:tcPr>
            <w:tcW w:w="2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SFR mortgage</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2,339</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(2,043 )</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206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(265 )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FF0FC"/>
          </w:tcPr>
          <w:p>
            <w:pPr>
              <w:spacing w:after="0"/>
              <w:rPr>
                <w:sz w:val="18"/>
                <w:szCs w:val="18"/>
                <w:color w:val="auto"/>
              </w:rPr>
            </w:pPr>
          </w:p>
        </w:tc>
      </w:tr>
      <w:tr>
        <w:trPr>
          <w:trHeight w:val="202"/>
        </w:trPr>
        <w:tc>
          <w:tcPr>
            <w:tcW w:w="2760" w:type="dxa"/>
            <w:vAlign w:val="bottom"/>
          </w:tcPr>
          <w:p>
            <w:pPr>
              <w:ind w:left="20"/>
              <w:spacing w:after="0"/>
              <w:rPr>
                <w:sz w:val="20"/>
                <w:szCs w:val="20"/>
                <w:color w:val="auto"/>
              </w:rPr>
            </w:pPr>
            <w:r>
              <w:rPr>
                <w:rFonts w:ascii="Arial" w:cs="Arial" w:eastAsia="Arial" w:hAnsi="Arial"/>
                <w:sz w:val="14"/>
                <w:szCs w:val="14"/>
                <w:color w:val="auto"/>
              </w:rPr>
              <w:t>Consumer and other loans</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(109 )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(196 )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1,284</w:t>
            </w:r>
          </w:p>
        </w:tc>
        <w:tc>
          <w:tcPr>
            <w:tcW w:w="100" w:type="dxa"/>
            <w:vAlign w:val="bottom"/>
          </w:tcPr>
          <w:p>
            <w:pPr>
              <w:spacing w:after="0"/>
              <w:rPr>
                <w:sz w:val="17"/>
                <w:szCs w:val="17"/>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7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68,660</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w:t>
            </w: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(484 )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353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23,500</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93,869</w:t>
            </w:r>
          </w:p>
        </w:tc>
        <w:tc>
          <w:tcPr>
            <w:tcW w:w="100" w:type="dxa"/>
            <w:vAlign w:val="bottom"/>
            <w:shd w:val="clear" w:color="auto" w:fill="CFF0FC"/>
          </w:tcPr>
          <w:p>
            <w:pPr>
              <w:spacing w:after="0"/>
              <w:rPr>
                <w:sz w:val="18"/>
                <w:szCs w:val="18"/>
                <w:color w:val="auto"/>
              </w:rPr>
            </w:pPr>
          </w:p>
        </w:tc>
      </w:tr>
      <w:tr>
        <w:trPr>
          <w:trHeight w:val="20"/>
        </w:trPr>
        <w:tc>
          <w:tcPr>
            <w:tcW w:w="2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-2091055</wp:posOffset>
            </wp:positionV>
            <wp:extent cx="1803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-2073910</wp:posOffset>
            </wp:positionV>
            <wp:extent cx="1803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-2091055</wp:posOffset>
            </wp:positionV>
            <wp:extent cx="1803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-2073910</wp:posOffset>
            </wp:positionV>
            <wp:extent cx="1803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-2091055</wp:posOffset>
            </wp:positionV>
            <wp:extent cx="1714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-2073910</wp:posOffset>
            </wp:positionV>
            <wp:extent cx="1714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-2091055</wp:posOffset>
            </wp:positionV>
            <wp:extent cx="1625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-2073910</wp:posOffset>
            </wp:positionV>
            <wp:extent cx="1625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1803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-8255</wp:posOffset>
            </wp:positionV>
            <wp:extent cx="18034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17970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17970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17145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17145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1625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1625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137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1371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ind w:right="120" w:firstLine="464"/>
        <w:spacing w:after="0" w:line="293" w:lineRule="auto"/>
        <w:rPr>
          <w:sz w:val="20"/>
          <w:szCs w:val="20"/>
          <w:color w:val="auto"/>
        </w:rPr>
      </w:pPr>
      <w:r>
        <w:rPr>
          <w:rFonts w:ascii="Arial" w:cs="Arial" w:eastAsia="Arial" w:hAnsi="Arial"/>
          <w:sz w:val="18"/>
          <w:szCs w:val="18"/>
          <w:color w:val="auto"/>
        </w:rPr>
        <w:t>As of September 30, 2021, the remaining outstanding balance of PPP loans was $331.0 million. As these loans are fully guaranteed by the SBA, the ACL does not include an allowance.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Past Due and Nonperforming Loans</w:t>
      </w:r>
    </w:p>
    <w:p>
      <w:pPr>
        <w:spacing w:after="0" w:line="252" w:lineRule="exact"/>
        <w:rPr>
          <w:sz w:val="20"/>
          <w:szCs w:val="20"/>
          <w:color w:val="auto"/>
        </w:rPr>
      </w:pPr>
    </w:p>
    <w:p>
      <w:pPr>
        <w:ind w:right="80" w:firstLine="469"/>
        <w:spacing w:after="0" w:line="269" w:lineRule="auto"/>
        <w:rPr>
          <w:sz w:val="20"/>
          <w:szCs w:val="20"/>
          <w:color w:val="auto"/>
        </w:rPr>
      </w:pPr>
      <w:r>
        <w:rPr>
          <w:rFonts w:ascii="Arial" w:cs="Arial" w:eastAsia="Arial" w:hAnsi="Arial"/>
          <w:sz w:val="18"/>
          <w:szCs w:val="18"/>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included in our Annual Report on Form 10-K for the year ended December 31, 2020, for additional discussion concerning the Bank’s policy for past due and nonperforming loans.</w:t>
      </w:r>
    </w:p>
    <w:p>
      <w:pPr>
        <w:spacing w:after="0" w:line="210" w:lineRule="exact"/>
        <w:rPr>
          <w:sz w:val="20"/>
          <w:szCs w:val="20"/>
          <w:color w:val="auto"/>
        </w:rPr>
      </w:pPr>
    </w:p>
    <w:p>
      <w:pPr>
        <w:ind w:right="380" w:firstLine="464"/>
        <w:spacing w:after="0" w:line="293" w:lineRule="auto"/>
        <w:rPr>
          <w:sz w:val="20"/>
          <w:szCs w:val="20"/>
          <w:color w:val="auto"/>
        </w:rPr>
      </w:pPr>
      <w:r>
        <w:rPr>
          <w:rFonts w:ascii="Arial" w:cs="Arial" w:eastAsia="Arial" w:hAnsi="Arial"/>
          <w:sz w:val="18"/>
          <w:szCs w:val="18"/>
          <w:color w:val="auto"/>
        </w:rPr>
        <w:t>The following table presents the recorded investment in, and the aging of, past due loans (including nonaccrual loans), by type of loans as of the dates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Greater than 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Total Loans and</w:t>
            </w:r>
          </w:p>
        </w:tc>
        <w:tc>
          <w:tcPr>
            <w:tcW w:w="100" w:type="dxa"/>
            <w:vAlign w:val="bottom"/>
          </w:tcPr>
          <w:p>
            <w:pPr>
              <w:spacing w:after="0"/>
              <w:rPr>
                <w:sz w:val="15"/>
                <w:szCs w:val="15"/>
                <w:color w:val="auto"/>
              </w:rPr>
            </w:pPr>
          </w:p>
        </w:tc>
      </w:tr>
      <w:tr>
        <w:trPr>
          <w:trHeight w:val="176"/>
        </w:trPr>
        <w:tc>
          <w:tcPr>
            <w:tcW w:w="304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7"/>
              </w:rPr>
              <w:t>30-59 Days Past</w:t>
            </w:r>
          </w:p>
        </w:tc>
        <w:tc>
          <w:tcPr>
            <w:tcW w:w="22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7"/>
              </w:rPr>
              <w:t>60-89 Days Past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Days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Loans Not Past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Financing</w:t>
            </w:r>
          </w:p>
        </w:tc>
        <w:tc>
          <w:tcPr>
            <w:tcW w:w="100" w:type="dxa"/>
            <w:vAlign w:val="bottom"/>
          </w:tcPr>
          <w:p>
            <w:pPr>
              <w:spacing w:after="0"/>
              <w:rPr>
                <w:sz w:val="15"/>
                <w:szCs w:val="15"/>
                <w:color w:val="auto"/>
              </w:rPr>
            </w:pPr>
          </w:p>
        </w:tc>
      </w:tr>
      <w:tr>
        <w:trPr>
          <w:trHeight w:val="192"/>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Due</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Past Due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Total Past Due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8"/>
              </w:rPr>
              <w:t>Receivables</w:t>
            </w:r>
          </w:p>
        </w:tc>
        <w:tc>
          <w:tcPr>
            <w:tcW w:w="100" w:type="dxa"/>
            <w:vAlign w:val="bottom"/>
          </w:tcPr>
          <w:p>
            <w:pPr>
              <w:spacing w:after="0"/>
              <w:rPr>
                <w:sz w:val="16"/>
                <w:szCs w:val="16"/>
                <w:color w:val="auto"/>
              </w:rPr>
            </w:pPr>
          </w:p>
        </w:tc>
      </w:tr>
      <w:tr>
        <w:trPr>
          <w:trHeight w:val="196"/>
        </w:trPr>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right"/>
              <w:ind w:right="588"/>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0"/>
              <w:spacing w:after="0"/>
              <w:rPr>
                <w:sz w:val="20"/>
                <w:szCs w:val="20"/>
                <w:color w:val="auto"/>
              </w:rPr>
            </w:pPr>
            <w:r>
              <w:rPr>
                <w:rFonts w:ascii="Arial" w:cs="Arial" w:eastAsia="Arial" w:hAnsi="Arial"/>
                <w:sz w:val="14"/>
                <w:szCs w:val="14"/>
                <w:color w:val="auto"/>
              </w:rPr>
              <w:t>Owner occupied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199</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3,641</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3,840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2,115,928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2,119,768</w:t>
            </w: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Non-owner occupied</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3,614,931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3,614,931</w:t>
            </w: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Speculative (1)</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52,856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52,856</w:t>
            </w: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0"/>
              <w:spacing w:after="0"/>
              <w:rPr>
                <w:sz w:val="20"/>
                <w:szCs w:val="20"/>
                <w:color w:val="auto"/>
              </w:rPr>
            </w:pPr>
            <w:r>
              <w:rPr>
                <w:rFonts w:ascii="Arial" w:cs="Arial" w:eastAsia="Arial" w:hAnsi="Arial"/>
                <w:sz w:val="14"/>
                <w:szCs w:val="14"/>
                <w:color w:val="auto"/>
              </w:rPr>
              <w:t>Non-speculative</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24,542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24,542</w:t>
            </w: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306,315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307,533</w:t>
            </w: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color w:val="auto"/>
              </w:rPr>
              <w:t>SBA - PPP</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330,960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330,960</w:t>
            </w: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767,998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769,977</w:t>
            </w: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278,466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279,584</w:t>
            </w: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47,305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47,305</w:t>
            </w:r>
          </w:p>
        </w:tc>
        <w:tc>
          <w:tcPr>
            <w:tcW w:w="100" w:type="dxa"/>
            <w:vAlign w:val="bottom"/>
            <w:shd w:val="clear" w:color="auto" w:fill="CFF0FC"/>
          </w:tcPr>
          <w:p>
            <w:pPr>
              <w:spacing w:after="0"/>
              <w:rPr>
                <w:sz w:val="18"/>
                <w:szCs w:val="18"/>
                <w:color w:val="auto"/>
              </w:rPr>
            </w:pPr>
          </w:p>
        </w:tc>
      </w:tr>
      <w:tr>
        <w:trPr>
          <w:trHeight w:val="196"/>
        </w:trPr>
        <w:tc>
          <w:tcPr>
            <w:tcW w:w="304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231,105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231,323</w:t>
            </w:r>
          </w:p>
        </w:tc>
        <w:tc>
          <w:tcPr>
            <w:tcW w:w="100" w:type="dxa"/>
            <w:vAlign w:val="bottom"/>
          </w:tcPr>
          <w:p>
            <w:pPr>
              <w:spacing w:after="0"/>
              <w:rPr>
                <w:sz w:val="17"/>
                <w:szCs w:val="17"/>
                <w:color w:val="auto"/>
              </w:rPr>
            </w:pPr>
          </w:p>
        </w:tc>
      </w:tr>
      <w:tr>
        <w:trPr>
          <w:trHeight w:val="208"/>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70,553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70,741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3040" w:type="dxa"/>
            <w:vAlign w:val="bottom"/>
          </w:tcPr>
          <w:p>
            <w:pPr>
              <w:ind w:left="300"/>
              <w:spacing w:after="0"/>
              <w:rPr>
                <w:sz w:val="20"/>
                <w:szCs w:val="20"/>
                <w:color w:val="auto"/>
              </w:rPr>
            </w:pPr>
            <w:r>
              <w:rPr>
                <w:rFonts w:ascii="Arial" w:cs="Arial" w:eastAsia="Arial" w:hAnsi="Arial"/>
                <w:sz w:val="14"/>
                <w:szCs w:val="14"/>
                <w:color w:val="auto"/>
              </w:rPr>
              <w:t>Total loans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1,584</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581</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6,396</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8,561</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7,840,959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7,849,520</w:t>
            </w:r>
          </w:p>
        </w:tc>
        <w:tc>
          <w:tcPr>
            <w:tcW w:w="10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-159385</wp:posOffset>
            </wp:positionV>
            <wp:extent cx="14605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-159385</wp:posOffset>
            </wp:positionV>
            <wp:extent cx="145415"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-159385</wp:posOffset>
            </wp:positionV>
            <wp:extent cx="14605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wp:posOffset>
            </wp:positionV>
            <wp:extent cx="128905"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12827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3"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Speculative construction loans are generally for properties where there is no identified buyer or renter.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Greater than 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Total Loans and</w:t>
            </w:r>
          </w:p>
        </w:tc>
        <w:tc>
          <w:tcPr>
            <w:tcW w:w="10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7"/>
              </w:rPr>
              <w:t>30-59 Days Past</w:t>
            </w:r>
          </w:p>
        </w:tc>
        <w:tc>
          <w:tcPr>
            <w:tcW w:w="22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7"/>
              </w:rPr>
              <w:t>60-89 Days Past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Days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Loans Not Past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Financing</w:t>
            </w:r>
          </w:p>
        </w:tc>
        <w:tc>
          <w:tcPr>
            <w:tcW w:w="100" w:type="dxa"/>
            <w:vAlign w:val="bottom"/>
          </w:tcPr>
          <w:p>
            <w:pPr>
              <w:spacing w:after="0"/>
              <w:rPr>
                <w:sz w:val="15"/>
                <w:szCs w:val="15"/>
                <w:color w:val="auto"/>
              </w:rPr>
            </w:pPr>
          </w:p>
        </w:tc>
      </w:tr>
      <w:tr>
        <w:trPr>
          <w:trHeight w:val="192"/>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Due</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Past Due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Total Past Due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8"/>
              </w:rPr>
              <w:t>Receivables</w:t>
            </w:r>
          </w:p>
        </w:tc>
        <w:tc>
          <w:tcPr>
            <w:tcW w:w="100" w:type="dxa"/>
            <w:vAlign w:val="bottom"/>
          </w:tcPr>
          <w:p>
            <w:pPr>
              <w:spacing w:after="0"/>
              <w:rPr>
                <w:sz w:val="16"/>
                <w:szCs w:val="16"/>
                <w:color w:val="auto"/>
              </w:rPr>
            </w:pPr>
          </w:p>
        </w:tc>
      </w:tr>
      <w:tr>
        <w:trPr>
          <w:trHeight w:val="196"/>
        </w:trPr>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right"/>
              <w:ind w:right="588"/>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0"/>
              <w:spacing w:after="0"/>
              <w:rPr>
                <w:sz w:val="20"/>
                <w:szCs w:val="20"/>
                <w:color w:val="auto"/>
              </w:rPr>
            </w:pPr>
            <w:r>
              <w:rPr>
                <w:rFonts w:ascii="Arial" w:cs="Arial" w:eastAsia="Arial" w:hAnsi="Arial"/>
                <w:sz w:val="14"/>
                <w:szCs w:val="14"/>
                <w:color w:val="auto"/>
              </w:rPr>
              <w:t>Owner occupied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7,208</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7,208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2,136,051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2,143,259</w:t>
            </w: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Non-owner occupied</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3,358,250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3,358,250</w:t>
            </w: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Speculative (1)</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72,126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72,126</w:t>
            </w: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0"/>
              <w:spacing w:after="0"/>
              <w:rPr>
                <w:sz w:val="20"/>
                <w:szCs w:val="20"/>
                <w:color w:val="auto"/>
              </w:rPr>
            </w:pPr>
            <w:r>
              <w:rPr>
                <w:rFonts w:ascii="Arial" w:cs="Arial" w:eastAsia="Arial" w:hAnsi="Arial"/>
                <w:sz w:val="14"/>
                <w:szCs w:val="14"/>
                <w:color w:val="auto"/>
              </w:rPr>
              <w:t>Non-speculative</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13,019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13,019</w:t>
            </w: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299,925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303,896</w:t>
            </w: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color w:val="auto"/>
              </w:rPr>
              <w:t>SBA - PPP</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882,986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882,986</w:t>
            </w: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808,305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812,062</w:t>
            </w: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360,362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361,146</w:t>
            </w:r>
          </w:p>
        </w:tc>
        <w:tc>
          <w:tcPr>
            <w:tcW w:w="100" w:type="dxa"/>
            <w:vAlign w:val="bottom"/>
          </w:tcPr>
          <w:p>
            <w:pPr>
              <w:spacing w:after="0"/>
              <w:rPr>
                <w:sz w:val="17"/>
                <w:szCs w:val="17"/>
                <w:color w:val="auto"/>
              </w:rPr>
            </w:pPr>
          </w:p>
        </w:tc>
      </w:tr>
      <w:tr>
        <w:trPr>
          <w:trHeight w:val="208"/>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45,547</w:t>
            </w:r>
          </w:p>
        </w:tc>
        <w:tc>
          <w:tcPr>
            <w:tcW w:w="100" w:type="dxa"/>
            <w:vAlign w:val="bottom"/>
            <w:shd w:val="clear" w:color="auto" w:fill="CFF0FC"/>
          </w:tcPr>
          <w:p>
            <w:pPr>
              <w:spacing w:after="0"/>
              <w:rPr>
                <w:sz w:val="18"/>
                <w:szCs w:val="18"/>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270,282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270,511</w:t>
            </w:r>
          </w:p>
        </w:tc>
        <w:tc>
          <w:tcPr>
            <w:tcW w:w="100" w:type="dxa"/>
            <w:vAlign w:val="bottom"/>
          </w:tcPr>
          <w:p>
            <w:pPr>
              <w:spacing w:after="0"/>
              <w:rPr>
                <w:sz w:val="17"/>
                <w:szCs w:val="17"/>
                <w:color w:val="auto"/>
              </w:rPr>
            </w:pPr>
          </w:p>
        </w:tc>
      </w:tr>
      <w:tr>
        <w:trPr>
          <w:trHeight w:val="209"/>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86,006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86,006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3040" w:type="dxa"/>
            <w:vAlign w:val="bottom"/>
          </w:tcPr>
          <w:p>
            <w:pPr>
              <w:ind w:left="300"/>
              <w:spacing w:after="0"/>
              <w:rPr>
                <w:sz w:val="20"/>
                <w:szCs w:val="20"/>
                <w:color w:val="auto"/>
              </w:rPr>
            </w:pPr>
            <w:r>
              <w:rPr>
                <w:rFonts w:ascii="Arial" w:cs="Arial" w:eastAsia="Arial" w:hAnsi="Arial"/>
                <w:sz w:val="14"/>
                <w:szCs w:val="14"/>
                <w:color w:val="auto"/>
              </w:rPr>
              <w:t>Total loans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1,139</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3,226</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11,584</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15,949</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8,332,859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8,348,808</w:t>
            </w:r>
          </w:p>
        </w:tc>
        <w:tc>
          <w:tcPr>
            <w:tcW w:w="10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-159385</wp:posOffset>
            </wp:positionV>
            <wp:extent cx="14605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-159385</wp:posOffset>
            </wp:positionV>
            <wp:extent cx="14541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-159385</wp:posOffset>
            </wp:positionV>
            <wp:extent cx="14605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wp:posOffset>
            </wp:positionV>
            <wp:extent cx="12890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12827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ind w:left="700" w:hanging="318"/>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25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 w:name="page22"/>
    <w:bookmarkEnd w:id="21"/>
    <w:p>
      <w:pPr>
        <w:ind w:right="160" w:firstLine="469"/>
        <w:spacing w:after="0" w:line="293" w:lineRule="auto"/>
        <w:rPr>
          <w:sz w:val="20"/>
          <w:szCs w:val="20"/>
          <w:color w:val="auto"/>
        </w:rPr>
      </w:pPr>
      <w:r>
        <w:rPr>
          <w:rFonts w:ascii="Arial" w:cs="Arial" w:eastAsia="Arial" w:hAnsi="Arial"/>
          <w:sz w:val="18"/>
          <w:szCs w:val="18"/>
          <w:color w:val="auto"/>
        </w:rPr>
        <w:t>Amortized cost of our finance receivables and loans that are on nonaccrual status, including loans with no allowance are presented as of September 30, 2021 and December 31, 2020 by type of loan.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September 30, 2021</w:t>
            </w: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16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Nonaccrual with</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Loans Past Due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616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 Allowance for</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Nonaccrual</w:t>
            </w: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Over 89 Days Still</w:t>
            </w:r>
          </w:p>
        </w:tc>
        <w:tc>
          <w:tcPr>
            <w:tcW w:w="100" w:type="dxa"/>
            <w:vAlign w:val="bottom"/>
          </w:tcPr>
          <w:p>
            <w:pPr>
              <w:spacing w:after="0"/>
              <w:rPr>
                <w:sz w:val="19"/>
                <w:szCs w:val="19"/>
                <w:color w:val="auto"/>
              </w:rPr>
            </w:pPr>
          </w:p>
        </w:tc>
      </w:tr>
      <w:tr>
        <w:trPr>
          <w:trHeight w:val="241"/>
        </w:trPr>
        <w:tc>
          <w:tcPr>
            <w:tcW w:w="6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Credit Losses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Accruing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8"/>
                <w:szCs w:val="18"/>
                <w:i w:val="1"/>
                <w:iCs w:val="1"/>
                <w:color w:val="auto"/>
                <w:w w:val="93"/>
              </w:rPr>
              <w:t>(Dollars in thousands)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0"/>
              <w:spacing w:after="0"/>
              <w:rPr>
                <w:sz w:val="20"/>
                <w:szCs w:val="20"/>
                <w:color w:val="auto"/>
              </w:rPr>
            </w:pPr>
            <w:r>
              <w:rPr>
                <w:rFonts w:ascii="Arial" w:cs="Arial" w:eastAsia="Arial" w:hAnsi="Arial"/>
                <w:sz w:val="18"/>
                <w:szCs w:val="18"/>
                <w:color w:val="auto"/>
              </w:rPr>
              <w:t>Owner occupied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3,521</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4,073</w:t>
            </w:r>
          </w:p>
        </w:tc>
        <w:tc>
          <w:tcPr>
            <w:tcW w:w="2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Non-owner occupied</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Speculative (2)</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0"/>
              <w:spacing w:after="0"/>
              <w:rPr>
                <w:sz w:val="20"/>
                <w:szCs w:val="20"/>
                <w:color w:val="auto"/>
              </w:rPr>
            </w:pPr>
            <w:r>
              <w:rPr>
                <w:rFonts w:ascii="Arial" w:cs="Arial" w:eastAsia="Arial" w:hAnsi="Arial"/>
                <w:sz w:val="18"/>
                <w:szCs w:val="18"/>
                <w:color w:val="auto"/>
              </w:rPr>
              <w:t>Non-speculative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SBA - PPP</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160" w:type="dxa"/>
            <w:vAlign w:val="bottom"/>
          </w:tcPr>
          <w:p>
            <w:pPr>
              <w:ind w:left="300"/>
              <w:spacing w:after="0"/>
              <w:rPr>
                <w:sz w:val="20"/>
                <w:szCs w:val="20"/>
                <w:color w:val="auto"/>
              </w:rPr>
            </w:pPr>
            <w:r>
              <w:rPr>
                <w:rFonts w:ascii="Arial" w:cs="Arial" w:eastAsia="Arial" w:hAnsi="Arial"/>
                <w:sz w:val="18"/>
                <w:szCs w:val="18"/>
                <w:color w:val="auto"/>
              </w:rPr>
              <w:t>Total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5,400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8,446</w:t>
            </w:r>
          </w:p>
        </w:tc>
        <w:tc>
          <w:tcPr>
            <w:tcW w:w="2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-193675</wp:posOffset>
            </wp:positionV>
            <wp:extent cx="19685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-193675</wp:posOffset>
            </wp:positionV>
            <wp:extent cx="17970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3" w:lineRule="exact"/>
        <w:rPr>
          <w:sz w:val="20"/>
          <w:szCs w:val="20"/>
          <w:color w:val="auto"/>
        </w:rPr>
      </w:pPr>
    </w:p>
    <w:p>
      <w:pPr>
        <w:ind w:left="700" w:right="320" w:hanging="318"/>
        <w:spacing w:after="0" w:line="266"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September 30, 2021, $1.0 million of nonaccruing loans were current, $463,000 were 30-59 days past due, $581,000 were 60-89 days past due, and $6.4 million were 90+ days past due.</w:t>
      </w:r>
    </w:p>
    <w:p>
      <w:pPr>
        <w:spacing w:after="0" w:line="1" w:lineRule="exact"/>
        <w:rPr>
          <w:rFonts w:ascii="Arial" w:cs="Arial" w:eastAsia="Arial" w:hAnsi="Arial"/>
          <w:sz w:val="16"/>
          <w:szCs w:val="16"/>
          <w:color w:val="auto"/>
        </w:rPr>
      </w:pPr>
    </w:p>
    <w:p>
      <w:pPr>
        <w:ind w:left="700" w:hanging="318"/>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152"/>
              <w:spacing w:after="0"/>
              <w:rPr>
                <w:sz w:val="20"/>
                <w:szCs w:val="20"/>
                <w:color w:val="auto"/>
              </w:rPr>
            </w:pPr>
            <w:r>
              <w:rPr>
                <w:rFonts w:ascii="Arial" w:cs="Arial" w:eastAsia="Arial" w:hAnsi="Arial"/>
                <w:sz w:val="18"/>
                <w:szCs w:val="18"/>
                <w:b w:val="1"/>
                <w:bCs w:val="1"/>
                <w:color w:val="auto"/>
                <w:w w:val="88"/>
              </w:rPr>
              <w:t>December 31, 2020</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16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Nonaccrual with</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Loans Past Due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16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 Allowance for</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Nonaccrual</w:t>
            </w:r>
          </w:p>
        </w:tc>
        <w:tc>
          <w:tcPr>
            <w:tcW w:w="2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Over 89 Days Still</w:t>
            </w:r>
          </w:p>
        </w:tc>
        <w:tc>
          <w:tcPr>
            <w:tcW w:w="100" w:type="dxa"/>
            <w:vAlign w:val="bottom"/>
          </w:tcPr>
          <w:p>
            <w:pPr>
              <w:spacing w:after="0"/>
              <w:rPr>
                <w:sz w:val="19"/>
                <w:szCs w:val="19"/>
                <w:color w:val="auto"/>
              </w:rPr>
            </w:pPr>
          </w:p>
        </w:tc>
      </w:tr>
      <w:tr>
        <w:trPr>
          <w:trHeight w:val="241"/>
        </w:trPr>
        <w:tc>
          <w:tcPr>
            <w:tcW w:w="6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Credit Losses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 (3)</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Accruing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16"/>
                <w:szCs w:val="16"/>
                <w:i w:val="1"/>
                <w:iCs w:val="1"/>
                <w:color w:val="auto"/>
                <w:w w:val="95"/>
              </w:rPr>
              <w:t>(Dollars in thousands)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3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6160" w:type="dxa"/>
            <w:vAlign w:val="bottom"/>
          </w:tcPr>
          <w:p>
            <w:pPr>
              <w:ind w:left="200"/>
              <w:spacing w:after="0"/>
              <w:rPr>
                <w:sz w:val="20"/>
                <w:szCs w:val="20"/>
                <w:color w:val="auto"/>
              </w:rPr>
            </w:pPr>
            <w:r>
              <w:rPr>
                <w:rFonts w:ascii="Arial" w:cs="Arial" w:eastAsia="Arial" w:hAnsi="Arial"/>
                <w:sz w:val="18"/>
                <w:szCs w:val="18"/>
                <w:color w:val="auto"/>
              </w:rPr>
              <w:t>Owner occupied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7,563</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7,563</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Non-owner occupied</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Speculative (2)</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0"/>
              <w:spacing w:after="0"/>
              <w:rPr>
                <w:sz w:val="20"/>
                <w:szCs w:val="20"/>
                <w:color w:val="auto"/>
              </w:rPr>
            </w:pPr>
            <w:r>
              <w:rPr>
                <w:rFonts w:ascii="Arial" w:cs="Arial" w:eastAsia="Arial" w:hAnsi="Arial"/>
                <w:sz w:val="18"/>
                <w:szCs w:val="18"/>
                <w:color w:val="auto"/>
              </w:rPr>
              <w:t>Non-speculative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SBA - PPP</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785</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160" w:type="dxa"/>
            <w:vAlign w:val="bottom"/>
          </w:tcPr>
          <w:p>
            <w:pPr>
              <w:ind w:left="300"/>
              <w:spacing w:after="0"/>
              <w:rPr>
                <w:sz w:val="20"/>
                <w:szCs w:val="20"/>
                <w:color w:val="auto"/>
              </w:rPr>
            </w:pPr>
            <w:r>
              <w:rPr>
                <w:rFonts w:ascii="Arial" w:cs="Arial" w:eastAsia="Arial" w:hAnsi="Arial"/>
                <w:sz w:val="18"/>
                <w:szCs w:val="18"/>
                <w:color w:val="auto"/>
              </w:rPr>
              <w:t>Total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12,556</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14,347</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-193675</wp:posOffset>
            </wp:positionV>
            <wp:extent cx="19685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-193675</wp:posOffset>
            </wp:positionV>
            <wp:extent cx="17970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ind w:left="700" w:right="260" w:hanging="318"/>
        <w:spacing w:after="0" w:line="266"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December 31, 2020, $1.4 million of nonaccruing loans were current, $2,000 were 30-59 days past due, $1.3 million were 60-89 days past due, and $11.6 million were 90+ days past due.</w:t>
      </w:r>
    </w:p>
    <w:p>
      <w:pPr>
        <w:spacing w:after="0" w:line="1" w:lineRule="exact"/>
        <w:rPr>
          <w:rFonts w:ascii="Arial" w:cs="Arial" w:eastAsia="Arial" w:hAnsi="Arial"/>
          <w:sz w:val="16"/>
          <w:szCs w:val="16"/>
          <w:color w:val="auto"/>
        </w:rPr>
      </w:pPr>
    </w:p>
    <w:p>
      <w:pPr>
        <w:ind w:left="700" w:hanging="318"/>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18" w:lineRule="exact"/>
        <w:rPr>
          <w:rFonts w:ascii="Arial" w:cs="Arial" w:eastAsia="Arial" w:hAnsi="Arial"/>
          <w:sz w:val="16"/>
          <w:szCs w:val="16"/>
          <w:color w:val="auto"/>
        </w:rPr>
      </w:pPr>
    </w:p>
    <w:p>
      <w:pPr>
        <w:ind w:left="700" w:hanging="318"/>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$184,000 of guaranteed portion of nonaccrual SBA loans that are in process of collection.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Collateral Dependent Loans</w:t>
      </w:r>
    </w:p>
    <w:p>
      <w:pPr>
        <w:spacing w:after="0" w:line="252" w:lineRule="exact"/>
        <w:rPr>
          <w:sz w:val="20"/>
          <w:szCs w:val="20"/>
          <w:color w:val="auto"/>
        </w:rPr>
      </w:pPr>
    </w:p>
    <w:p>
      <w:pPr>
        <w:ind w:right="220" w:firstLine="464"/>
        <w:spacing w:after="0" w:line="279" w:lineRule="auto"/>
        <w:rPr>
          <w:sz w:val="20"/>
          <w:szCs w:val="20"/>
          <w:color w:val="auto"/>
        </w:rPr>
      </w:pPr>
      <w:r>
        <w:rPr>
          <w:rFonts w:ascii="Arial" w:cs="Arial" w:eastAsia="Arial" w:hAnsi="Arial"/>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w w:val="93"/>
              </w:rPr>
              <w:t>September 30, 2021</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Loans</w:t>
            </w:r>
          </w:p>
        </w:tc>
        <w:tc>
          <w:tcPr>
            <w:tcW w:w="100" w:type="dxa"/>
            <w:vAlign w:val="bottom"/>
          </w:tcPr>
          <w:p>
            <w:pPr>
              <w:spacing w:after="0"/>
              <w:rPr>
                <w:sz w:val="19"/>
                <w:szCs w:val="19"/>
                <w:color w:val="auto"/>
              </w:rPr>
            </w:pPr>
          </w:p>
        </w:tc>
      </w:tr>
      <w:tr>
        <w:trPr>
          <w:trHeight w:val="202"/>
        </w:trPr>
        <w:tc>
          <w:tcPr>
            <w:tcW w:w="4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Dependent on</w:t>
            </w:r>
          </w:p>
        </w:tc>
        <w:tc>
          <w:tcPr>
            <w:tcW w:w="100" w:type="dxa"/>
            <w:vAlign w:val="bottom"/>
          </w:tcPr>
          <w:p>
            <w:pPr>
              <w:spacing w:after="0"/>
              <w:rPr>
                <w:sz w:val="17"/>
                <w:szCs w:val="17"/>
                <w:color w:val="auto"/>
              </w:rPr>
            </w:pPr>
          </w:p>
        </w:tc>
      </w:tr>
      <w:tr>
        <w:trPr>
          <w:trHeight w:val="223"/>
        </w:trPr>
        <w:tc>
          <w:tcPr>
            <w:tcW w:w="40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Real Estate</w:t>
            </w:r>
          </w:p>
        </w:tc>
        <w:tc>
          <w:tcPr>
            <w:tcW w:w="3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7"/>
              </w:rPr>
              <w:t>Business Assets</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9"/>
                <w:szCs w:val="19"/>
                <w:color w:val="auto"/>
              </w:rPr>
            </w:pPr>
          </w:p>
        </w:tc>
      </w:tr>
      <w:tr>
        <w:trPr>
          <w:trHeight w:val="220"/>
        </w:trPr>
        <w:tc>
          <w:tcPr>
            <w:tcW w:w="4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gridSpan w:val="4"/>
          </w:tcPr>
          <w:p>
            <w:pPr>
              <w:jc w:val="right"/>
              <w:ind w:right="859"/>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1160" w:type="dxa"/>
            <w:vAlign w:val="bottom"/>
            <w:shd w:val="clear" w:color="auto" w:fill="CFF0FC"/>
          </w:tcPr>
          <w:p>
            <w:pPr>
              <w:jc w:val="right"/>
              <w:ind w:right="100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6,705</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11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SBA - PPP</w:t>
            </w: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11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6,088</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11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1,143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r>
      <w:tr>
        <w:trPr>
          <w:trHeight w:val="233"/>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11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040" w:type="dxa"/>
            <w:vAlign w:val="bottom"/>
          </w:tcPr>
          <w:p>
            <w:pPr>
              <w:ind w:left="200"/>
              <w:spacing w:after="0"/>
              <w:rPr>
                <w:sz w:val="20"/>
                <w:szCs w:val="20"/>
                <w:color w:val="auto"/>
              </w:rPr>
            </w:pPr>
            <w:r>
              <w:rPr>
                <w:rFonts w:ascii="Arial" w:cs="Arial" w:eastAsia="Arial" w:hAnsi="Arial"/>
                <w:sz w:val="16"/>
                <w:szCs w:val="16"/>
                <w:color w:val="auto"/>
              </w:rPr>
              <w:t>Total collateral-dependent loans</w:t>
            </w:r>
          </w:p>
        </w:tc>
        <w:tc>
          <w:tcPr>
            <w:tcW w:w="1160" w:type="dxa"/>
            <w:vAlign w:val="bottom"/>
          </w:tcPr>
          <w:p>
            <w:pPr>
              <w:jc w:val="right"/>
              <w:ind w:right="100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9,504</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6,981</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-176530</wp:posOffset>
            </wp:positionV>
            <wp:extent cx="20574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-176530</wp:posOffset>
            </wp:positionV>
            <wp:extent cx="188595"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-176530</wp:posOffset>
            </wp:positionV>
            <wp:extent cx="2057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5"/>
              </w:rPr>
              <w:t>December 31, 2020</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Loans</w:t>
            </w:r>
          </w:p>
        </w:tc>
        <w:tc>
          <w:tcPr>
            <w:tcW w:w="100" w:type="dxa"/>
            <w:vAlign w:val="bottom"/>
          </w:tcPr>
          <w:p>
            <w:pPr>
              <w:spacing w:after="0"/>
              <w:rPr>
                <w:sz w:val="19"/>
                <w:szCs w:val="19"/>
                <w:color w:val="auto"/>
              </w:rPr>
            </w:pPr>
          </w:p>
        </w:tc>
      </w:tr>
      <w:tr>
        <w:trPr>
          <w:trHeight w:val="202"/>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Dependent on</w:t>
            </w:r>
          </w:p>
        </w:tc>
        <w:tc>
          <w:tcPr>
            <w:tcW w:w="100" w:type="dxa"/>
            <w:vAlign w:val="bottom"/>
          </w:tcPr>
          <w:p>
            <w:pPr>
              <w:spacing w:after="0"/>
              <w:rPr>
                <w:sz w:val="17"/>
                <w:szCs w:val="17"/>
                <w:color w:val="auto"/>
              </w:rPr>
            </w:pPr>
          </w:p>
        </w:tc>
      </w:tr>
      <w:tr>
        <w:trPr>
          <w:trHeight w:val="223"/>
        </w:trPr>
        <w:tc>
          <w:tcPr>
            <w:tcW w:w="4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Real Estate</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7"/>
              </w:rPr>
              <w:t>Business Assets</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9"/>
                <w:szCs w:val="19"/>
                <w:color w:val="auto"/>
              </w:rPr>
            </w:pPr>
          </w:p>
        </w:tc>
      </w:tr>
      <w:tr>
        <w:trPr>
          <w:trHeight w:val="220"/>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gridSpan w:val="4"/>
          </w:tcPr>
          <w:p>
            <w:pPr>
              <w:jc w:val="right"/>
              <w:ind w:right="859"/>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7,883</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1,761</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SBA - PPP</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5,542</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r>
      <w:tr>
        <w:trPr>
          <w:trHeight w:val="233"/>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040" w:type="dxa"/>
            <w:vAlign w:val="bottom"/>
          </w:tcPr>
          <w:p>
            <w:pPr>
              <w:ind w:left="200"/>
              <w:spacing w:after="0"/>
              <w:rPr>
                <w:sz w:val="20"/>
                <w:szCs w:val="20"/>
                <w:color w:val="auto"/>
              </w:rPr>
            </w:pPr>
            <w:r>
              <w:rPr>
                <w:rFonts w:ascii="Arial" w:cs="Arial" w:eastAsia="Arial" w:hAnsi="Arial"/>
                <w:sz w:val="16"/>
                <w:szCs w:val="16"/>
                <w:color w:val="auto"/>
              </w:rPr>
              <w:t>Total collateral-dependent loans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10,712</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6,653</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-176530</wp:posOffset>
            </wp:positionV>
            <wp:extent cx="20574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-176530</wp:posOffset>
            </wp:positionV>
            <wp:extent cx="18859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-176530</wp:posOffset>
            </wp:positionV>
            <wp:extent cx="20574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Unfunded Loan Commitments</w:t>
      </w:r>
    </w:p>
    <w:p>
      <w:pPr>
        <w:spacing w:after="0" w:line="252" w:lineRule="exact"/>
        <w:rPr>
          <w:sz w:val="20"/>
          <w:szCs w:val="20"/>
          <w:color w:val="auto"/>
        </w:rPr>
      </w:pPr>
    </w:p>
    <w:p>
      <w:pPr>
        <w:ind w:right="60" w:firstLine="469"/>
        <w:spacing w:after="0" w:line="288" w:lineRule="auto"/>
        <w:rPr>
          <w:sz w:val="20"/>
          <w:szCs w:val="20"/>
          <w:color w:val="auto"/>
        </w:rPr>
      </w:pPr>
      <w:r>
        <w:rPr>
          <w:rFonts w:ascii="Arial" w:cs="Arial" w:eastAsia="Arial" w:hAnsi="Arial"/>
          <w:sz w:val="17"/>
          <w:szCs w:val="17"/>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$8.0 million for the off-balance sheet credit exposures as of September 30, 2021. There was no provision or recapture of provision for unfunded loan commitments for the three months ended September 30, 2021, compared to a $1.0 million recapture of provision for unfunded loan commitments for the three months ended June 30, 2021, and no provision or recapture of provision for unfunded loan commitments for the nine months ended September 30, 2020. As of September 30, 2021 and December 31, 2020, the balance in this reserve was $8.0 million and $9.0 million, respectively, and was included in other liabilities.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Troubled Debt Restructurings (“TDRs”)</w:t>
      </w:r>
    </w:p>
    <w:p>
      <w:pPr>
        <w:spacing w:after="0" w:line="252" w:lineRule="exact"/>
        <w:rPr>
          <w:sz w:val="20"/>
          <w:szCs w:val="20"/>
          <w:color w:val="auto"/>
        </w:rPr>
      </w:pPr>
    </w:p>
    <w:p>
      <w:pPr>
        <w:ind w:right="160" w:firstLine="469"/>
        <w:spacing w:after="0" w:line="275" w:lineRule="auto"/>
        <w:rPr>
          <w:sz w:val="20"/>
          <w:szCs w:val="20"/>
          <w:color w:val="auto"/>
        </w:rPr>
      </w:pPr>
      <w:r>
        <w:rPr>
          <w:rFonts w:ascii="Arial" w:cs="Arial" w:eastAsia="Arial" w:hAnsi="Arial"/>
          <w:sz w:val="18"/>
          <w:szCs w:val="18"/>
          <w:color w:val="auto"/>
        </w:rPr>
        <w:t xml:space="preserve">Loans that are reported as TDRs are considered impaired and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our Annual Report on Form 10-K for the year ended December 31, 2020 for a more detailed discussion regarding TDRs.</w:t>
      </w:r>
    </w:p>
    <w:p>
      <w:pPr>
        <w:spacing w:after="0" w:line="199" w:lineRule="exact"/>
        <w:rPr>
          <w:sz w:val="20"/>
          <w:szCs w:val="20"/>
          <w:color w:val="auto"/>
        </w:rPr>
      </w:pPr>
    </w:p>
    <w:p>
      <w:pPr>
        <w:ind w:right="20" w:firstLine="469"/>
        <w:spacing w:after="0" w:line="272" w:lineRule="auto"/>
        <w:rPr>
          <w:sz w:val="20"/>
          <w:szCs w:val="20"/>
          <w:color w:val="auto"/>
        </w:rPr>
      </w:pPr>
      <w:r>
        <w:rPr>
          <w:rFonts w:ascii="Arial" w:cs="Arial" w:eastAsia="Arial" w:hAnsi="Arial"/>
          <w:sz w:val="18"/>
          <w:szCs w:val="18"/>
          <w:color w:val="auto"/>
        </w:rPr>
        <w:t>As of September 30, 2021, there were $8.0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September 30, 2021, performing TDRs were comprised of three commercial and industrial loans of $4.3 million, two commercial real estate loans of $2.6 million, and five SFR mortgage loans of $1.0 million.</w:t>
      </w:r>
    </w:p>
    <w:p>
      <w:pPr>
        <w:spacing w:after="0" w:line="204" w:lineRule="exact"/>
        <w:rPr>
          <w:sz w:val="20"/>
          <w:szCs w:val="20"/>
          <w:color w:val="auto"/>
        </w:rPr>
      </w:pPr>
    </w:p>
    <w:p>
      <w:pPr>
        <w:ind w:right="380" w:firstLine="469"/>
        <w:spacing w:after="0" w:line="293" w:lineRule="auto"/>
        <w:rPr>
          <w:sz w:val="20"/>
          <w:szCs w:val="20"/>
          <w:color w:val="auto"/>
        </w:rPr>
      </w:pPr>
      <w:r>
        <w:rPr>
          <w:rFonts w:ascii="Arial" w:cs="Arial" w:eastAsia="Arial" w:hAnsi="Arial"/>
          <w:sz w:val="18"/>
          <w:szCs w:val="18"/>
          <w:color w:val="auto"/>
        </w:rPr>
        <w:t>The majority of TDRs have no specific allowance allocated as any impairment amount is normally charged off at the time the loan is considered uncollectible. We have no allocated allowance to TDRs as of September 30, 2021 and December 31, 2020.</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summary of the activity related to TDRs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8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w w:val="99"/>
              </w:rPr>
              <w:t>2020</w:t>
            </w:r>
          </w:p>
        </w:tc>
        <w:tc>
          <w:tcPr>
            <w:tcW w:w="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1"/>
                <w:szCs w:val="21"/>
                <w:color w:val="auto"/>
              </w:rPr>
            </w:pPr>
          </w:p>
        </w:tc>
      </w:tr>
      <w:tr>
        <w:trPr>
          <w:trHeight w:val="247"/>
        </w:trPr>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6"/>
                <w:szCs w:val="16"/>
                <w:i w:val="1"/>
                <w:iCs w:val="1"/>
                <w:color w:val="auto"/>
              </w:rPr>
              <w:t>(Dollars in thousands)</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Performing TDRs:</w:t>
            </w:r>
          </w:p>
        </w:tc>
        <w:tc>
          <w:tcPr>
            <w:tcW w:w="30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4680" w:type="dxa"/>
            <w:vAlign w:val="bottom"/>
          </w:tcPr>
          <w:p>
            <w:pPr>
              <w:ind w:left="20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8,215</w:t>
            </w:r>
          </w:p>
        </w:tc>
        <w:tc>
          <w:tcPr>
            <w:tcW w:w="3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2,771</w:t>
            </w:r>
          </w:p>
        </w:tc>
        <w:tc>
          <w:tcPr>
            <w:tcW w:w="4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2,159</w:t>
            </w:r>
          </w:p>
        </w:tc>
        <w:tc>
          <w:tcPr>
            <w:tcW w:w="28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1"/>
                <w:szCs w:val="21"/>
                <w:color w:val="auto"/>
              </w:rPr>
            </w:pPr>
          </w:p>
        </w:tc>
      </w:tr>
      <w:tr>
        <w:trPr>
          <w:trHeight w:val="263"/>
        </w:trPr>
        <w:tc>
          <w:tcPr>
            <w:tcW w:w="4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New modifications</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680" w:type="dxa"/>
            <w:vAlign w:val="bottom"/>
          </w:tcPr>
          <w:p>
            <w:pPr>
              <w:ind w:left="380"/>
              <w:spacing w:after="0"/>
              <w:rPr>
                <w:sz w:val="20"/>
                <w:szCs w:val="20"/>
                <w:color w:val="auto"/>
              </w:rPr>
            </w:pPr>
            <w:r>
              <w:rPr>
                <w:rFonts w:ascii="Arial" w:cs="Arial" w:eastAsia="Arial" w:hAnsi="Arial"/>
                <w:sz w:val="18"/>
                <w:szCs w:val="18"/>
                <w:color w:val="auto"/>
              </w:rPr>
              <w:t>Payoffs/payments, net and other</w:t>
            </w:r>
          </w:p>
        </w:tc>
        <w:tc>
          <w:tcPr>
            <w:tcW w:w="30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(240 )</w:t>
            </w:r>
          </w:p>
        </w:tc>
        <w:tc>
          <w:tcPr>
            <w:tcW w:w="4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(554 )</w:t>
            </w:r>
          </w:p>
        </w:tc>
        <w:tc>
          <w:tcPr>
            <w:tcW w:w="3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(1,280 )</w:t>
            </w:r>
          </w:p>
        </w:tc>
        <w:tc>
          <w:tcPr>
            <w:tcW w:w="4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(895 )</w:t>
            </w:r>
          </w:p>
        </w:tc>
      </w:tr>
      <w:tr>
        <w:trPr>
          <w:trHeight w:val="263"/>
        </w:trPr>
        <w:tc>
          <w:tcPr>
            <w:tcW w:w="4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TDRs returned to accrual status</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7"/>
        </w:trPr>
        <w:tc>
          <w:tcPr>
            <w:tcW w:w="4680" w:type="dxa"/>
            <w:vAlign w:val="bottom"/>
          </w:tcPr>
          <w:p>
            <w:pPr>
              <w:ind w:left="380"/>
              <w:spacing w:after="0"/>
              <w:rPr>
                <w:sz w:val="20"/>
                <w:szCs w:val="20"/>
                <w:color w:val="auto"/>
              </w:rPr>
            </w:pPr>
            <w:r>
              <w:rPr>
                <w:rFonts w:ascii="Arial" w:cs="Arial" w:eastAsia="Arial" w:hAnsi="Arial"/>
                <w:sz w:val="18"/>
                <w:szCs w:val="18"/>
                <w:color w:val="auto"/>
              </w:rPr>
              <w:t>TDRs placed on nonaccrual status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4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7,975</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7,975</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Nonperforming TDRs: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22"/>
                <w:szCs w:val="22"/>
                <w:color w:val="auto"/>
              </w:rPr>
            </w:pPr>
          </w:p>
        </w:tc>
      </w:tr>
      <w:tr>
        <w:trPr>
          <w:trHeight w:val="250"/>
        </w:trPr>
        <w:tc>
          <w:tcPr>
            <w:tcW w:w="4680" w:type="dxa"/>
            <w:vAlign w:val="bottom"/>
          </w:tcPr>
          <w:p>
            <w:pPr>
              <w:ind w:left="380"/>
              <w:spacing w:after="0"/>
              <w:rPr>
                <w:sz w:val="20"/>
                <w:szCs w:val="20"/>
                <w:color w:val="auto"/>
              </w:rPr>
            </w:pPr>
            <w:r>
              <w:rPr>
                <w:rFonts w:ascii="Arial" w:cs="Arial" w:eastAsia="Arial" w:hAnsi="Arial"/>
                <w:sz w:val="18"/>
                <w:szCs w:val="18"/>
                <w:color w:val="auto"/>
              </w:rPr>
              <w:t>New modifications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Charge-offs</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680" w:type="dxa"/>
            <w:vAlign w:val="bottom"/>
          </w:tcPr>
          <w:p>
            <w:pPr>
              <w:ind w:left="380"/>
              <w:spacing w:after="0"/>
              <w:rPr>
                <w:sz w:val="20"/>
                <w:szCs w:val="20"/>
                <w:color w:val="auto"/>
              </w:rPr>
            </w:pPr>
            <w:r>
              <w:rPr>
                <w:rFonts w:ascii="Arial" w:cs="Arial" w:eastAsia="Arial" w:hAnsi="Arial"/>
                <w:sz w:val="18"/>
                <w:szCs w:val="18"/>
                <w:color w:val="auto"/>
              </w:rPr>
              <w:t>Payoffs/payments, net and other</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(244 )</w:t>
            </w:r>
          </w:p>
        </w:tc>
      </w:tr>
      <w:tr>
        <w:trPr>
          <w:trHeight w:val="263"/>
        </w:trPr>
        <w:tc>
          <w:tcPr>
            <w:tcW w:w="4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TDRs returned to accrual status</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7"/>
        </w:trPr>
        <w:tc>
          <w:tcPr>
            <w:tcW w:w="4680" w:type="dxa"/>
            <w:vAlign w:val="bottom"/>
          </w:tcPr>
          <w:p>
            <w:pPr>
              <w:ind w:left="380"/>
              <w:spacing w:after="0"/>
              <w:rPr>
                <w:sz w:val="20"/>
                <w:szCs w:val="20"/>
                <w:color w:val="auto"/>
              </w:rPr>
            </w:pPr>
            <w:r>
              <w:rPr>
                <w:rFonts w:ascii="Arial" w:cs="Arial" w:eastAsia="Arial" w:hAnsi="Arial"/>
                <w:sz w:val="18"/>
                <w:szCs w:val="18"/>
                <w:color w:val="auto"/>
              </w:rPr>
              <w:t>TDRs placed on nonaccrual status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4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680" w:type="dxa"/>
            <w:vAlign w:val="bottom"/>
          </w:tcPr>
          <w:p>
            <w:pPr>
              <w:ind w:left="660"/>
              <w:spacing w:after="0"/>
              <w:rPr>
                <w:sz w:val="20"/>
                <w:szCs w:val="20"/>
                <w:color w:val="auto"/>
              </w:rPr>
            </w:pPr>
            <w:r>
              <w:rPr>
                <w:rFonts w:ascii="Arial" w:cs="Arial" w:eastAsia="Arial" w:hAnsi="Arial"/>
                <w:sz w:val="18"/>
                <w:szCs w:val="18"/>
                <w:color w:val="auto"/>
              </w:rPr>
              <w:t>Total TDRs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3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4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28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4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-2036445</wp:posOffset>
            </wp:positionV>
            <wp:extent cx="19685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-2036445</wp:posOffset>
            </wp:positionV>
            <wp:extent cx="24828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-2036445</wp:posOffset>
            </wp:positionV>
            <wp:extent cx="17970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-2036445</wp:posOffset>
            </wp:positionV>
            <wp:extent cx="6858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-716280</wp:posOffset>
            </wp:positionV>
            <wp:extent cx="19685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-716280</wp:posOffset>
            </wp:positionV>
            <wp:extent cx="24828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-716280</wp:posOffset>
            </wp:positionV>
            <wp:extent cx="17970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-716280</wp:posOffset>
            </wp:positionV>
            <wp:extent cx="6858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4" w:name="page25"/>
    <w:bookmarkEnd w:id="24"/>
    <w:p>
      <w:pPr>
        <w:ind w:left="480"/>
        <w:spacing w:after="0"/>
        <w:rPr>
          <w:sz w:val="20"/>
          <w:szCs w:val="20"/>
          <w:color w:val="auto"/>
        </w:rPr>
      </w:pPr>
      <w:r>
        <w:rPr>
          <w:rFonts w:ascii="Arial" w:cs="Arial" w:eastAsia="Arial" w:hAnsi="Arial"/>
          <w:sz w:val="18"/>
          <w:szCs w:val="18"/>
          <w:color w:val="auto"/>
        </w:rPr>
        <w:t>The following tables summarize loans modified as TDRs for the period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Modifications (1)</w:t>
      </w:r>
    </w:p>
    <w:p>
      <w:pPr>
        <w:spacing w:after="0" w:line="257"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For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23495</wp:posOffset>
            </wp:positionV>
            <wp:extent cx="525462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5462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Pre-Modification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Post-Modification</w:t>
            </w:r>
          </w:p>
        </w:tc>
        <w:tc>
          <w:tcPr>
            <w:tcW w:w="1680" w:type="dxa"/>
            <w:vAlign w:val="bottom"/>
            <w:gridSpan w:val="5"/>
          </w:tcPr>
          <w:p>
            <w:pPr>
              <w:ind w:left="20"/>
              <w:spacing w:after="0"/>
              <w:rPr>
                <w:sz w:val="20"/>
                <w:szCs w:val="20"/>
                <w:color w:val="auto"/>
              </w:rPr>
            </w:pPr>
            <w:r>
              <w:rPr>
                <w:rFonts w:ascii="Arial" w:cs="Arial" w:eastAsia="Arial" w:hAnsi="Arial"/>
                <w:sz w:val="14"/>
                <w:szCs w:val="14"/>
                <w:b w:val="1"/>
                <w:bCs w:val="1"/>
                <w:color w:val="auto"/>
              </w:rPr>
              <w:t>Outstanding Recorded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Financial Effect</w:t>
            </w:r>
          </w:p>
        </w:tc>
        <w:tc>
          <w:tcPr>
            <w:tcW w:w="100" w:type="dxa"/>
            <w:vAlign w:val="bottom"/>
          </w:tcPr>
          <w:p>
            <w:pPr>
              <w:spacing w:after="0"/>
              <w:rPr>
                <w:sz w:val="15"/>
                <w:szCs w:val="15"/>
                <w:color w:val="auto"/>
              </w:rPr>
            </w:pPr>
          </w:p>
        </w:tc>
      </w:tr>
      <w:tr>
        <w:trPr>
          <w:trHeight w:val="176"/>
        </w:trPr>
        <w:tc>
          <w:tcPr>
            <w:tcW w:w="2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Outstanding Recorded</w:t>
            </w:r>
          </w:p>
        </w:tc>
        <w:tc>
          <w:tcPr>
            <w:tcW w:w="40" w:type="dxa"/>
            <w:vAlign w:val="bottom"/>
          </w:tcPr>
          <w:p>
            <w:pPr>
              <w:spacing w:after="0"/>
              <w:rPr>
                <w:sz w:val="15"/>
                <w:szCs w:val="15"/>
                <w:color w:val="auto"/>
              </w:rPr>
            </w:pPr>
          </w:p>
        </w:tc>
        <w:tc>
          <w:tcPr>
            <w:tcW w:w="18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Outstanding Recorded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Investment at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Resulting From</w:t>
            </w:r>
          </w:p>
        </w:tc>
        <w:tc>
          <w:tcPr>
            <w:tcW w:w="100" w:type="dxa"/>
            <w:vAlign w:val="bottom"/>
          </w:tcPr>
          <w:p>
            <w:pPr>
              <w:spacing w:after="0"/>
              <w:rPr>
                <w:sz w:val="15"/>
                <w:szCs w:val="15"/>
                <w:color w:val="auto"/>
              </w:rPr>
            </w:pPr>
          </w:p>
        </w:tc>
      </w:tr>
      <w:tr>
        <w:trPr>
          <w:trHeight w:val="192"/>
        </w:trPr>
        <w:tc>
          <w:tcPr>
            <w:tcW w:w="28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September 30, 2021</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Modifications (2)</w:t>
            </w:r>
          </w:p>
        </w:tc>
        <w:tc>
          <w:tcPr>
            <w:tcW w:w="100" w:type="dxa"/>
            <w:vAlign w:val="bottom"/>
          </w:tcPr>
          <w:p>
            <w:pPr>
              <w:spacing w:after="0"/>
              <w:rPr>
                <w:sz w:val="16"/>
                <w:szCs w:val="16"/>
                <w:color w:val="auto"/>
              </w:rPr>
            </w:pPr>
          </w:p>
        </w:tc>
      </w:tr>
      <w:tr>
        <w:trPr>
          <w:trHeight w:val="196"/>
        </w:trPr>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ind w:left="220"/>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76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3760" w:type="dxa"/>
            <w:vAlign w:val="bottom"/>
            <w:gridSpan w:val="3"/>
          </w:tcPr>
          <w:p>
            <w:pPr>
              <w:ind w:left="200"/>
              <w:spacing w:after="0"/>
              <w:rPr>
                <w:sz w:val="20"/>
                <w:szCs w:val="20"/>
                <w:color w:val="auto"/>
              </w:rPr>
            </w:pPr>
            <w:r>
              <w:rPr>
                <w:rFonts w:ascii="Arial" w:cs="Arial" w:eastAsia="Arial" w:hAnsi="Arial"/>
                <w:sz w:val="14"/>
                <w:szCs w:val="14"/>
                <w:color w:val="auto"/>
              </w:rPr>
              <w:t>Interest rate reduction</w:t>
            </w:r>
          </w:p>
        </w:tc>
        <w:tc>
          <w:tcPr>
            <w:tcW w:w="100" w:type="dxa"/>
            <w:vAlign w:val="bottom"/>
          </w:tcPr>
          <w:p>
            <w:pPr>
              <w:ind w:left="4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190"/>
        </w:trPr>
        <w:tc>
          <w:tcPr>
            <w:tcW w:w="3760" w:type="dxa"/>
            <w:vAlign w:val="bottom"/>
            <w:gridSpan w:val="3"/>
            <w:shd w:val="clear" w:color="auto" w:fill="CFF0FC"/>
          </w:tcPr>
          <w:p>
            <w:pPr>
              <w:ind w:left="200"/>
              <w:spacing w:after="0"/>
              <w:rPr>
                <w:sz w:val="20"/>
                <w:szCs w:val="20"/>
                <w:color w:val="auto"/>
              </w:rPr>
            </w:pPr>
            <w:r>
              <w:rPr>
                <w:rFonts w:ascii="Arial" w:cs="Arial" w:eastAsia="Arial" w:hAnsi="Arial"/>
                <w:sz w:val="14"/>
                <w:szCs w:val="14"/>
                <w:color w:val="auto"/>
              </w:rPr>
              <w:t>Change in amortization period</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760" w:type="dxa"/>
            <w:vAlign w:val="bottom"/>
            <w:gridSpan w:val="3"/>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100" w:type="dxa"/>
            <w:vAlign w:val="bottom"/>
            <w:shd w:val="clear" w:color="auto" w:fill="CFF0FC"/>
          </w:tcPr>
          <w:p>
            <w:pPr>
              <w:ind w:left="4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r>
      <w:tr>
        <w:trPr>
          <w:trHeight w:val="197"/>
        </w:trPr>
        <w:tc>
          <w:tcPr>
            <w:tcW w:w="3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760" w:type="dxa"/>
            <w:vAlign w:val="bottom"/>
            <w:gridSpan w:val="3"/>
            <w:shd w:val="clear" w:color="auto" w:fill="CFF0FC"/>
          </w:tcPr>
          <w:p>
            <w:pPr>
              <w:ind w:left="200"/>
              <w:spacing w:after="0"/>
              <w:rPr>
                <w:sz w:val="20"/>
                <w:szCs w:val="20"/>
                <w:color w:val="auto"/>
              </w:rPr>
            </w:pPr>
            <w:r>
              <w:rPr>
                <w:rFonts w:ascii="Arial" w:cs="Arial" w:eastAsia="Arial" w:hAnsi="Arial"/>
                <w:sz w:val="14"/>
                <w:szCs w:val="14"/>
                <w:color w:val="auto"/>
              </w:rPr>
              <w:t>Interest rate reduction</w:t>
            </w:r>
          </w:p>
        </w:tc>
        <w:tc>
          <w:tcPr>
            <w:tcW w:w="100" w:type="dxa"/>
            <w:vAlign w:val="bottom"/>
            <w:shd w:val="clear" w:color="auto" w:fill="CFF0FC"/>
          </w:tcPr>
          <w:p>
            <w:pPr>
              <w:ind w:left="4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r>
      <w:tr>
        <w:trPr>
          <w:trHeight w:val="184"/>
        </w:trPr>
        <w:tc>
          <w:tcPr>
            <w:tcW w:w="3760" w:type="dxa"/>
            <w:vAlign w:val="bottom"/>
            <w:gridSpan w:val="3"/>
          </w:tcPr>
          <w:p>
            <w:pPr>
              <w:ind w:left="200"/>
              <w:spacing w:after="0"/>
              <w:rPr>
                <w:sz w:val="20"/>
                <w:szCs w:val="20"/>
                <w:color w:val="auto"/>
              </w:rPr>
            </w:pPr>
            <w:r>
              <w:rPr>
                <w:rFonts w:ascii="Arial" w:cs="Arial" w:eastAsia="Arial" w:hAnsi="Arial"/>
                <w:sz w:val="14"/>
                <w:szCs w:val="14"/>
                <w:color w:val="auto"/>
              </w:rPr>
              <w:t>Change in amortization period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760" w:type="dxa"/>
            <w:vAlign w:val="bottom"/>
            <w:gridSpan w:val="3"/>
          </w:tcPr>
          <w:p>
            <w:pPr>
              <w:ind w:left="300"/>
              <w:spacing w:after="0"/>
              <w:rPr>
                <w:sz w:val="20"/>
                <w:szCs w:val="20"/>
                <w:color w:val="auto"/>
              </w:rPr>
            </w:pPr>
            <w:r>
              <w:rPr>
                <w:rFonts w:ascii="Arial" w:cs="Arial" w:eastAsia="Arial" w:hAnsi="Arial"/>
                <w:sz w:val="14"/>
                <w:szCs w:val="14"/>
                <w:color w:val="auto"/>
              </w:rPr>
              <w:t>or maturity</w:t>
            </w:r>
          </w:p>
        </w:tc>
        <w:tc>
          <w:tcPr>
            <w:tcW w:w="100" w:type="dxa"/>
            <w:vAlign w:val="bottom"/>
          </w:tcPr>
          <w:p>
            <w:pPr>
              <w:ind w:left="4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8"/>
        </w:trPr>
        <w:tc>
          <w:tcPr>
            <w:tcW w:w="376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SFR mortgage:</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3760" w:type="dxa"/>
            <w:vAlign w:val="bottom"/>
            <w:gridSpan w:val="3"/>
          </w:tcPr>
          <w:p>
            <w:pPr>
              <w:ind w:left="200"/>
              <w:spacing w:after="0"/>
              <w:rPr>
                <w:sz w:val="20"/>
                <w:szCs w:val="20"/>
                <w:color w:val="auto"/>
              </w:rPr>
            </w:pPr>
            <w:r>
              <w:rPr>
                <w:rFonts w:ascii="Arial" w:cs="Arial" w:eastAsia="Arial" w:hAnsi="Arial"/>
                <w:sz w:val="14"/>
                <w:szCs w:val="14"/>
                <w:color w:val="auto"/>
              </w:rPr>
              <w:t>Interest rate reduction</w:t>
            </w:r>
          </w:p>
        </w:tc>
        <w:tc>
          <w:tcPr>
            <w:tcW w:w="100" w:type="dxa"/>
            <w:vAlign w:val="bottom"/>
          </w:tcPr>
          <w:p>
            <w:pPr>
              <w:ind w:left="4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190"/>
        </w:trPr>
        <w:tc>
          <w:tcPr>
            <w:tcW w:w="3760" w:type="dxa"/>
            <w:vAlign w:val="bottom"/>
            <w:gridSpan w:val="3"/>
            <w:shd w:val="clear" w:color="auto" w:fill="CFF0FC"/>
          </w:tcPr>
          <w:p>
            <w:pPr>
              <w:ind w:left="200"/>
              <w:spacing w:after="0"/>
              <w:rPr>
                <w:sz w:val="20"/>
                <w:szCs w:val="20"/>
                <w:color w:val="auto"/>
              </w:rPr>
            </w:pPr>
            <w:r>
              <w:rPr>
                <w:rFonts w:ascii="Arial" w:cs="Arial" w:eastAsia="Arial" w:hAnsi="Arial"/>
                <w:sz w:val="14"/>
                <w:szCs w:val="14"/>
                <w:color w:val="auto"/>
              </w:rPr>
              <w:t>Change in amortization period</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8"/>
        </w:trPr>
        <w:tc>
          <w:tcPr>
            <w:tcW w:w="28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900" w:type="dxa"/>
            <w:vAlign w:val="bottom"/>
            <w:tcBorders>
              <w:bottom w:val="single" w:sz="8" w:color="auto"/>
            </w:tcBorders>
            <w:gridSpan w:val="2"/>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r>
      <w:tr>
        <w:trPr>
          <w:trHeight w:val="202"/>
        </w:trPr>
        <w:tc>
          <w:tcPr>
            <w:tcW w:w="2860" w:type="dxa"/>
            <w:vAlign w:val="bottom"/>
          </w:tcPr>
          <w:p>
            <w:pPr>
              <w:ind w:left="740"/>
              <w:spacing w:after="0"/>
              <w:rPr>
                <w:sz w:val="20"/>
                <w:szCs w:val="20"/>
                <w:color w:val="auto"/>
              </w:rPr>
            </w:pPr>
            <w:r>
              <w:rPr>
                <w:rFonts w:ascii="Arial" w:cs="Arial" w:eastAsia="Arial" w:hAnsi="Arial"/>
                <w:sz w:val="14"/>
                <w:szCs w:val="14"/>
                <w:color w:val="auto"/>
              </w:rPr>
              <w:t>Total loans</w:t>
            </w:r>
          </w:p>
        </w:tc>
        <w:tc>
          <w:tcPr>
            <w:tcW w:w="90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3"/>
        </w:trPr>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3"/>
          </w:tcPr>
          <w:p>
            <w:pPr>
              <w:jc w:val="center"/>
              <w:ind w:left="208"/>
              <w:spacing w:after="0"/>
              <w:rPr>
                <w:sz w:val="20"/>
                <w:szCs w:val="20"/>
                <w:color w:val="auto"/>
              </w:rPr>
            </w:pPr>
            <w:r>
              <w:rPr>
                <w:rFonts w:ascii="Arial" w:cs="Arial" w:eastAsia="Arial" w:hAnsi="Arial"/>
                <w:sz w:val="14"/>
                <w:szCs w:val="14"/>
                <w:b w:val="1"/>
                <w:bCs w:val="1"/>
                <w:color w:val="auto"/>
                <w:w w:val="93"/>
              </w:rPr>
              <w:t>For the Nine Months Ended September 30, 2021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2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Pre-Modification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Post-Modification</w:t>
            </w:r>
          </w:p>
        </w:tc>
        <w:tc>
          <w:tcPr>
            <w:tcW w:w="40" w:type="dxa"/>
            <w:vAlign w:val="bottom"/>
          </w:tcPr>
          <w:p>
            <w:pPr>
              <w:spacing w:after="0"/>
              <w:rPr>
                <w:sz w:val="15"/>
                <w:szCs w:val="15"/>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1"/>
              </w:rPr>
              <w:t>Outstanding Recorded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Financial Effect</w:t>
            </w:r>
          </w:p>
        </w:tc>
        <w:tc>
          <w:tcPr>
            <w:tcW w:w="100" w:type="dxa"/>
            <w:vAlign w:val="bottom"/>
          </w:tcPr>
          <w:p>
            <w:pPr>
              <w:spacing w:after="0"/>
              <w:rPr>
                <w:sz w:val="15"/>
                <w:szCs w:val="15"/>
                <w:color w:val="auto"/>
              </w:rPr>
            </w:pPr>
          </w:p>
        </w:tc>
      </w:tr>
      <w:tr>
        <w:trPr>
          <w:trHeight w:val="176"/>
        </w:trPr>
        <w:tc>
          <w:tcPr>
            <w:tcW w:w="2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Outstanding Recorded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Outstanding Recorded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ind w:left="180"/>
              <w:spacing w:after="0"/>
              <w:rPr>
                <w:sz w:val="20"/>
                <w:szCs w:val="20"/>
                <w:color w:val="auto"/>
              </w:rPr>
            </w:pPr>
            <w:r>
              <w:rPr>
                <w:rFonts w:ascii="Arial" w:cs="Arial" w:eastAsia="Arial" w:hAnsi="Arial"/>
                <w:sz w:val="14"/>
                <w:szCs w:val="14"/>
                <w:b w:val="1"/>
                <w:bCs w:val="1"/>
                <w:color w:val="auto"/>
              </w:rPr>
              <w:t>Investment at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Resulting From</w:t>
            </w:r>
          </w:p>
        </w:tc>
        <w:tc>
          <w:tcPr>
            <w:tcW w:w="100" w:type="dxa"/>
            <w:vAlign w:val="bottom"/>
          </w:tcPr>
          <w:p>
            <w:pPr>
              <w:spacing w:after="0"/>
              <w:rPr>
                <w:sz w:val="15"/>
                <w:szCs w:val="15"/>
                <w:color w:val="auto"/>
              </w:rPr>
            </w:pPr>
          </w:p>
        </w:tc>
      </w:tr>
      <w:tr>
        <w:trPr>
          <w:trHeight w:val="192"/>
        </w:trPr>
        <w:tc>
          <w:tcPr>
            <w:tcW w:w="2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3"/>
              </w:rPr>
              <w:t>September 30, 2021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Modifications (2)</w:t>
            </w:r>
          </w:p>
        </w:tc>
        <w:tc>
          <w:tcPr>
            <w:tcW w:w="100" w:type="dxa"/>
            <w:vAlign w:val="bottom"/>
          </w:tcPr>
          <w:p>
            <w:pPr>
              <w:spacing w:after="0"/>
              <w:rPr>
                <w:sz w:val="16"/>
                <w:szCs w:val="16"/>
                <w:color w:val="auto"/>
              </w:rPr>
            </w:pPr>
          </w:p>
        </w:tc>
      </w:tr>
      <w:tr>
        <w:trPr>
          <w:trHeight w:val="196"/>
        </w:trPr>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i w:val="1"/>
                <w:iCs w:val="1"/>
                <w:color w:val="auto"/>
                <w:w w:val="95"/>
              </w:rPr>
              <w:t>(Dollars in thousands)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76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3760" w:type="dxa"/>
            <w:vAlign w:val="bottom"/>
            <w:gridSpan w:val="3"/>
          </w:tcPr>
          <w:p>
            <w:pPr>
              <w:ind w:left="200"/>
              <w:spacing w:after="0"/>
              <w:rPr>
                <w:sz w:val="20"/>
                <w:szCs w:val="20"/>
                <w:color w:val="auto"/>
              </w:rPr>
            </w:pPr>
            <w:r>
              <w:rPr>
                <w:rFonts w:ascii="Arial" w:cs="Arial" w:eastAsia="Arial" w:hAnsi="Arial"/>
                <w:sz w:val="14"/>
                <w:szCs w:val="14"/>
                <w:color w:val="auto"/>
              </w:rPr>
              <w:t>Interest rate reduction</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1</w:t>
            </w:r>
          </w:p>
        </w:tc>
        <w:tc>
          <w:tcPr>
            <w:tcW w:w="2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2,453</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2,453</w:t>
            </w:r>
          </w:p>
        </w:tc>
        <w:tc>
          <w:tcPr>
            <w:tcW w:w="2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2,446</w:t>
            </w:r>
          </w:p>
        </w:tc>
        <w:tc>
          <w:tcPr>
            <w:tcW w:w="20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190"/>
        </w:trPr>
        <w:tc>
          <w:tcPr>
            <w:tcW w:w="3760" w:type="dxa"/>
            <w:vAlign w:val="bottom"/>
            <w:gridSpan w:val="3"/>
            <w:shd w:val="clear" w:color="auto" w:fill="CFF0FC"/>
          </w:tcPr>
          <w:p>
            <w:pPr>
              <w:ind w:left="200"/>
              <w:spacing w:after="0"/>
              <w:rPr>
                <w:sz w:val="20"/>
                <w:szCs w:val="20"/>
                <w:color w:val="auto"/>
              </w:rPr>
            </w:pPr>
            <w:r>
              <w:rPr>
                <w:rFonts w:ascii="Arial" w:cs="Arial" w:eastAsia="Arial" w:hAnsi="Arial"/>
                <w:sz w:val="14"/>
                <w:szCs w:val="14"/>
                <w:color w:val="auto"/>
              </w:rPr>
              <w:t>Change in amortization period</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760" w:type="dxa"/>
            <w:vAlign w:val="bottom"/>
            <w:gridSpan w:val="3"/>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1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r>
      <w:tr>
        <w:trPr>
          <w:trHeight w:val="196"/>
        </w:trPr>
        <w:tc>
          <w:tcPr>
            <w:tcW w:w="3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760" w:type="dxa"/>
            <w:vAlign w:val="bottom"/>
            <w:gridSpan w:val="3"/>
            <w:shd w:val="clear" w:color="auto" w:fill="CFF0FC"/>
          </w:tcPr>
          <w:p>
            <w:pPr>
              <w:ind w:left="200"/>
              <w:spacing w:after="0"/>
              <w:rPr>
                <w:sz w:val="20"/>
                <w:szCs w:val="20"/>
                <w:color w:val="auto"/>
              </w:rPr>
            </w:pPr>
            <w:r>
              <w:rPr>
                <w:rFonts w:ascii="Arial" w:cs="Arial" w:eastAsia="Arial" w:hAnsi="Arial"/>
                <w:sz w:val="14"/>
                <w:szCs w:val="14"/>
                <w:color w:val="auto"/>
              </w:rPr>
              <w:t>Interest rate reduction</w:t>
            </w:r>
          </w:p>
        </w:tc>
        <w:tc>
          <w:tcPr>
            <w:tcW w:w="1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r>
      <w:tr>
        <w:trPr>
          <w:trHeight w:val="184"/>
        </w:trPr>
        <w:tc>
          <w:tcPr>
            <w:tcW w:w="3760" w:type="dxa"/>
            <w:vAlign w:val="bottom"/>
            <w:gridSpan w:val="3"/>
          </w:tcPr>
          <w:p>
            <w:pPr>
              <w:ind w:left="200"/>
              <w:spacing w:after="0"/>
              <w:rPr>
                <w:sz w:val="20"/>
                <w:szCs w:val="20"/>
                <w:color w:val="auto"/>
              </w:rPr>
            </w:pPr>
            <w:r>
              <w:rPr>
                <w:rFonts w:ascii="Arial" w:cs="Arial" w:eastAsia="Arial" w:hAnsi="Arial"/>
                <w:sz w:val="14"/>
                <w:szCs w:val="14"/>
                <w:color w:val="auto"/>
              </w:rPr>
              <w:t>Change in amortization period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760" w:type="dxa"/>
            <w:vAlign w:val="bottom"/>
            <w:gridSpan w:val="3"/>
          </w:tcPr>
          <w:p>
            <w:pPr>
              <w:ind w:left="300"/>
              <w:spacing w:after="0"/>
              <w:rPr>
                <w:sz w:val="20"/>
                <w:szCs w:val="20"/>
                <w:color w:val="auto"/>
              </w:rPr>
            </w:pPr>
            <w:r>
              <w:rPr>
                <w:rFonts w:ascii="Arial" w:cs="Arial" w:eastAsia="Arial" w:hAnsi="Arial"/>
                <w:sz w:val="14"/>
                <w:szCs w:val="14"/>
                <w:color w:val="auto"/>
              </w:rPr>
              <w:t>or maturity</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2</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4,643</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4,643</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4,293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8"/>
        </w:trPr>
        <w:tc>
          <w:tcPr>
            <w:tcW w:w="376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SFR mortgage:</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3760" w:type="dxa"/>
            <w:vAlign w:val="bottom"/>
            <w:gridSpan w:val="3"/>
          </w:tcPr>
          <w:p>
            <w:pPr>
              <w:ind w:left="200"/>
              <w:spacing w:after="0"/>
              <w:rPr>
                <w:sz w:val="20"/>
                <w:szCs w:val="20"/>
                <w:color w:val="auto"/>
              </w:rPr>
            </w:pPr>
            <w:r>
              <w:rPr>
                <w:rFonts w:ascii="Arial" w:cs="Arial" w:eastAsia="Arial" w:hAnsi="Arial"/>
                <w:sz w:val="14"/>
                <w:szCs w:val="14"/>
                <w:color w:val="auto"/>
              </w:rPr>
              <w:t>Interest rate reduction</w:t>
            </w:r>
          </w:p>
        </w:tc>
        <w:tc>
          <w:tcPr>
            <w:tcW w:w="140" w:type="dxa"/>
            <w:vAlign w:val="bottom"/>
            <w:gridSpan w:val="2"/>
          </w:tcPr>
          <w:p>
            <w:pPr>
              <w:ind w:left="80"/>
              <w:spacing w:after="0"/>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190"/>
        </w:trPr>
        <w:tc>
          <w:tcPr>
            <w:tcW w:w="3760" w:type="dxa"/>
            <w:vAlign w:val="bottom"/>
            <w:gridSpan w:val="3"/>
            <w:shd w:val="clear" w:color="auto" w:fill="CFF0FC"/>
          </w:tcPr>
          <w:p>
            <w:pPr>
              <w:ind w:left="200"/>
              <w:spacing w:after="0"/>
              <w:rPr>
                <w:sz w:val="20"/>
                <w:szCs w:val="20"/>
                <w:color w:val="auto"/>
              </w:rPr>
            </w:pPr>
            <w:r>
              <w:rPr>
                <w:rFonts w:ascii="Arial" w:cs="Arial" w:eastAsia="Arial" w:hAnsi="Arial"/>
                <w:sz w:val="14"/>
                <w:szCs w:val="14"/>
                <w:color w:val="auto"/>
              </w:rPr>
              <w:t>Change in amortization period</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8"/>
        </w:trPr>
        <w:tc>
          <w:tcPr>
            <w:tcW w:w="290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86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gridSpan w:val="2"/>
            <w:shd w:val="clear" w:color="auto" w:fill="CFF0FC"/>
          </w:tcPr>
          <w:p>
            <w:pPr>
              <w:ind w:left="80"/>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r>
      <w:tr>
        <w:trPr>
          <w:trHeight w:val="202"/>
        </w:trPr>
        <w:tc>
          <w:tcPr>
            <w:tcW w:w="3760" w:type="dxa"/>
            <w:vAlign w:val="bottom"/>
            <w:gridSpan w:val="3"/>
          </w:tcPr>
          <w:p>
            <w:pPr>
              <w:ind w:left="740"/>
              <w:spacing w:after="0"/>
              <w:rPr>
                <w:sz w:val="20"/>
                <w:szCs w:val="20"/>
                <w:color w:val="auto"/>
              </w:rPr>
            </w:pPr>
            <w:r>
              <w:rPr>
                <w:rFonts w:ascii="Arial" w:cs="Arial" w:eastAsia="Arial" w:hAnsi="Arial"/>
                <w:sz w:val="14"/>
                <w:szCs w:val="14"/>
                <w:color w:val="auto"/>
              </w:rPr>
              <w:t>Total loans</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3</w:t>
            </w:r>
          </w:p>
        </w:tc>
        <w:tc>
          <w:tcPr>
            <w:tcW w:w="2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7,096</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7,096</w:t>
            </w:r>
          </w:p>
        </w:tc>
        <w:tc>
          <w:tcPr>
            <w:tcW w:w="2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6,739</w:t>
            </w:r>
          </w:p>
        </w:tc>
        <w:tc>
          <w:tcPr>
            <w:tcW w:w="20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hanging="318"/>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tables above exclude modified loans that were paid off prior to the end of the period.</w:t>
      </w:r>
    </w:p>
    <w:p>
      <w:pPr>
        <w:spacing w:after="0" w:line="22" w:lineRule="exact"/>
        <w:rPr>
          <w:rFonts w:ascii="Arial" w:cs="Arial" w:eastAsia="Arial" w:hAnsi="Arial"/>
          <w:sz w:val="16"/>
          <w:szCs w:val="16"/>
          <w:color w:val="auto"/>
        </w:rPr>
      </w:pPr>
    </w:p>
    <w:p>
      <w:pPr>
        <w:ind w:left="700" w:hanging="318"/>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effects resulting from modifications represent charge-offs and current allowance for credit losses at modification date.</w:t>
      </w:r>
    </w:p>
    <w:p>
      <w:pPr>
        <w:spacing w:after="0" w:line="253" w:lineRule="exact"/>
        <w:rPr>
          <w:sz w:val="20"/>
          <w:szCs w:val="20"/>
          <w:color w:val="auto"/>
        </w:rPr>
      </w:pPr>
    </w:p>
    <w:p>
      <w:pPr>
        <w:ind w:right="300" w:firstLine="469"/>
        <w:spacing w:after="0" w:line="293" w:lineRule="auto"/>
        <w:rPr>
          <w:sz w:val="20"/>
          <w:szCs w:val="20"/>
          <w:color w:val="auto"/>
        </w:rPr>
      </w:pPr>
      <w:r>
        <w:rPr>
          <w:rFonts w:ascii="Arial" w:cs="Arial" w:eastAsia="Arial" w:hAnsi="Arial"/>
          <w:sz w:val="18"/>
          <w:szCs w:val="18"/>
          <w:color w:val="auto"/>
        </w:rPr>
        <w:t>As of September 30, 2021 and 2020, there were no loans that were modified as a TDR within the previous 12 months that subsequently defaulted during the nine months ended September 30, 2021 and 2020,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5" w:name="page26"/>
    <w:bookmarkEnd w:id="25"/>
    <w:p>
      <w:pPr>
        <w:spacing w:after="0"/>
        <w:tabs>
          <w:tab w:leader="none" w:pos="300" w:val="left"/>
        </w:tabs>
        <w:rPr>
          <w:sz w:val="20"/>
          <w:szCs w:val="20"/>
          <w:color w:val="auto"/>
        </w:rPr>
      </w:pPr>
      <w:r>
        <w:rPr>
          <w:rFonts w:ascii="Arial" w:cs="Arial" w:eastAsia="Arial" w:hAnsi="Arial"/>
          <w:sz w:val="18"/>
          <w:szCs w:val="18"/>
          <w:b w:val="1"/>
          <w:bCs w:val="1"/>
          <w:color w:val="auto"/>
        </w:rPr>
        <w:t>6.</w:t>
        <w:tab/>
        <w:t>EARNINGS PER SHARE RECONCILIATION</w:t>
      </w:r>
    </w:p>
    <w:p>
      <w:pPr>
        <w:spacing w:after="0" w:line="256" w:lineRule="exact"/>
        <w:rPr>
          <w:sz w:val="20"/>
          <w:szCs w:val="20"/>
          <w:color w:val="auto"/>
        </w:rPr>
      </w:pPr>
    </w:p>
    <w:p>
      <w:pPr>
        <w:ind w:right="80" w:firstLine="469"/>
        <w:spacing w:after="0" w:line="290" w:lineRule="auto"/>
        <w:rPr>
          <w:sz w:val="20"/>
          <w:szCs w:val="20"/>
          <w:color w:val="auto"/>
        </w:rPr>
      </w:pPr>
      <w:r>
        <w:rPr>
          <w:rFonts w:ascii="Arial" w:cs="Arial" w:eastAsia="Arial" w:hAnsi="Arial"/>
          <w:sz w:val="17"/>
          <w:szCs w:val="17"/>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nine months ended September 30, 2021, shares deemed to be antidilutive, and thus excluded from the computation of earnings per common share, were 321,000 and 114,000, respectively. For the three and nine months ended September 30, 2020, shares deemed to be antidilutive, and thus excluded from the computation of earnings per common share, were 517,000 and 361,000, respectively.</w:t>
      </w:r>
    </w:p>
    <w:p>
      <w:pPr>
        <w:spacing w:after="0" w:line="189" w:lineRule="exact"/>
        <w:rPr>
          <w:sz w:val="20"/>
          <w:szCs w:val="20"/>
          <w:color w:val="auto"/>
        </w:rPr>
      </w:pPr>
    </w:p>
    <w:p>
      <w:pPr>
        <w:ind w:right="220" w:firstLine="469"/>
        <w:spacing w:after="0" w:line="293" w:lineRule="auto"/>
        <w:rPr>
          <w:sz w:val="20"/>
          <w:szCs w:val="20"/>
          <w:color w:val="auto"/>
        </w:rPr>
      </w:pPr>
      <w:r>
        <w:rPr>
          <w:rFonts w:ascii="Arial" w:cs="Arial" w:eastAsia="Arial" w:hAnsi="Arial"/>
          <w:sz w:val="18"/>
          <w:szCs w:val="18"/>
          <w:color w:val="auto"/>
        </w:rPr>
        <w:t>The table below shows earnings per common share and diluted earnings per common share, and reconciles the numerator and denominator of both earnings per common share calculations.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80" w:type="dxa"/>
            <w:vAlign w:val="bottom"/>
            <w:gridSpan w:val="6"/>
          </w:tcPr>
          <w:p>
            <w:pPr>
              <w:jc w:val="right"/>
              <w:spacing w:after="0"/>
              <w:rPr>
                <w:sz w:val="20"/>
                <w:szCs w:val="20"/>
                <w:color w:val="auto"/>
              </w:rPr>
            </w:pPr>
            <w:r>
              <w:rPr>
                <w:rFonts w:ascii="Arial" w:cs="Arial" w:eastAsia="Arial" w:hAnsi="Arial"/>
                <w:sz w:val="16"/>
                <w:szCs w:val="16"/>
                <w:i w:val="1"/>
                <w:iCs w:val="1"/>
                <w:color w:val="auto"/>
                <w:w w:val="95"/>
              </w:rPr>
              <w:t>(In thousands, except per share amounts)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10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49,753</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47,492</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164,825</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127,103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Less: Net earnings allocated to restricted stock</w:t>
            </w:r>
          </w:p>
        </w:tc>
        <w:tc>
          <w:tcPr>
            <w:tcW w:w="10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Arial" w:cs="Arial" w:eastAsia="Arial" w:hAnsi="Arial"/>
                <w:sz w:val="18"/>
                <w:szCs w:val="18"/>
                <w:color w:val="auto"/>
              </w:rPr>
              <w:t>Net earnings allocated to common shareholders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49,526</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47,317</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164,052</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126,696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Weighted average shares outstanding</w:t>
            </w: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135,200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135,017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135,226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40" w:type="dxa"/>
            <w:vAlign w:val="bottom"/>
          </w:tcPr>
          <w:p>
            <w:pPr>
              <w:ind w:left="200"/>
              <w:spacing w:after="0"/>
              <w:rPr>
                <w:sz w:val="20"/>
                <w:szCs w:val="20"/>
                <w:color w:val="auto"/>
              </w:rPr>
            </w:pPr>
            <w:r>
              <w:rPr>
                <w:rFonts w:ascii="Arial" w:cs="Arial" w:eastAsia="Arial" w:hAnsi="Arial"/>
                <w:sz w:val="18"/>
                <w:szCs w:val="18"/>
                <w:color w:val="auto"/>
              </w:rPr>
              <w:t>Basic earnings per common share</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0.37</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tcPr>
          <w:p>
            <w:pPr>
              <w:ind w:left="200"/>
              <w:spacing w:after="0"/>
              <w:rPr>
                <w:sz w:val="20"/>
                <w:szCs w:val="20"/>
                <w:color w:val="auto"/>
              </w:rPr>
            </w:pPr>
            <w:r>
              <w:rPr>
                <w:rFonts w:ascii="Arial" w:cs="Arial" w:eastAsia="Arial" w:hAnsi="Arial"/>
                <w:sz w:val="18"/>
                <w:szCs w:val="18"/>
                <w:color w:val="auto"/>
              </w:rPr>
              <w:t>Net income allocated to common shareholders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49,526</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47,317</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164,052</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126,696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Weighted average shares outstanding</w:t>
            </w: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135,200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135,017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135,226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40" w:type="dxa"/>
            <w:vAlign w:val="bottom"/>
          </w:tcPr>
          <w:p>
            <w:pPr>
              <w:ind w:left="380"/>
              <w:spacing w:after="0"/>
              <w:rPr>
                <w:sz w:val="20"/>
                <w:szCs w:val="20"/>
                <w:color w:val="auto"/>
              </w:rPr>
            </w:pPr>
            <w:r>
              <w:rPr>
                <w:rFonts w:ascii="Arial" w:cs="Arial" w:eastAsia="Arial" w:hAnsi="Arial"/>
                <w:sz w:val="18"/>
                <w:szCs w:val="18"/>
                <w:color w:val="auto"/>
              </w:rPr>
              <w:t>Incremental shares from assumed exercise of</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520"/>
              <w:spacing w:after="0"/>
              <w:rPr>
                <w:sz w:val="20"/>
                <w:szCs w:val="20"/>
                <w:color w:val="auto"/>
              </w:rPr>
            </w:pPr>
            <w:r>
              <w:rPr>
                <w:rFonts w:ascii="Arial" w:cs="Arial" w:eastAsia="Arial" w:hAnsi="Arial"/>
                <w:sz w:val="18"/>
                <w:szCs w:val="18"/>
                <w:color w:val="auto"/>
              </w:rPr>
              <w:t>outstanding options</w:t>
            </w:r>
          </w:p>
        </w:tc>
        <w:tc>
          <w:tcPr>
            <w:tcW w:w="1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135,384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135,184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40" w:type="dxa"/>
            <w:vAlign w:val="bottom"/>
          </w:tcPr>
          <w:p>
            <w:pPr>
              <w:ind w:left="200"/>
              <w:spacing w:after="0"/>
              <w:rPr>
                <w:sz w:val="20"/>
                <w:szCs w:val="20"/>
                <w:color w:val="auto"/>
              </w:rPr>
            </w:pPr>
            <w:r>
              <w:rPr>
                <w:rFonts w:ascii="Arial" w:cs="Arial" w:eastAsia="Arial" w:hAnsi="Arial"/>
                <w:sz w:val="18"/>
                <w:szCs w:val="18"/>
                <w:color w:val="auto"/>
              </w:rPr>
              <w:t>Diluted earnings per common share</w:t>
            </w:r>
          </w:p>
        </w:tc>
        <w:tc>
          <w:tcPr>
            <w:tcW w:w="106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6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40" w:type="dxa"/>
            <w:vAlign w:val="bottom"/>
          </w:tcPr>
          <w:p>
            <w:pPr>
              <w:spacing w:after="0"/>
              <w:rPr>
                <w:sz w:val="24"/>
                <w:szCs w:val="24"/>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26</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6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-2405380</wp:posOffset>
            </wp:positionV>
            <wp:extent cx="16319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-2405380</wp:posOffset>
            </wp:positionV>
            <wp:extent cx="16319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-2405380</wp:posOffset>
            </wp:positionV>
            <wp:extent cx="12001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-2405380</wp:posOffset>
            </wp:positionV>
            <wp:extent cx="5969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6" w:name="page27"/>
    <w:bookmarkEnd w:id="26"/>
    <w:p>
      <w:pPr>
        <w:spacing w:after="0"/>
        <w:tabs>
          <w:tab w:leader="none" w:pos="300" w:val="left"/>
        </w:tabs>
        <w:rPr>
          <w:sz w:val="20"/>
          <w:szCs w:val="20"/>
          <w:color w:val="auto"/>
        </w:rPr>
      </w:pPr>
      <w:r>
        <w:rPr>
          <w:rFonts w:ascii="Arial" w:cs="Arial" w:eastAsia="Arial" w:hAnsi="Arial"/>
          <w:sz w:val="18"/>
          <w:szCs w:val="18"/>
          <w:b w:val="1"/>
          <w:bCs w:val="1"/>
          <w:color w:val="auto"/>
        </w:rPr>
        <w:t>7.</w:t>
        <w:tab/>
        <w:t>FAIR VALUE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52" w:lineRule="exact"/>
        <w:rPr>
          <w:sz w:val="20"/>
          <w:szCs w:val="20"/>
          <w:color w:val="auto"/>
        </w:rPr>
      </w:pPr>
    </w:p>
    <w:p>
      <w:pPr>
        <w:ind w:right="300" w:firstLine="469"/>
        <w:spacing w:after="0" w:line="29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83" w:lineRule="exact"/>
        <w:rPr>
          <w:sz w:val="20"/>
          <w:szCs w:val="20"/>
          <w:color w:val="auto"/>
        </w:rPr>
      </w:pPr>
    </w:p>
    <w:p>
      <w:pPr>
        <w:ind w:right="20" w:firstLine="469"/>
        <w:spacing w:after="0" w:line="293" w:lineRule="auto"/>
        <w:rPr>
          <w:sz w:val="20"/>
          <w:szCs w:val="20"/>
          <w:color w:val="auto"/>
        </w:rPr>
      </w:pPr>
      <w:r>
        <w:rPr>
          <w:rFonts w:ascii="Arial" w:cs="Arial" w:eastAsia="Arial" w:hAnsi="Arial"/>
          <w:sz w:val="18"/>
          <w:szCs w:val="18"/>
          <w:color w:val="auto"/>
        </w:rPr>
        <w:t xml:space="preserve">The valuation methodologies for financial assets and liabilities measured at fair value on a recurring and non-recurring basis are described in Note 19 — </w:t>
      </w:r>
      <w:r>
        <w:rPr>
          <w:rFonts w:ascii="Arial" w:cs="Arial" w:eastAsia="Arial" w:hAnsi="Arial"/>
          <w:sz w:val="18"/>
          <w:szCs w:val="18"/>
          <w:i w:val="1"/>
          <w:iCs w:val="1"/>
          <w:color w:val="auto"/>
        </w:rPr>
        <w:t>Fair Value Information,</w:t>
      </w:r>
      <w:r>
        <w:rPr>
          <w:rFonts w:ascii="Arial" w:cs="Arial" w:eastAsia="Arial" w:hAnsi="Arial"/>
          <w:sz w:val="18"/>
          <w:szCs w:val="18"/>
          <w:color w:val="auto"/>
        </w:rPr>
        <w:t xml:space="preserve"> included in our Annual Report on Form 10-K for the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tables below present the balances of assets and liabilities measured at fair value on a recurring basis as of the dates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center"/>
              <w:ind w:left="100"/>
              <w:spacing w:after="0"/>
              <w:rPr>
                <w:sz w:val="20"/>
                <w:szCs w:val="20"/>
                <w:color w:val="auto"/>
              </w:rPr>
            </w:pPr>
            <w:r>
              <w:rPr>
                <w:rFonts w:ascii="Arial" w:cs="Arial" w:eastAsia="Arial" w:hAnsi="Arial"/>
                <w:sz w:val="16"/>
                <w:szCs w:val="16"/>
                <w:b w:val="1"/>
                <w:bCs w:val="1"/>
                <w:color w:val="auto"/>
                <w:w w:val="88"/>
              </w:rPr>
              <w:t>Quoted Prices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center"/>
              <w:ind w:left="60"/>
              <w:spacing w:after="0"/>
              <w:rPr>
                <w:sz w:val="20"/>
                <w:szCs w:val="20"/>
                <w:color w:val="auto"/>
              </w:rPr>
            </w:pPr>
            <w:r>
              <w:rPr>
                <w:rFonts w:ascii="Arial" w:cs="Arial" w:eastAsia="Arial" w:hAnsi="Arial"/>
                <w:sz w:val="16"/>
                <w:szCs w:val="16"/>
                <w:b w:val="1"/>
                <w:bCs w:val="1"/>
                <w:color w:val="auto"/>
                <w:w w:val="89"/>
              </w:rPr>
              <w:t>in Active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center"/>
              <w:ind w:left="100"/>
              <w:spacing w:after="0"/>
              <w:rPr>
                <w:sz w:val="20"/>
                <w:szCs w:val="20"/>
                <w:color w:val="auto"/>
              </w:rPr>
            </w:pPr>
            <w:r>
              <w:rPr>
                <w:rFonts w:ascii="Arial" w:cs="Arial" w:eastAsia="Arial" w:hAnsi="Arial"/>
                <w:sz w:val="16"/>
                <w:szCs w:val="16"/>
                <w:b w:val="1"/>
                <w:bCs w:val="1"/>
                <w:color w:val="auto"/>
                <w:w w:val="97"/>
              </w:rPr>
              <w:t>Markets for</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8"/>
              </w:rPr>
              <w:t>Carrying Value at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center"/>
              <w:ind w:left="100"/>
              <w:spacing w:after="0"/>
              <w:rPr>
                <w:sz w:val="20"/>
                <w:szCs w:val="20"/>
                <w:color w:val="auto"/>
              </w:rPr>
            </w:pPr>
            <w:r>
              <w:rPr>
                <w:rFonts w:ascii="Arial" w:cs="Arial" w:eastAsia="Arial" w:hAnsi="Arial"/>
                <w:sz w:val="16"/>
                <w:szCs w:val="16"/>
                <w:b w:val="1"/>
                <w:bCs w:val="1"/>
                <w:color w:val="auto"/>
                <w:w w:val="88"/>
              </w:rPr>
              <w:t>Identical 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Observable Inputs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Unobservable Inputs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92"/>
              </w:rPr>
              <w:t>September 30, 2021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b w:val="1"/>
                <w:bCs w:val="1"/>
                <w:color w:val="auto"/>
                <w:w w:val="92"/>
              </w:rPr>
              <w:t>(Level 1)</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3)</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60" w:type="dxa"/>
            <w:vAlign w:val="bottom"/>
            <w:gridSpan w:val="7"/>
          </w:tcPr>
          <w:p>
            <w:pPr>
              <w:jc w:val="right"/>
              <w:ind w:right="1059"/>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Description of assets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80" w:type="dxa"/>
            <w:vAlign w:val="bottom"/>
          </w:tcPr>
          <w:p>
            <w:pPr>
              <w:ind w:left="200"/>
              <w:spacing w:after="0"/>
              <w:rPr>
                <w:sz w:val="20"/>
                <w:szCs w:val="20"/>
                <w:color w:val="auto"/>
              </w:rPr>
            </w:pPr>
            <w:r>
              <w:rPr>
                <w:rFonts w:ascii="Arial" w:cs="Arial" w:eastAsia="Arial" w:hAnsi="Arial"/>
                <w:sz w:val="16"/>
                <w:szCs w:val="16"/>
                <w:color w:val="auto"/>
              </w:rPr>
              <w:t>Investment securities - AFS: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5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Mortgage-backed securities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2,269,073</w:t>
            </w:r>
          </w:p>
        </w:tc>
        <w:tc>
          <w:tcPr>
            <w:tcW w:w="1760" w:type="dxa"/>
            <w:vAlign w:val="bottom"/>
            <w:gridSpan w:val="3"/>
            <w:shd w:val="clear" w:color="auto" w:fill="CFF0FC"/>
          </w:tcPr>
          <w:p>
            <w:pPr>
              <w:jc w:val="right"/>
              <w:ind w:right="12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2,269,073</w:t>
            </w:r>
          </w:p>
        </w:tc>
        <w:tc>
          <w:tcPr>
            <w:tcW w:w="1860" w:type="dxa"/>
            <w:vAlign w:val="bottom"/>
            <w:gridSpan w:val="3"/>
            <w:shd w:val="clear" w:color="auto" w:fill="CFF0FC"/>
          </w:tcPr>
          <w:p>
            <w:pPr>
              <w:jc w:val="right"/>
              <w:ind w:right="13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3580" w:type="dxa"/>
            <w:vAlign w:val="bottom"/>
          </w:tcPr>
          <w:p>
            <w:pPr>
              <w:ind w:left="300"/>
              <w:spacing w:after="0"/>
              <w:rPr>
                <w:sz w:val="20"/>
                <w:szCs w:val="20"/>
                <w:color w:val="auto"/>
              </w:rPr>
            </w:pPr>
            <w:r>
              <w:rPr>
                <w:rFonts w:ascii="Arial" w:cs="Arial" w:eastAsia="Arial" w:hAnsi="Arial"/>
                <w:sz w:val="16"/>
                <w:szCs w:val="16"/>
                <w:color w:val="auto"/>
              </w:rPr>
              <w:t>CMO/REMIC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625,167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625,167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35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Municipal bonds</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29,820</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29,820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3580" w:type="dxa"/>
            <w:vAlign w:val="bottom"/>
          </w:tcPr>
          <w:p>
            <w:pPr>
              <w:ind w:left="300"/>
              <w:spacing w:after="0"/>
              <w:rPr>
                <w:sz w:val="20"/>
                <w:szCs w:val="20"/>
                <w:color w:val="auto"/>
              </w:rPr>
            </w:pPr>
            <w:r>
              <w:rPr>
                <w:rFonts w:ascii="Arial" w:cs="Arial" w:eastAsia="Arial" w:hAnsi="Arial"/>
                <w:sz w:val="16"/>
                <w:szCs w:val="16"/>
                <w:color w:val="auto"/>
              </w:rPr>
              <w:t>Other securities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9"/>
        </w:trPr>
        <w:tc>
          <w:tcPr>
            <w:tcW w:w="3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investment securities - AFS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2,925,060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2,925,060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23"/>
        </w:trPr>
        <w:tc>
          <w:tcPr>
            <w:tcW w:w="358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16,176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66"/>
        </w:trPr>
        <w:tc>
          <w:tcPr>
            <w:tcW w:w="35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2,941,236</w:t>
            </w:r>
          </w:p>
        </w:tc>
        <w:tc>
          <w:tcPr>
            <w:tcW w:w="1760" w:type="dxa"/>
            <w:vAlign w:val="bottom"/>
            <w:gridSpan w:val="3"/>
            <w:shd w:val="clear" w:color="auto" w:fill="CFF0FC"/>
          </w:tcPr>
          <w:p>
            <w:pPr>
              <w:jc w:val="right"/>
              <w:ind w:right="12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2,941,236</w:t>
            </w:r>
          </w:p>
        </w:tc>
        <w:tc>
          <w:tcPr>
            <w:tcW w:w="1860" w:type="dxa"/>
            <w:vAlign w:val="bottom"/>
            <w:gridSpan w:val="3"/>
            <w:shd w:val="clear" w:color="auto" w:fill="CFF0FC"/>
          </w:tcPr>
          <w:p>
            <w:pPr>
              <w:jc w:val="right"/>
              <w:ind w:right="13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3"/>
                <w:szCs w:val="23"/>
                <w:color w:val="auto"/>
              </w:rPr>
            </w:pPr>
          </w:p>
        </w:tc>
      </w:tr>
      <w:tr>
        <w:trPr>
          <w:trHeight w:val="203"/>
        </w:trPr>
        <w:tc>
          <w:tcPr>
            <w:tcW w:w="35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Description of liability</w:t>
            </w: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3"/>
        </w:trPr>
        <w:tc>
          <w:tcPr>
            <w:tcW w:w="3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rate swaps</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16,176</w:t>
            </w: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16,176</w:t>
            </w: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13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58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16,176</w:t>
            </w:r>
          </w:p>
        </w:tc>
        <w:tc>
          <w:tcPr>
            <w:tcW w:w="1760" w:type="dxa"/>
            <w:vAlign w:val="bottom"/>
            <w:gridSpan w:val="3"/>
          </w:tcPr>
          <w:p>
            <w:pPr>
              <w:jc w:val="right"/>
              <w:ind w:right="128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16,176</w:t>
            </w:r>
          </w:p>
        </w:tc>
        <w:tc>
          <w:tcPr>
            <w:tcW w:w="1860" w:type="dxa"/>
            <w:vAlign w:val="bottom"/>
            <w:gridSpan w:val="3"/>
          </w:tcPr>
          <w:p>
            <w:pPr>
              <w:jc w:val="right"/>
              <w:ind w:right="137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4"/>
        </w:trPr>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ind w:left="20"/>
              <w:spacing w:after="0"/>
              <w:rPr>
                <w:sz w:val="20"/>
                <w:szCs w:val="20"/>
                <w:color w:val="auto"/>
              </w:rPr>
            </w:pPr>
            <w:r>
              <w:rPr>
                <w:rFonts w:ascii="Arial" w:cs="Arial" w:eastAsia="Arial" w:hAnsi="Arial"/>
                <w:sz w:val="16"/>
                <w:szCs w:val="16"/>
                <w:b w:val="1"/>
                <w:bCs w:val="1"/>
                <w:color w:val="auto"/>
                <w:w w:val="88"/>
              </w:rPr>
              <w:t>Quoted Prices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right"/>
              <w:ind w:right="320"/>
              <w:spacing w:after="0"/>
              <w:rPr>
                <w:sz w:val="20"/>
                <w:szCs w:val="20"/>
                <w:color w:val="auto"/>
              </w:rPr>
            </w:pPr>
            <w:r>
              <w:rPr>
                <w:rFonts w:ascii="Arial" w:cs="Arial" w:eastAsia="Arial" w:hAnsi="Arial"/>
                <w:sz w:val="16"/>
                <w:szCs w:val="16"/>
                <w:b w:val="1"/>
                <w:bCs w:val="1"/>
                <w:color w:val="auto"/>
              </w:rPr>
              <w:t>in Active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center"/>
              <w:ind w:left="20"/>
              <w:spacing w:after="0"/>
              <w:rPr>
                <w:sz w:val="20"/>
                <w:szCs w:val="20"/>
                <w:color w:val="auto"/>
              </w:rPr>
            </w:pPr>
            <w:r>
              <w:rPr>
                <w:rFonts w:ascii="Arial" w:cs="Arial" w:eastAsia="Arial" w:hAnsi="Arial"/>
                <w:sz w:val="16"/>
                <w:szCs w:val="16"/>
                <w:b w:val="1"/>
                <w:bCs w:val="1"/>
                <w:color w:val="auto"/>
                <w:w w:val="97"/>
              </w:rPr>
              <w:t>Markets for</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Significant Other</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Carrying Value at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center"/>
              <w:ind w:left="20"/>
              <w:spacing w:after="0"/>
              <w:rPr>
                <w:sz w:val="20"/>
                <w:szCs w:val="20"/>
                <w:color w:val="auto"/>
              </w:rPr>
            </w:pPr>
            <w:r>
              <w:rPr>
                <w:rFonts w:ascii="Arial" w:cs="Arial" w:eastAsia="Arial" w:hAnsi="Arial"/>
                <w:sz w:val="16"/>
                <w:szCs w:val="16"/>
                <w:b w:val="1"/>
                <w:bCs w:val="1"/>
                <w:color w:val="auto"/>
                <w:w w:val="88"/>
              </w:rPr>
              <w:t>Identical 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Observable Inputs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Unobservable Inputs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December 31, 2020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2"/>
              </w:rPr>
              <w:t>(Level 1)</w:t>
            </w: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60" w:type="dxa"/>
            <w:vAlign w:val="bottom"/>
            <w:gridSpan w:val="7"/>
          </w:tcPr>
          <w:p>
            <w:pPr>
              <w:jc w:val="right"/>
              <w:ind w:right="1099"/>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Description of assets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80" w:type="dxa"/>
            <w:vAlign w:val="bottom"/>
          </w:tcPr>
          <w:p>
            <w:pPr>
              <w:ind w:left="200"/>
              <w:spacing w:after="0"/>
              <w:rPr>
                <w:sz w:val="20"/>
                <w:szCs w:val="20"/>
                <w:color w:val="auto"/>
              </w:rPr>
            </w:pPr>
            <w:r>
              <w:rPr>
                <w:rFonts w:ascii="Arial" w:cs="Arial" w:eastAsia="Arial" w:hAnsi="Arial"/>
                <w:sz w:val="16"/>
                <w:szCs w:val="16"/>
                <w:color w:val="auto"/>
              </w:rPr>
              <w:t>Investment securities - AFS: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5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Mortgage-backed securities</w:t>
            </w:r>
          </w:p>
        </w:tc>
        <w:tc>
          <w:tcPr>
            <w:tcW w:w="18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1,904,935</w:t>
            </w:r>
          </w:p>
        </w:tc>
        <w:tc>
          <w:tcPr>
            <w:tcW w:w="60" w:type="dxa"/>
            <w:vAlign w:val="bottom"/>
            <w:shd w:val="clear" w:color="auto" w:fill="CFF0FC"/>
          </w:tcPr>
          <w:p>
            <w:pPr>
              <w:spacing w:after="0"/>
              <w:rPr>
                <w:sz w:val="20"/>
                <w:szCs w:val="20"/>
                <w:color w:val="auto"/>
              </w:rPr>
            </w:pPr>
          </w:p>
        </w:tc>
        <w:tc>
          <w:tcPr>
            <w:tcW w:w="1760" w:type="dxa"/>
            <w:vAlign w:val="bottom"/>
            <w:gridSpan w:val="3"/>
            <w:shd w:val="clear" w:color="auto" w:fill="CFF0FC"/>
          </w:tcPr>
          <w:p>
            <w:pPr>
              <w:jc w:val="right"/>
              <w:ind w:right="1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1,904,935</w:t>
            </w:r>
          </w:p>
        </w:tc>
        <w:tc>
          <w:tcPr>
            <w:tcW w:w="1860" w:type="dxa"/>
            <w:vAlign w:val="bottom"/>
            <w:gridSpan w:val="3"/>
            <w:shd w:val="clear" w:color="auto" w:fill="CFF0FC"/>
          </w:tcPr>
          <w:p>
            <w:pPr>
              <w:jc w:val="right"/>
              <w:ind w:right="13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3580" w:type="dxa"/>
            <w:vAlign w:val="bottom"/>
          </w:tcPr>
          <w:p>
            <w:pPr>
              <w:ind w:left="300"/>
              <w:spacing w:after="0"/>
              <w:rPr>
                <w:sz w:val="20"/>
                <w:szCs w:val="20"/>
                <w:color w:val="auto"/>
              </w:rPr>
            </w:pPr>
            <w:r>
              <w:rPr>
                <w:rFonts w:ascii="Arial" w:cs="Arial" w:eastAsia="Arial" w:hAnsi="Arial"/>
                <w:sz w:val="16"/>
                <w:szCs w:val="16"/>
                <w:color w:val="auto"/>
              </w:rPr>
              <w:t>CMO/REMIC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462,814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462,814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35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Municipal bonds</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30,285</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3580" w:type="dxa"/>
            <w:vAlign w:val="bottom"/>
          </w:tcPr>
          <w:p>
            <w:pPr>
              <w:ind w:left="300"/>
              <w:spacing w:after="0"/>
              <w:rPr>
                <w:sz w:val="20"/>
                <w:szCs w:val="20"/>
                <w:color w:val="auto"/>
              </w:rPr>
            </w:pPr>
            <w:r>
              <w:rPr>
                <w:rFonts w:ascii="Arial" w:cs="Arial" w:eastAsia="Arial" w:hAnsi="Arial"/>
                <w:sz w:val="16"/>
                <w:szCs w:val="16"/>
                <w:color w:val="auto"/>
              </w:rPr>
              <w:t>Other securities</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9"/>
        </w:trPr>
        <w:tc>
          <w:tcPr>
            <w:tcW w:w="3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investment securities - AFS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2,398,923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2,398,923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23"/>
        </w:trPr>
        <w:tc>
          <w:tcPr>
            <w:tcW w:w="358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66"/>
        </w:trPr>
        <w:tc>
          <w:tcPr>
            <w:tcW w:w="35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2,429,104</w:t>
            </w:r>
          </w:p>
        </w:tc>
        <w:tc>
          <w:tcPr>
            <w:tcW w:w="60" w:type="dxa"/>
            <w:vAlign w:val="bottom"/>
            <w:shd w:val="clear" w:color="auto" w:fill="CFF0FC"/>
          </w:tcPr>
          <w:p>
            <w:pPr>
              <w:spacing w:after="0"/>
              <w:rPr>
                <w:sz w:val="23"/>
                <w:szCs w:val="23"/>
                <w:color w:val="auto"/>
              </w:rPr>
            </w:pPr>
          </w:p>
        </w:tc>
        <w:tc>
          <w:tcPr>
            <w:tcW w:w="1760" w:type="dxa"/>
            <w:vAlign w:val="bottom"/>
            <w:gridSpan w:val="3"/>
            <w:shd w:val="clear" w:color="auto" w:fill="CFF0FC"/>
          </w:tcPr>
          <w:p>
            <w:pPr>
              <w:jc w:val="right"/>
              <w:ind w:right="1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3"/>
                <w:szCs w:val="23"/>
                <w:color w:val="auto"/>
              </w:rPr>
            </w:pPr>
          </w:p>
        </w:tc>
        <w:tc>
          <w:tcPr>
            <w:tcW w:w="420" w:type="dxa"/>
            <w:vAlign w:val="bottom"/>
            <w:gridSpan w:val="3"/>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2,429,104</w:t>
            </w:r>
          </w:p>
        </w:tc>
        <w:tc>
          <w:tcPr>
            <w:tcW w:w="1860" w:type="dxa"/>
            <w:vAlign w:val="bottom"/>
            <w:gridSpan w:val="3"/>
            <w:shd w:val="clear" w:color="auto" w:fill="CFF0FC"/>
          </w:tcPr>
          <w:p>
            <w:pPr>
              <w:jc w:val="right"/>
              <w:ind w:right="13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3"/>
                <w:szCs w:val="23"/>
                <w:color w:val="auto"/>
              </w:rPr>
            </w:pPr>
          </w:p>
        </w:tc>
      </w:tr>
      <w:tr>
        <w:trPr>
          <w:trHeight w:val="203"/>
        </w:trPr>
        <w:tc>
          <w:tcPr>
            <w:tcW w:w="35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Description of liability</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3"/>
        </w:trPr>
        <w:tc>
          <w:tcPr>
            <w:tcW w:w="3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rate swaps</w:t>
            </w:r>
          </w:p>
        </w:tc>
        <w:tc>
          <w:tcPr>
            <w:tcW w:w="180" w:type="dxa"/>
            <w:vAlign w:val="bottom"/>
            <w:tcBorders>
              <w:bottom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30,181</w:t>
            </w: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gridSpan w:val="2"/>
            <w:shd w:val="clear" w:color="auto" w:fill="CFF0FC"/>
          </w:tcPr>
          <w:p>
            <w:pPr>
              <w:jc w:val="right"/>
              <w:ind w:right="1340"/>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gridSpan w:val="2"/>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30,181</w:t>
            </w:r>
          </w:p>
        </w:tc>
        <w:tc>
          <w:tcPr>
            <w:tcW w:w="28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gridSpan w:val="2"/>
            <w:shd w:val="clear" w:color="auto" w:fill="CFF0FC"/>
          </w:tcPr>
          <w:p>
            <w:pPr>
              <w:jc w:val="right"/>
              <w:ind w:right="13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58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30,181</w:t>
            </w:r>
          </w:p>
        </w:tc>
        <w:tc>
          <w:tcPr>
            <w:tcW w:w="60" w:type="dxa"/>
            <w:vAlign w:val="bottom"/>
          </w:tcPr>
          <w:p>
            <w:pPr>
              <w:spacing w:after="0"/>
              <w:rPr>
                <w:sz w:val="19"/>
                <w:szCs w:val="19"/>
                <w:color w:val="auto"/>
              </w:rPr>
            </w:pPr>
          </w:p>
        </w:tc>
        <w:tc>
          <w:tcPr>
            <w:tcW w:w="1760" w:type="dxa"/>
            <w:vAlign w:val="bottom"/>
            <w:gridSpan w:val="3"/>
          </w:tcPr>
          <w:p>
            <w:pPr>
              <w:jc w:val="right"/>
              <w:ind w:right="13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20" w:type="dxa"/>
            <w:vAlign w:val="bottom"/>
            <w:gridSpan w:val="3"/>
          </w:tcPr>
          <w:p>
            <w:pPr>
              <w:jc w:val="right"/>
              <w:ind w:right="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30,181</w:t>
            </w:r>
          </w:p>
        </w:tc>
        <w:tc>
          <w:tcPr>
            <w:tcW w:w="1860" w:type="dxa"/>
            <w:vAlign w:val="bottom"/>
            <w:gridSpan w:val="3"/>
          </w:tcPr>
          <w:p>
            <w:pPr>
              <w:jc w:val="right"/>
              <w:ind w:right="139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-3205480</wp:posOffset>
            </wp:positionV>
            <wp:extent cx="19748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-3188335</wp:posOffset>
            </wp:positionV>
            <wp:extent cx="19748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-3205480</wp:posOffset>
            </wp:positionV>
            <wp:extent cx="18859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-3188335</wp:posOffset>
            </wp:positionV>
            <wp:extent cx="18859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-3205480</wp:posOffset>
            </wp:positionV>
            <wp:extent cx="18859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-3188335</wp:posOffset>
            </wp:positionV>
            <wp:extent cx="1885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-2885440</wp:posOffset>
            </wp:positionV>
            <wp:extent cx="19748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-2885440</wp:posOffset>
            </wp:positionV>
            <wp:extent cx="188595"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-2885440</wp:posOffset>
            </wp:positionV>
            <wp:extent cx="188595"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-2885440</wp:posOffset>
            </wp:positionV>
            <wp:extent cx="6858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-496570</wp:posOffset>
            </wp:positionV>
            <wp:extent cx="19685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-479425</wp:posOffset>
            </wp:positionV>
            <wp:extent cx="19685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-496570</wp:posOffset>
            </wp:positionV>
            <wp:extent cx="17970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-479425</wp:posOffset>
            </wp:positionV>
            <wp:extent cx="17970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-496570</wp:posOffset>
            </wp:positionV>
            <wp:extent cx="17970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-479425</wp:posOffset>
            </wp:positionV>
            <wp:extent cx="17970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-176530</wp:posOffset>
            </wp:positionV>
            <wp:extent cx="19685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-176530</wp:posOffset>
            </wp:positionV>
            <wp:extent cx="17970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-176530</wp:posOffset>
            </wp:positionV>
            <wp:extent cx="179705"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right="540" w:firstLine="469"/>
        <w:spacing w:after="0" w:line="324" w:lineRule="auto"/>
        <w:rPr>
          <w:sz w:val="20"/>
          <w:szCs w:val="20"/>
          <w:color w:val="auto"/>
        </w:rPr>
      </w:pPr>
      <w:r>
        <w:rPr>
          <w:rFonts w:ascii="Arial" w:cs="Arial" w:eastAsia="Arial" w:hAnsi="Arial"/>
          <w:sz w:val="17"/>
          <w:szCs w:val="17"/>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61" w:lineRule="exact"/>
        <w:rPr>
          <w:sz w:val="20"/>
          <w:szCs w:val="20"/>
          <w:color w:val="auto"/>
        </w:rPr>
      </w:pPr>
    </w:p>
    <w:p>
      <w:pPr>
        <w:ind w:right="120" w:firstLine="469"/>
        <w:spacing w:after="0" w:line="296" w:lineRule="auto"/>
        <w:rPr>
          <w:sz w:val="20"/>
          <w:szCs w:val="20"/>
          <w:color w:val="auto"/>
        </w:rPr>
      </w:pPr>
      <w:r>
        <w:rPr>
          <w:rFonts w:ascii="Arial" w:cs="Arial" w:eastAsia="Arial" w:hAnsi="Arial"/>
          <w:sz w:val="17"/>
          <w:szCs w:val="17"/>
          <w:color w:val="auto"/>
        </w:rPr>
        <w:t>For assets measured at fair value on a non-recurring basis that were held on the balance sheet at September 30, 2021 and December 31, 2020, respectively, the following tables provide the level of valuation assumptions used to determine each adjustment and the carrying value of the related assets that had losses during the period. These losses on collateral dependent loans represent the amount of the allowance for credit losses and/or charge-offs during the period applicable to loans held at period-end. The amount of the allowance is included in the ACL.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0"/>
              </w:rPr>
              <w:t>Quoted Prices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08"/>
              <w:spacing w:after="0"/>
              <w:rPr>
                <w:sz w:val="20"/>
                <w:szCs w:val="20"/>
                <w:color w:val="auto"/>
              </w:rPr>
            </w:pPr>
            <w:r>
              <w:rPr>
                <w:rFonts w:ascii="Arial" w:cs="Arial" w:eastAsia="Arial" w:hAnsi="Arial"/>
                <w:sz w:val="14"/>
                <w:szCs w:val="14"/>
                <w:b w:val="1"/>
                <w:bCs w:val="1"/>
                <w:color w:val="auto"/>
                <w:w w:val="88"/>
              </w:rPr>
              <w:t>Total Losses</w:t>
            </w:r>
          </w:p>
        </w:tc>
        <w:tc>
          <w:tcPr>
            <w:tcW w:w="60" w:type="dxa"/>
            <w:vAlign w:val="bottom"/>
          </w:tcPr>
          <w:p>
            <w:pPr>
              <w:spacing w:after="0"/>
              <w:rPr>
                <w:sz w:val="15"/>
                <w:szCs w:val="15"/>
                <w:color w:val="auto"/>
              </w:rPr>
            </w:pPr>
          </w:p>
        </w:tc>
      </w:tr>
      <w:tr>
        <w:trPr>
          <w:trHeight w:val="176"/>
        </w:trPr>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jc w:val="center"/>
              <w:ind w:left="312"/>
              <w:spacing w:after="0"/>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left="52"/>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For the</w:t>
            </w: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jc w:val="center"/>
              <w:ind w:left="272"/>
              <w:spacing w:after="0"/>
              <w:rPr>
                <w:sz w:val="20"/>
                <w:szCs w:val="20"/>
                <w:color w:val="auto"/>
              </w:rPr>
            </w:pPr>
            <w:r>
              <w:rPr>
                <w:rFonts w:ascii="Arial" w:cs="Arial" w:eastAsia="Arial" w:hAnsi="Arial"/>
                <w:sz w:val="14"/>
                <w:szCs w:val="14"/>
                <w:b w:val="1"/>
                <w:bCs w:val="1"/>
                <w:color w:val="auto"/>
                <w:w w:val="96"/>
              </w:rPr>
              <w:t>Value at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left="72"/>
              <w:spacing w:after="0"/>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6"/>
              </w:rPr>
              <w:t>Unobservable Inputs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Nine Months Ended</w:t>
            </w:r>
          </w:p>
        </w:tc>
        <w:tc>
          <w:tcPr>
            <w:tcW w:w="60" w:type="dxa"/>
            <w:vAlign w:val="bottom"/>
          </w:tcPr>
          <w:p>
            <w:pPr>
              <w:spacing w:after="0"/>
              <w:rPr>
                <w:sz w:val="15"/>
                <w:szCs w:val="15"/>
                <w:color w:val="auto"/>
              </w:rPr>
            </w:pPr>
          </w:p>
        </w:tc>
      </w:tr>
      <w:tr>
        <w:trPr>
          <w:trHeight w:val="192"/>
        </w:trPr>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3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September 30, 2021</w:t>
            </w:r>
          </w:p>
        </w:tc>
        <w:tc>
          <w:tcPr>
            <w:tcW w:w="60" w:type="dxa"/>
            <w:vAlign w:val="bottom"/>
          </w:tcPr>
          <w:p>
            <w:pPr>
              <w:spacing w:after="0"/>
              <w:rPr>
                <w:sz w:val="16"/>
                <w:szCs w:val="16"/>
                <w:color w:val="auto"/>
              </w:rPr>
            </w:pPr>
          </w:p>
        </w:tc>
      </w:tr>
      <w:tr>
        <w:trPr>
          <w:trHeight w:val="194"/>
        </w:trPr>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0"/>
              </w:rPr>
              <w:t>(Dollars in thousands)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282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assets</w:t>
            </w:r>
          </w:p>
        </w:tc>
        <w:tc>
          <w:tcPr>
            <w:tcW w:w="102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Loans:</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80" w:type="dxa"/>
            <w:vAlign w:val="bottom"/>
            <w:shd w:val="clear" w:color="auto" w:fill="CFF0FC"/>
          </w:tcPr>
          <w:p>
            <w:pPr>
              <w:spacing w:after="0"/>
              <w:rPr>
                <w:sz w:val="18"/>
                <w:szCs w:val="18"/>
                <w:color w:val="auto"/>
              </w:rPr>
            </w:pPr>
          </w:p>
        </w:tc>
        <w:tc>
          <w:tcPr>
            <w:tcW w:w="274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Commercial real estate</w:t>
            </w:r>
          </w:p>
        </w:tc>
        <w:tc>
          <w:tcPr>
            <w:tcW w:w="1020" w:type="dxa"/>
            <w:vAlign w:val="bottom"/>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w w:val="76"/>
              </w:rPr>
              <w:t>$</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ind w:right="1152"/>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Construction</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8"/>
        </w:trPr>
        <w:tc>
          <w:tcPr>
            <w:tcW w:w="80" w:type="dxa"/>
            <w:vAlign w:val="bottom"/>
            <w:shd w:val="clear" w:color="auto" w:fill="CFF0FC"/>
          </w:tcPr>
          <w:p>
            <w:pPr>
              <w:spacing w:after="0"/>
              <w:rPr>
                <w:sz w:val="18"/>
                <w:szCs w:val="18"/>
                <w:color w:val="auto"/>
              </w:rPr>
            </w:pPr>
          </w:p>
        </w:tc>
        <w:tc>
          <w:tcPr>
            <w:tcW w:w="274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SBA</w:t>
            </w:r>
          </w:p>
        </w:tc>
        <w:tc>
          <w:tcPr>
            <w:tcW w:w="102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678</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60" w:type="dxa"/>
            <w:vAlign w:val="bottom"/>
            <w:shd w:val="clear" w:color="auto" w:fill="CFF0FC"/>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Commercial and industrial</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3,020</w:t>
            </w:r>
          </w:p>
        </w:tc>
        <w:tc>
          <w:tcPr>
            <w:tcW w:w="60" w:type="dxa"/>
            <w:vAlign w:val="bottom"/>
          </w:tcPr>
          <w:p>
            <w:pPr>
              <w:spacing w:after="0"/>
              <w:rPr>
                <w:sz w:val="17"/>
                <w:szCs w:val="17"/>
                <w:color w:val="auto"/>
              </w:rPr>
            </w:pPr>
          </w:p>
        </w:tc>
      </w:tr>
      <w:tr>
        <w:trPr>
          <w:trHeight w:val="190"/>
        </w:trPr>
        <w:tc>
          <w:tcPr>
            <w:tcW w:w="80" w:type="dxa"/>
            <w:vAlign w:val="bottom"/>
            <w:shd w:val="clear" w:color="auto" w:fill="CFF0FC"/>
          </w:tcPr>
          <w:p>
            <w:pPr>
              <w:spacing w:after="0"/>
              <w:rPr>
                <w:sz w:val="16"/>
                <w:szCs w:val="16"/>
                <w:color w:val="auto"/>
              </w:rPr>
            </w:pPr>
          </w:p>
        </w:tc>
        <w:tc>
          <w:tcPr>
            <w:tcW w:w="274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Dairy &amp; livestock and</w:t>
            </w:r>
          </w:p>
        </w:tc>
        <w:tc>
          <w:tcPr>
            <w:tcW w:w="1020" w:type="dxa"/>
            <w:vAlign w:val="bottom"/>
            <w:shd w:val="clear" w:color="auto" w:fill="CFF0FC"/>
          </w:tcPr>
          <w:p>
            <w:pPr>
              <w:spacing w:after="0"/>
              <w:rPr>
                <w:sz w:val="16"/>
                <w:szCs w:val="16"/>
                <w:color w:val="auto"/>
              </w:rPr>
            </w:pPr>
          </w:p>
        </w:tc>
        <w:tc>
          <w:tcPr>
            <w:tcW w:w="44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4"/>
        </w:trPr>
        <w:tc>
          <w:tcPr>
            <w:tcW w:w="80" w:type="dxa"/>
            <w:vAlign w:val="bottom"/>
            <w:shd w:val="clear" w:color="auto" w:fill="CFF0FC"/>
          </w:tcPr>
          <w:p>
            <w:pPr>
              <w:spacing w:after="0"/>
              <w:rPr>
                <w:sz w:val="16"/>
                <w:szCs w:val="16"/>
                <w:color w:val="auto"/>
              </w:rPr>
            </w:pPr>
          </w:p>
        </w:tc>
        <w:tc>
          <w:tcPr>
            <w:tcW w:w="2740" w:type="dxa"/>
            <w:vAlign w:val="bottom"/>
            <w:tcBorders>
              <w:right w:val="single" w:sz="8" w:color="CFF0FC"/>
            </w:tcBorders>
            <w:shd w:val="clear" w:color="auto" w:fill="CFF0FC"/>
          </w:tcPr>
          <w:p>
            <w:pPr>
              <w:ind w:left="320"/>
              <w:spacing w:after="0"/>
              <w:rPr>
                <w:sz w:val="20"/>
                <w:szCs w:val="20"/>
                <w:color w:val="auto"/>
              </w:rPr>
            </w:pPr>
            <w:r>
              <w:rPr>
                <w:rFonts w:ascii="Arial" w:cs="Arial" w:eastAsia="Arial" w:hAnsi="Arial"/>
                <w:sz w:val="14"/>
                <w:szCs w:val="14"/>
                <w:color w:val="auto"/>
              </w:rPr>
              <w:t>agribusiness</w:t>
            </w:r>
          </w:p>
        </w:tc>
        <w:tc>
          <w:tcPr>
            <w:tcW w:w="1020" w:type="dxa"/>
            <w:vAlign w:val="bottom"/>
            <w:shd w:val="clear" w:color="auto" w:fill="CFF0FC"/>
          </w:tcPr>
          <w:p>
            <w:pPr>
              <w:spacing w:after="0"/>
              <w:rPr>
                <w:sz w:val="16"/>
                <w:szCs w:val="16"/>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60" w:type="dxa"/>
            <w:vAlign w:val="bottom"/>
            <w:shd w:val="clear" w:color="auto" w:fill="CFF0FC"/>
          </w:tcPr>
          <w:p>
            <w:pPr>
              <w:spacing w:after="0"/>
              <w:rPr>
                <w:sz w:val="16"/>
                <w:szCs w:val="16"/>
                <w:color w:val="auto"/>
              </w:rPr>
            </w:pPr>
          </w:p>
        </w:tc>
      </w:tr>
      <w:tr>
        <w:trPr>
          <w:trHeight w:val="184"/>
        </w:trPr>
        <w:tc>
          <w:tcPr>
            <w:tcW w:w="80" w:type="dxa"/>
            <w:vAlign w:val="bottom"/>
          </w:tcPr>
          <w:p>
            <w:pPr>
              <w:spacing w:after="0"/>
              <w:rPr>
                <w:sz w:val="15"/>
                <w:szCs w:val="15"/>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Municipal lease finance</w:t>
            </w: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8"/>
        </w:trPr>
        <w:tc>
          <w:tcPr>
            <w:tcW w:w="80" w:type="dxa"/>
            <w:vAlign w:val="bottom"/>
          </w:tcPr>
          <w:p>
            <w:pPr>
              <w:spacing w:after="0"/>
              <w:rPr>
                <w:sz w:val="16"/>
                <w:szCs w:val="16"/>
                <w:color w:val="auto"/>
              </w:rPr>
            </w:pPr>
          </w:p>
        </w:tc>
        <w:tc>
          <w:tcPr>
            <w:tcW w:w="2740" w:type="dxa"/>
            <w:vAlign w:val="bottom"/>
          </w:tcPr>
          <w:p>
            <w:pPr>
              <w:ind w:left="320"/>
              <w:spacing w:after="0"/>
              <w:rPr>
                <w:sz w:val="20"/>
                <w:szCs w:val="20"/>
                <w:color w:val="auto"/>
              </w:rPr>
            </w:pPr>
            <w:r>
              <w:rPr>
                <w:rFonts w:ascii="Arial" w:cs="Arial" w:eastAsia="Arial" w:hAnsi="Arial"/>
                <w:sz w:val="14"/>
                <w:szCs w:val="14"/>
                <w:color w:val="auto"/>
              </w:rPr>
              <w:t>receivables</w:t>
            </w: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r>
      <w:tr>
        <w:trPr>
          <w:trHeight w:val="209"/>
        </w:trPr>
        <w:tc>
          <w:tcPr>
            <w:tcW w:w="80" w:type="dxa"/>
            <w:vAlign w:val="bottom"/>
            <w:shd w:val="clear" w:color="auto" w:fill="CFF0FC"/>
          </w:tcPr>
          <w:p>
            <w:pPr>
              <w:spacing w:after="0"/>
              <w:rPr>
                <w:sz w:val="18"/>
                <w:szCs w:val="18"/>
                <w:color w:val="auto"/>
              </w:rPr>
            </w:pPr>
          </w:p>
        </w:tc>
        <w:tc>
          <w:tcPr>
            <w:tcW w:w="274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SFR mortgage</w:t>
            </w:r>
          </w:p>
        </w:tc>
        <w:tc>
          <w:tcPr>
            <w:tcW w:w="102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Consumer and other loans</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7"/>
                <w:szCs w:val="17"/>
                <w:color w:val="auto"/>
              </w:rPr>
            </w:pPr>
          </w:p>
        </w:tc>
      </w:tr>
      <w:tr>
        <w:trPr>
          <w:trHeight w:val="209"/>
        </w:trPr>
        <w:tc>
          <w:tcPr>
            <w:tcW w:w="80" w:type="dxa"/>
            <w:vAlign w:val="bottom"/>
            <w:shd w:val="clear" w:color="auto" w:fill="CFF0FC"/>
          </w:tcPr>
          <w:p>
            <w:pPr>
              <w:spacing w:after="0"/>
              <w:rPr>
                <w:sz w:val="18"/>
                <w:szCs w:val="18"/>
                <w:color w:val="auto"/>
              </w:rPr>
            </w:pPr>
          </w:p>
        </w:tc>
        <w:tc>
          <w:tcPr>
            <w:tcW w:w="274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Other real estate owned</w:t>
            </w:r>
          </w:p>
        </w:tc>
        <w:tc>
          <w:tcPr>
            <w:tcW w:w="102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r>
      <w:tr>
        <w:trPr>
          <w:trHeight w:val="203"/>
        </w:trPr>
        <w:tc>
          <w:tcPr>
            <w:tcW w:w="80" w:type="dxa"/>
            <w:vAlign w:val="bottom"/>
          </w:tcPr>
          <w:p>
            <w:pPr>
              <w:spacing w:after="0"/>
              <w:rPr>
                <w:sz w:val="17"/>
                <w:szCs w:val="17"/>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Asset held-for-sale</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36"/>
        </w:trPr>
        <w:tc>
          <w:tcPr>
            <w:tcW w:w="80" w:type="dxa"/>
            <w:vAlign w:val="bottom"/>
            <w:shd w:val="clear" w:color="auto" w:fill="CFF0FC"/>
          </w:tcPr>
          <w:p>
            <w:pPr>
              <w:spacing w:after="0"/>
              <w:rPr>
                <w:sz w:val="20"/>
                <w:szCs w:val="20"/>
                <w:color w:val="auto"/>
              </w:rPr>
            </w:pPr>
          </w:p>
        </w:tc>
        <w:tc>
          <w:tcPr>
            <w:tcW w:w="2740" w:type="dxa"/>
            <w:vAlign w:val="bottom"/>
            <w:tcBorders>
              <w:right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Total assets</w:t>
            </w:r>
          </w:p>
        </w:tc>
        <w:tc>
          <w:tcPr>
            <w:tcW w:w="1020" w:type="dxa"/>
            <w:vAlign w:val="bottom"/>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840</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w w:val="76"/>
              </w:rPr>
              <w:t>$</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ind w:right="1152"/>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3,241</w:t>
            </w:r>
          </w:p>
        </w:tc>
        <w:tc>
          <w:tcPr>
            <w:tcW w:w="60" w:type="dxa"/>
            <w:vAlign w:val="bottom"/>
            <w:shd w:val="clear" w:color="auto" w:fill="CFF0FC"/>
          </w:tcPr>
          <w:p>
            <w:pPr>
              <w:spacing w:after="0"/>
              <w:rPr>
                <w:sz w:val="20"/>
                <w:szCs w:val="20"/>
                <w:color w:val="auto"/>
              </w:rPr>
            </w:pPr>
          </w:p>
        </w:tc>
      </w:tr>
      <w:tr>
        <w:trPr>
          <w:trHeight w:val="376"/>
        </w:trPr>
        <w:tc>
          <w:tcPr>
            <w:tcW w:w="80" w:type="dxa"/>
            <w:vAlign w:val="bottom"/>
            <w:tcBorders>
              <w:top w:val="single" w:sz="8" w:color="CFF0FC"/>
            </w:tcBorders>
          </w:tcPr>
          <w:p>
            <w:pPr>
              <w:spacing w:after="0"/>
              <w:rPr>
                <w:sz w:val="24"/>
                <w:szCs w:val="24"/>
                <w:color w:val="auto"/>
              </w:rPr>
            </w:pPr>
          </w:p>
        </w:tc>
        <w:tc>
          <w:tcPr>
            <w:tcW w:w="274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2"/>
              </w:rPr>
              <w:t>Quoted Prices</w:t>
            </w: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r>
      <w:tr>
        <w:trPr>
          <w:trHeight w:val="175"/>
        </w:trPr>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jc w:val="center"/>
              <w:ind w:left="332"/>
              <w:spacing w:after="0"/>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in Active</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jc w:val="center"/>
              <w:ind w:left="332"/>
              <w:spacing w:after="0"/>
              <w:rPr>
                <w:sz w:val="20"/>
                <w:szCs w:val="20"/>
                <w:color w:val="auto"/>
              </w:rPr>
            </w:pPr>
            <w:r>
              <w:rPr>
                <w:rFonts w:ascii="Arial" w:cs="Arial" w:eastAsia="Arial" w:hAnsi="Arial"/>
                <w:sz w:val="14"/>
                <w:szCs w:val="14"/>
                <w:b w:val="1"/>
                <w:bCs w:val="1"/>
                <w:color w:val="auto"/>
                <w:w w:val="93"/>
              </w:rPr>
              <w:t>Value at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Markets for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w w:val="92"/>
              </w:rPr>
              <w:t>Total Losses For</w:t>
            </w: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72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rPr>
              <w:t>the Year Ended</w:t>
            </w:r>
          </w:p>
        </w:tc>
        <w:tc>
          <w:tcPr>
            <w:tcW w:w="60" w:type="dxa"/>
            <w:vAlign w:val="bottom"/>
          </w:tcPr>
          <w:p>
            <w:pPr>
              <w:spacing w:after="0"/>
              <w:rPr>
                <w:sz w:val="15"/>
                <w:szCs w:val="15"/>
                <w:color w:val="auto"/>
              </w:rPr>
            </w:pPr>
          </w:p>
        </w:tc>
      </w:tr>
      <w:tr>
        <w:trPr>
          <w:trHeight w:val="192"/>
        </w:trPr>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b w:val="1"/>
                <w:bCs w:val="1"/>
                <w:color w:val="auto"/>
                <w:w w:val="90"/>
              </w:rPr>
              <w:t>December 31, 2020</w:t>
            </w:r>
          </w:p>
        </w:tc>
        <w:tc>
          <w:tcPr>
            <w:tcW w:w="60" w:type="dxa"/>
            <w:vAlign w:val="bottom"/>
          </w:tcPr>
          <w:p>
            <w:pPr>
              <w:spacing w:after="0"/>
              <w:rPr>
                <w:sz w:val="16"/>
                <w:szCs w:val="16"/>
                <w:color w:val="auto"/>
              </w:rPr>
            </w:pPr>
          </w:p>
        </w:tc>
      </w:tr>
      <w:tr>
        <w:trPr>
          <w:trHeight w:val="194"/>
        </w:trPr>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3"/>
                <w:szCs w:val="13"/>
                <w:i w:val="1"/>
                <w:iCs w:val="1"/>
                <w:color w:val="auto"/>
                <w:w w:val="90"/>
              </w:rPr>
              <w:t>(Dollars in thousands)</w:t>
            </w:r>
          </w:p>
        </w:tc>
        <w:tc>
          <w:tcPr>
            <w:tcW w:w="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80" w:type="dxa"/>
            <w:vAlign w:val="bottom"/>
          </w:tcPr>
          <w:p>
            <w:pPr>
              <w:spacing w:after="0"/>
              <w:rPr>
                <w:sz w:val="18"/>
                <w:szCs w:val="18"/>
                <w:color w:val="auto"/>
              </w:rPr>
            </w:pPr>
          </w:p>
        </w:tc>
        <w:tc>
          <w:tcPr>
            <w:tcW w:w="27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Description of assets</w:t>
            </w:r>
          </w:p>
        </w:tc>
        <w:tc>
          <w:tcPr>
            <w:tcW w:w="102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2740" w:type="dxa"/>
            <w:vAlign w:val="bottom"/>
          </w:tcPr>
          <w:p>
            <w:pPr>
              <w:ind w:left="100"/>
              <w:spacing w:after="0"/>
              <w:rPr>
                <w:sz w:val="20"/>
                <w:szCs w:val="20"/>
                <w:color w:val="auto"/>
              </w:rPr>
            </w:pPr>
            <w:r>
              <w:rPr>
                <w:rFonts w:ascii="Arial" w:cs="Arial" w:eastAsia="Arial" w:hAnsi="Arial"/>
                <w:sz w:val="14"/>
                <w:szCs w:val="14"/>
                <w:color w:val="auto"/>
              </w:rPr>
              <w:t>Loans:</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80" w:type="dxa"/>
            <w:vAlign w:val="bottom"/>
          </w:tcPr>
          <w:p>
            <w:pPr>
              <w:spacing w:after="0"/>
              <w:rPr>
                <w:sz w:val="18"/>
                <w:szCs w:val="18"/>
                <w:color w:val="auto"/>
              </w:rPr>
            </w:pPr>
          </w:p>
        </w:tc>
        <w:tc>
          <w:tcPr>
            <w:tcW w:w="274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Commercial real estate</w:t>
            </w:r>
          </w:p>
        </w:tc>
        <w:tc>
          <w:tcPr>
            <w:tcW w:w="1020" w:type="dxa"/>
            <w:vAlign w:val="bottom"/>
            <w:shd w:val="clear" w:color="auto" w:fill="CFF0FC"/>
          </w:tcPr>
          <w:p>
            <w:pPr>
              <w:jc w:val="right"/>
              <w:ind w:right="872"/>
              <w:spacing w:after="0"/>
              <w:rPr>
                <w:sz w:val="20"/>
                <w:szCs w:val="20"/>
                <w:color w:val="auto"/>
              </w:rPr>
            </w:pPr>
            <w:r>
              <w:rPr>
                <w:rFonts w:ascii="Arial" w:cs="Arial" w:eastAsia="Arial" w:hAnsi="Arial"/>
                <w:sz w:val="14"/>
                <w:szCs w:val="14"/>
                <w:color w:val="auto"/>
                <w:w w:val="76"/>
              </w:rPr>
              <w:t>$</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w w:val="76"/>
              </w:rPr>
              <w:t>$</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ind w:right="1192"/>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74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9"/>
        </w:trPr>
        <w:tc>
          <w:tcPr>
            <w:tcW w:w="80" w:type="dxa"/>
            <w:vAlign w:val="bottom"/>
          </w:tcPr>
          <w:p>
            <w:pPr>
              <w:spacing w:after="0"/>
              <w:rPr>
                <w:sz w:val="18"/>
                <w:szCs w:val="18"/>
                <w:color w:val="auto"/>
              </w:rPr>
            </w:pPr>
          </w:p>
        </w:tc>
        <w:tc>
          <w:tcPr>
            <w:tcW w:w="274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SBA</w:t>
            </w:r>
          </w:p>
        </w:tc>
        <w:tc>
          <w:tcPr>
            <w:tcW w:w="102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74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4,266</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4,266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2,316</w:t>
            </w:r>
          </w:p>
        </w:tc>
        <w:tc>
          <w:tcPr>
            <w:tcW w:w="60" w:type="dxa"/>
            <w:vAlign w:val="bottom"/>
          </w:tcPr>
          <w:p>
            <w:pPr>
              <w:spacing w:after="0"/>
              <w:rPr>
                <w:sz w:val="17"/>
                <w:szCs w:val="17"/>
                <w:color w:val="auto"/>
              </w:rPr>
            </w:pPr>
          </w:p>
        </w:tc>
      </w:tr>
      <w:tr>
        <w:trPr>
          <w:trHeight w:val="190"/>
        </w:trPr>
        <w:tc>
          <w:tcPr>
            <w:tcW w:w="80" w:type="dxa"/>
            <w:vAlign w:val="bottom"/>
          </w:tcPr>
          <w:p>
            <w:pPr>
              <w:spacing w:after="0"/>
              <w:rPr>
                <w:sz w:val="16"/>
                <w:szCs w:val="16"/>
                <w:color w:val="auto"/>
              </w:rPr>
            </w:pPr>
          </w:p>
        </w:tc>
        <w:tc>
          <w:tcPr>
            <w:tcW w:w="274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Dairy &amp; livestock and</w:t>
            </w:r>
          </w:p>
        </w:tc>
        <w:tc>
          <w:tcPr>
            <w:tcW w:w="1020" w:type="dxa"/>
            <w:vAlign w:val="bottom"/>
            <w:shd w:val="clear" w:color="auto" w:fill="CFF0FC"/>
          </w:tcPr>
          <w:p>
            <w:pPr>
              <w:spacing w:after="0"/>
              <w:rPr>
                <w:sz w:val="16"/>
                <w:szCs w:val="16"/>
                <w:color w:val="auto"/>
              </w:rPr>
            </w:pPr>
          </w:p>
        </w:tc>
        <w:tc>
          <w:tcPr>
            <w:tcW w:w="44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80" w:type="dxa"/>
            <w:vAlign w:val="bottom"/>
          </w:tcPr>
          <w:p>
            <w:pPr>
              <w:spacing w:after="0"/>
              <w:rPr>
                <w:sz w:val="16"/>
                <w:szCs w:val="16"/>
                <w:color w:val="auto"/>
              </w:rPr>
            </w:pPr>
          </w:p>
        </w:tc>
        <w:tc>
          <w:tcPr>
            <w:tcW w:w="274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agribusiness</w:t>
            </w:r>
          </w:p>
        </w:tc>
        <w:tc>
          <w:tcPr>
            <w:tcW w:w="1020" w:type="dxa"/>
            <w:vAlign w:val="bottom"/>
            <w:shd w:val="clear" w:color="auto" w:fill="CFF0FC"/>
          </w:tcPr>
          <w:p>
            <w:pPr>
              <w:spacing w:after="0"/>
              <w:rPr>
                <w:sz w:val="16"/>
                <w:szCs w:val="16"/>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r>
      <w:tr>
        <w:trPr>
          <w:trHeight w:val="184"/>
        </w:trPr>
        <w:tc>
          <w:tcPr>
            <w:tcW w:w="80" w:type="dxa"/>
            <w:vAlign w:val="bottom"/>
          </w:tcPr>
          <w:p>
            <w:pPr>
              <w:spacing w:after="0"/>
              <w:rPr>
                <w:sz w:val="15"/>
                <w:szCs w:val="15"/>
                <w:color w:val="auto"/>
              </w:rPr>
            </w:pPr>
          </w:p>
        </w:tc>
        <w:tc>
          <w:tcPr>
            <w:tcW w:w="2740" w:type="dxa"/>
            <w:vAlign w:val="bottom"/>
          </w:tcPr>
          <w:p>
            <w:pPr>
              <w:ind w:left="280"/>
              <w:spacing w:after="0"/>
              <w:rPr>
                <w:sz w:val="20"/>
                <w:szCs w:val="20"/>
                <w:color w:val="auto"/>
              </w:rPr>
            </w:pPr>
            <w:r>
              <w:rPr>
                <w:rFonts w:ascii="Arial" w:cs="Arial" w:eastAsia="Arial" w:hAnsi="Arial"/>
                <w:sz w:val="14"/>
                <w:szCs w:val="14"/>
                <w:color w:val="auto"/>
              </w:rPr>
              <w:t>Municipal lease finance</w:t>
            </w: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8"/>
        </w:trPr>
        <w:tc>
          <w:tcPr>
            <w:tcW w:w="80" w:type="dxa"/>
            <w:vAlign w:val="bottom"/>
          </w:tcPr>
          <w:p>
            <w:pPr>
              <w:spacing w:after="0"/>
              <w:rPr>
                <w:sz w:val="16"/>
                <w:szCs w:val="16"/>
                <w:color w:val="auto"/>
              </w:rPr>
            </w:pPr>
          </w:p>
        </w:tc>
        <w:tc>
          <w:tcPr>
            <w:tcW w:w="2740" w:type="dxa"/>
            <w:vAlign w:val="bottom"/>
          </w:tcPr>
          <w:p>
            <w:pPr>
              <w:ind w:left="380"/>
              <w:spacing w:after="0"/>
              <w:rPr>
                <w:sz w:val="20"/>
                <w:szCs w:val="20"/>
                <w:color w:val="auto"/>
              </w:rPr>
            </w:pPr>
            <w:r>
              <w:rPr>
                <w:rFonts w:ascii="Arial" w:cs="Arial" w:eastAsia="Arial" w:hAnsi="Arial"/>
                <w:sz w:val="14"/>
                <w:szCs w:val="14"/>
                <w:color w:val="auto"/>
              </w:rPr>
              <w:t>receivables</w:t>
            </w: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r>
      <w:tr>
        <w:trPr>
          <w:trHeight w:val="208"/>
        </w:trPr>
        <w:tc>
          <w:tcPr>
            <w:tcW w:w="80" w:type="dxa"/>
            <w:vAlign w:val="bottom"/>
          </w:tcPr>
          <w:p>
            <w:pPr>
              <w:spacing w:after="0"/>
              <w:rPr>
                <w:sz w:val="18"/>
                <w:szCs w:val="18"/>
                <w:color w:val="auto"/>
              </w:rPr>
            </w:pPr>
          </w:p>
        </w:tc>
        <w:tc>
          <w:tcPr>
            <w:tcW w:w="274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SFR mortgage</w:t>
            </w:r>
          </w:p>
        </w:tc>
        <w:tc>
          <w:tcPr>
            <w:tcW w:w="102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2740" w:type="dxa"/>
            <w:vAlign w:val="bottom"/>
          </w:tcPr>
          <w:p>
            <w:pPr>
              <w:ind w:left="280"/>
              <w:spacing w:after="0"/>
              <w:rPr>
                <w:sz w:val="20"/>
                <w:szCs w:val="20"/>
                <w:color w:val="auto"/>
              </w:rPr>
            </w:pPr>
            <w:r>
              <w:rPr>
                <w:rFonts w:ascii="Arial" w:cs="Arial" w:eastAsia="Arial" w:hAnsi="Arial"/>
                <w:sz w:val="14"/>
                <w:szCs w:val="14"/>
                <w:color w:val="auto"/>
              </w:rPr>
              <w:t>Consumer and other loans</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8"/>
        </w:trPr>
        <w:tc>
          <w:tcPr>
            <w:tcW w:w="80" w:type="dxa"/>
            <w:vAlign w:val="bottom"/>
          </w:tcPr>
          <w:p>
            <w:pPr>
              <w:spacing w:after="0"/>
              <w:rPr>
                <w:sz w:val="18"/>
                <w:szCs w:val="18"/>
                <w:color w:val="auto"/>
              </w:rPr>
            </w:pPr>
          </w:p>
        </w:tc>
        <w:tc>
          <w:tcPr>
            <w:tcW w:w="274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Other real estate owned</w:t>
            </w:r>
          </w:p>
        </w:tc>
        <w:tc>
          <w:tcPr>
            <w:tcW w:w="102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2,275</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700</w:t>
            </w:r>
          </w:p>
        </w:tc>
        <w:tc>
          <w:tcPr>
            <w:tcW w:w="60" w:type="dxa"/>
            <w:vAlign w:val="bottom"/>
          </w:tcPr>
          <w:p>
            <w:pPr>
              <w:spacing w:after="0"/>
              <w:rPr>
                <w:sz w:val="18"/>
                <w:szCs w:val="18"/>
                <w:color w:val="auto"/>
              </w:rPr>
            </w:pPr>
          </w:p>
        </w:tc>
      </w:tr>
      <w:tr>
        <w:trPr>
          <w:trHeight w:val="203"/>
        </w:trPr>
        <w:tc>
          <w:tcPr>
            <w:tcW w:w="80" w:type="dxa"/>
            <w:vAlign w:val="bottom"/>
          </w:tcPr>
          <w:p>
            <w:pPr>
              <w:spacing w:after="0"/>
              <w:rPr>
                <w:sz w:val="17"/>
                <w:szCs w:val="17"/>
                <w:color w:val="auto"/>
              </w:rPr>
            </w:pPr>
          </w:p>
        </w:tc>
        <w:tc>
          <w:tcPr>
            <w:tcW w:w="2740" w:type="dxa"/>
            <w:vAlign w:val="bottom"/>
          </w:tcPr>
          <w:p>
            <w:pPr>
              <w:ind w:left="100"/>
              <w:spacing w:after="0"/>
              <w:rPr>
                <w:sz w:val="20"/>
                <w:szCs w:val="20"/>
                <w:color w:val="auto"/>
              </w:rPr>
            </w:pPr>
            <w:r>
              <w:rPr>
                <w:rFonts w:ascii="Arial" w:cs="Arial" w:eastAsia="Arial" w:hAnsi="Arial"/>
                <w:sz w:val="14"/>
                <w:szCs w:val="14"/>
                <w:color w:val="auto"/>
              </w:rPr>
              <w:t>Asset held-for-sale</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274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4"/>
                <w:szCs w:val="14"/>
                <w:color w:val="auto"/>
              </w:rPr>
              <w:t>Total assets</w:t>
            </w:r>
          </w:p>
        </w:tc>
        <w:tc>
          <w:tcPr>
            <w:tcW w:w="1020" w:type="dxa"/>
            <w:vAlign w:val="bottom"/>
            <w:shd w:val="clear" w:color="auto" w:fill="CFF0FC"/>
          </w:tcPr>
          <w:p>
            <w:pPr>
              <w:jc w:val="right"/>
              <w:ind w:right="872"/>
              <w:spacing w:after="0"/>
              <w:rPr>
                <w:sz w:val="20"/>
                <w:szCs w:val="20"/>
                <w:color w:val="auto"/>
              </w:rPr>
            </w:pPr>
            <w:r>
              <w:rPr>
                <w:rFonts w:ascii="Arial" w:cs="Arial" w:eastAsia="Arial" w:hAnsi="Arial"/>
                <w:sz w:val="14"/>
                <w:szCs w:val="14"/>
                <w:color w:val="auto"/>
                <w:w w:val="76"/>
              </w:rPr>
              <w:t>$</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6,617</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w w:val="76"/>
              </w:rPr>
              <w:t>$</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jc w:val="right"/>
              <w:ind w:right="1192"/>
              <w:spacing w:after="0"/>
              <w:rPr>
                <w:sz w:val="20"/>
                <w:szCs w:val="20"/>
                <w:color w:val="auto"/>
              </w:rPr>
            </w:pPr>
            <w:r>
              <w:rPr>
                <w:rFonts w:ascii="Arial" w:cs="Arial" w:eastAsia="Arial" w:hAnsi="Arial"/>
                <w:sz w:val="10"/>
                <w:szCs w:val="10"/>
                <w:color w:val="auto"/>
                <w:w w:val="71"/>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3,040</w:t>
            </w:r>
          </w:p>
        </w:tc>
        <w:tc>
          <w:tcPr>
            <w:tcW w:w="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-2802255</wp:posOffset>
            </wp:positionV>
            <wp:extent cx="18034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-2785745</wp:posOffset>
            </wp:positionV>
            <wp:extent cx="18034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-2802255</wp:posOffset>
            </wp:positionV>
            <wp:extent cx="17970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-2785745</wp:posOffset>
            </wp:positionV>
            <wp:extent cx="17970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-2802255</wp:posOffset>
            </wp:positionV>
            <wp:extent cx="1625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-2785745</wp:posOffset>
            </wp:positionV>
            <wp:extent cx="16256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-2802255</wp:posOffset>
            </wp:positionV>
            <wp:extent cx="1631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-2785745</wp:posOffset>
            </wp:positionV>
            <wp:extent cx="16319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-25400</wp:posOffset>
            </wp:positionV>
            <wp:extent cx="17145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17145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-25400</wp:posOffset>
            </wp:positionV>
            <wp:extent cx="17145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17145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17145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17145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15430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5430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596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596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ind w:right="20" w:firstLine="469"/>
        <w:spacing w:after="0" w:line="272" w:lineRule="auto"/>
        <w:rPr>
          <w:sz w:val="20"/>
          <w:szCs w:val="20"/>
          <w:color w:val="auto"/>
        </w:rPr>
      </w:pPr>
      <w:r>
        <w:rPr>
          <w:rFonts w:ascii="Arial" w:cs="Arial" w:eastAsia="Arial" w:hAnsi="Arial"/>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September 30, 2021 and December 31, 2020, respectively. The use of different market assumptions and/or estimation methodologies may have a material effect on the estimated fair value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September 30, 2021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Estimated Fair Value</w:t>
            </w:r>
          </w:p>
        </w:tc>
        <w:tc>
          <w:tcPr>
            <w:tcW w:w="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r>
      <w:tr>
        <w:trPr>
          <w:trHeight w:val="223"/>
        </w:trPr>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gridSpan w:val="4"/>
          </w:tcPr>
          <w:p>
            <w:pPr>
              <w:ind w:left="10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100" w:type="dxa"/>
            <w:vAlign w:val="bottom"/>
          </w:tcPr>
          <w:p>
            <w:pPr>
              <w:ind w:left="20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2,561,363</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2,561,363</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2,561,363</w:t>
            </w:r>
          </w:p>
        </w:tc>
        <w:tc>
          <w:tcPr>
            <w:tcW w:w="100" w:type="dxa"/>
            <w:vAlign w:val="bottom"/>
          </w:tcPr>
          <w:p>
            <w:pPr>
              <w:spacing w:after="0"/>
              <w:rPr>
                <w:sz w:val="21"/>
                <w:szCs w:val="21"/>
                <w:color w:val="auto"/>
              </w:rPr>
            </w:pPr>
          </w:p>
        </w:tc>
      </w:tr>
      <w:tr>
        <w:trPr>
          <w:trHeight w:val="249"/>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Interest-earning balances due from</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1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depository institutions</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27,260</w:t>
            </w:r>
          </w:p>
        </w:tc>
        <w:tc>
          <w:tcPr>
            <w:tcW w:w="100" w:type="dxa"/>
            <w:vAlign w:val="bottom"/>
            <w:shd w:val="clear" w:color="auto" w:fill="CFF0FC"/>
          </w:tcPr>
          <w:p>
            <w:pPr>
              <w:spacing w:after="0"/>
              <w:rPr>
                <w:sz w:val="21"/>
                <w:szCs w:val="21"/>
                <w:color w:val="auto"/>
              </w:rPr>
            </w:pPr>
          </w:p>
        </w:tc>
      </w:tr>
      <w:tr>
        <w:trPr>
          <w:trHeight w:val="250"/>
        </w:trPr>
        <w:tc>
          <w:tcPr>
            <w:tcW w:w="4100" w:type="dxa"/>
            <w:vAlign w:val="bottom"/>
          </w:tcPr>
          <w:p>
            <w:pPr>
              <w:ind w:left="200"/>
              <w:spacing w:after="0"/>
              <w:rPr>
                <w:sz w:val="20"/>
                <w:szCs w:val="20"/>
                <w:color w:val="auto"/>
              </w:rPr>
            </w:pPr>
            <w:r>
              <w:rPr>
                <w:rFonts w:ascii="Arial" w:cs="Arial" w:eastAsia="Arial" w:hAnsi="Arial"/>
                <w:sz w:val="18"/>
                <w:szCs w:val="18"/>
                <w:color w:val="auto"/>
              </w:rPr>
              <w:t>Investment securities available-for-sale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2,925,060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2,925,060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2,925,060</w:t>
            </w:r>
          </w:p>
        </w:tc>
        <w:tc>
          <w:tcPr>
            <w:tcW w:w="100" w:type="dxa"/>
            <w:vAlign w:val="bottom"/>
          </w:tcPr>
          <w:p>
            <w:pPr>
              <w:spacing w:after="0"/>
              <w:rPr>
                <w:sz w:val="21"/>
                <w:szCs w:val="21"/>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securities held-to-maturity</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1,710,938</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1,717,230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1,717,230</w:t>
            </w:r>
          </w:p>
        </w:tc>
        <w:tc>
          <w:tcPr>
            <w:tcW w:w="100" w:type="dxa"/>
            <w:vAlign w:val="bottom"/>
            <w:shd w:val="clear" w:color="auto" w:fill="CFF0FC"/>
          </w:tcPr>
          <w:p>
            <w:pPr>
              <w:spacing w:after="0"/>
              <w:rPr>
                <w:sz w:val="22"/>
                <w:szCs w:val="22"/>
                <w:color w:val="auto"/>
              </w:rPr>
            </w:pPr>
          </w:p>
        </w:tc>
      </w:tr>
      <w:tr>
        <w:trPr>
          <w:trHeight w:val="242"/>
        </w:trPr>
        <w:tc>
          <w:tcPr>
            <w:tcW w:w="4100" w:type="dxa"/>
            <w:vAlign w:val="bottom"/>
          </w:tcPr>
          <w:p>
            <w:pPr>
              <w:ind w:left="200"/>
              <w:spacing w:after="0"/>
              <w:rPr>
                <w:sz w:val="20"/>
                <w:szCs w:val="20"/>
                <w:color w:val="auto"/>
              </w:rPr>
            </w:pPr>
            <w:r>
              <w:rPr>
                <w:rFonts w:ascii="Arial" w:cs="Arial" w:eastAsia="Arial" w:hAnsi="Arial"/>
                <w:sz w:val="18"/>
                <w:szCs w:val="18"/>
                <w:color w:val="auto"/>
              </w:rPr>
              <w:t>Total loans, net of allowance for credit</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100" w:type="dxa"/>
            <w:vAlign w:val="bottom"/>
          </w:tcPr>
          <w:p>
            <w:pPr>
              <w:ind w:left="34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7,784,156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7,739,732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7,739,732</w:t>
            </w:r>
          </w:p>
        </w:tc>
        <w:tc>
          <w:tcPr>
            <w:tcW w:w="100" w:type="dxa"/>
            <w:vAlign w:val="bottom"/>
          </w:tcPr>
          <w:p>
            <w:pPr>
              <w:spacing w:after="0"/>
              <w:rPr>
                <w:sz w:val="20"/>
                <w:szCs w:val="20"/>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Swaps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shd w:val="clear" w:color="auto" w:fill="CFF0FC"/>
          </w:tcPr>
          <w:p>
            <w:pPr>
              <w:spacing w:after="0"/>
              <w:rPr>
                <w:sz w:val="22"/>
                <w:szCs w:val="22"/>
                <w:color w:val="auto"/>
              </w:rPr>
            </w:pP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100" w:type="dxa"/>
            <w:vAlign w:val="bottom"/>
          </w:tcPr>
          <w:p>
            <w:pPr>
              <w:ind w:left="380"/>
              <w:spacing w:after="0"/>
              <w:rPr>
                <w:sz w:val="20"/>
                <w:szCs w:val="20"/>
                <w:color w:val="auto"/>
              </w:rPr>
            </w:pPr>
            <w:r>
              <w:rPr>
                <w:rFonts w:ascii="Arial" w:cs="Arial" w:eastAsia="Arial" w:hAnsi="Arial"/>
                <w:sz w:val="18"/>
                <w:szCs w:val="18"/>
                <w:color w:val="auto"/>
              </w:rPr>
              <w:t>Interest-bearing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4,619,507</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4,619,178</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4,619,178</w:t>
            </w:r>
          </w:p>
        </w:tc>
        <w:tc>
          <w:tcPr>
            <w:tcW w:w="100" w:type="dxa"/>
            <w:vAlign w:val="bottom"/>
          </w:tcPr>
          <w:p>
            <w:pPr>
              <w:spacing w:after="0"/>
              <w:rPr>
                <w:sz w:val="21"/>
                <w:szCs w:val="21"/>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659,579</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609,580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609,580</w:t>
            </w:r>
          </w:p>
        </w:tc>
        <w:tc>
          <w:tcPr>
            <w:tcW w:w="100" w:type="dxa"/>
            <w:vAlign w:val="bottom"/>
            <w:shd w:val="clear" w:color="auto" w:fill="CFF0FC"/>
          </w:tcPr>
          <w:p>
            <w:pPr>
              <w:spacing w:after="0"/>
              <w:rPr>
                <w:sz w:val="22"/>
                <w:szCs w:val="22"/>
                <w:color w:val="auto"/>
              </w:rPr>
            </w:pPr>
          </w:p>
        </w:tc>
      </w:tr>
      <w:tr>
        <w:trPr>
          <w:trHeight w:val="250"/>
        </w:trPr>
        <w:tc>
          <w:tcPr>
            <w:tcW w:w="4100" w:type="dxa"/>
            <w:vAlign w:val="bottom"/>
          </w:tcPr>
          <w:p>
            <w:pPr>
              <w:ind w:left="200"/>
              <w:spacing w:after="0"/>
              <w:rPr>
                <w:sz w:val="20"/>
                <w:szCs w:val="20"/>
                <w:color w:val="auto"/>
              </w:rPr>
            </w:pPr>
            <w:r>
              <w:rPr>
                <w:rFonts w:ascii="Arial" w:cs="Arial" w:eastAsia="Arial" w:hAnsi="Arial"/>
                <w:sz w:val="18"/>
                <w:szCs w:val="18"/>
                <w:color w:val="auto"/>
              </w:rPr>
              <w:t>Junior subordinated debentures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Swaps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shd w:val="clear" w:color="auto" w:fill="CFF0FC"/>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December 31, 2020</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Estimated Fair Value</w:t>
            </w:r>
          </w:p>
        </w:tc>
        <w:tc>
          <w:tcPr>
            <w:tcW w:w="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r>
      <w:tr>
        <w:trPr>
          <w:trHeight w:val="223"/>
        </w:trPr>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gridSpan w:val="4"/>
          </w:tcPr>
          <w:p>
            <w:pPr>
              <w:ind w:left="10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100" w:type="dxa"/>
            <w:vAlign w:val="bottom"/>
          </w:tcPr>
          <w:p>
            <w:pPr>
              <w:ind w:left="20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1,958,160</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1,958,160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1,958,160</w:t>
            </w:r>
          </w:p>
        </w:tc>
        <w:tc>
          <w:tcPr>
            <w:tcW w:w="100" w:type="dxa"/>
            <w:vAlign w:val="bottom"/>
          </w:tcPr>
          <w:p>
            <w:pPr>
              <w:spacing w:after="0"/>
              <w:rPr>
                <w:sz w:val="21"/>
                <w:szCs w:val="21"/>
                <w:color w:val="auto"/>
              </w:rPr>
            </w:pPr>
          </w:p>
        </w:tc>
      </w:tr>
      <w:tr>
        <w:trPr>
          <w:trHeight w:val="249"/>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Interest-earning balances due from</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1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depository institutions</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43,600</w:t>
            </w:r>
          </w:p>
        </w:tc>
        <w:tc>
          <w:tcPr>
            <w:tcW w:w="100" w:type="dxa"/>
            <w:vAlign w:val="bottom"/>
            <w:shd w:val="clear" w:color="auto" w:fill="CFF0FC"/>
          </w:tcPr>
          <w:p>
            <w:pPr>
              <w:spacing w:after="0"/>
              <w:rPr>
                <w:sz w:val="21"/>
                <w:szCs w:val="21"/>
                <w:color w:val="auto"/>
              </w:rPr>
            </w:pPr>
          </w:p>
        </w:tc>
      </w:tr>
      <w:tr>
        <w:trPr>
          <w:trHeight w:val="250"/>
        </w:trPr>
        <w:tc>
          <w:tcPr>
            <w:tcW w:w="4100" w:type="dxa"/>
            <w:vAlign w:val="bottom"/>
          </w:tcPr>
          <w:p>
            <w:pPr>
              <w:ind w:left="200"/>
              <w:spacing w:after="0"/>
              <w:rPr>
                <w:sz w:val="20"/>
                <w:szCs w:val="20"/>
                <w:color w:val="auto"/>
              </w:rPr>
            </w:pPr>
            <w:r>
              <w:rPr>
                <w:rFonts w:ascii="Arial" w:cs="Arial" w:eastAsia="Arial" w:hAnsi="Arial"/>
                <w:sz w:val="18"/>
                <w:szCs w:val="18"/>
                <w:color w:val="auto"/>
              </w:rPr>
              <w:t>Investment securities available-for-sale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2,398,923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2,398,923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2,398,923</w:t>
            </w:r>
          </w:p>
        </w:tc>
        <w:tc>
          <w:tcPr>
            <w:tcW w:w="100" w:type="dxa"/>
            <w:vAlign w:val="bottom"/>
          </w:tcPr>
          <w:p>
            <w:pPr>
              <w:spacing w:after="0"/>
              <w:rPr>
                <w:sz w:val="21"/>
                <w:szCs w:val="21"/>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securities held-to-maturity</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578,626</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604,223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604,223</w:t>
            </w:r>
          </w:p>
        </w:tc>
        <w:tc>
          <w:tcPr>
            <w:tcW w:w="100" w:type="dxa"/>
            <w:vAlign w:val="bottom"/>
            <w:shd w:val="clear" w:color="auto" w:fill="CFF0FC"/>
          </w:tcPr>
          <w:p>
            <w:pPr>
              <w:spacing w:after="0"/>
              <w:rPr>
                <w:sz w:val="22"/>
                <w:szCs w:val="22"/>
                <w:color w:val="auto"/>
              </w:rPr>
            </w:pPr>
          </w:p>
        </w:tc>
      </w:tr>
      <w:tr>
        <w:trPr>
          <w:trHeight w:val="242"/>
        </w:trPr>
        <w:tc>
          <w:tcPr>
            <w:tcW w:w="4100" w:type="dxa"/>
            <w:vAlign w:val="bottom"/>
          </w:tcPr>
          <w:p>
            <w:pPr>
              <w:ind w:left="200"/>
              <w:spacing w:after="0"/>
              <w:rPr>
                <w:sz w:val="20"/>
                <w:szCs w:val="20"/>
                <w:color w:val="auto"/>
              </w:rPr>
            </w:pPr>
            <w:r>
              <w:rPr>
                <w:rFonts w:ascii="Arial" w:cs="Arial" w:eastAsia="Arial" w:hAnsi="Arial"/>
                <w:sz w:val="18"/>
                <w:szCs w:val="18"/>
                <w:color w:val="auto"/>
              </w:rPr>
              <w:t>Total loans, net of allowance for credit</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100" w:type="dxa"/>
            <w:vAlign w:val="bottom"/>
          </w:tcPr>
          <w:p>
            <w:pPr>
              <w:ind w:left="34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8,255,116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8,256,178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8,256,178</w:t>
            </w:r>
          </w:p>
        </w:tc>
        <w:tc>
          <w:tcPr>
            <w:tcW w:w="100" w:type="dxa"/>
            <w:vAlign w:val="bottom"/>
          </w:tcPr>
          <w:p>
            <w:pPr>
              <w:spacing w:after="0"/>
              <w:rPr>
                <w:sz w:val="20"/>
                <w:szCs w:val="20"/>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Swaps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30,181</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30,181</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30,181</w:t>
            </w:r>
          </w:p>
        </w:tc>
        <w:tc>
          <w:tcPr>
            <w:tcW w:w="100" w:type="dxa"/>
            <w:vAlign w:val="bottom"/>
            <w:shd w:val="clear" w:color="auto" w:fill="CFF0FC"/>
          </w:tcPr>
          <w:p>
            <w:pPr>
              <w:spacing w:after="0"/>
              <w:rPr>
                <w:sz w:val="22"/>
                <w:szCs w:val="22"/>
                <w:color w:val="auto"/>
              </w:rPr>
            </w:pP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100" w:type="dxa"/>
            <w:vAlign w:val="bottom"/>
          </w:tcPr>
          <w:p>
            <w:pPr>
              <w:ind w:left="380"/>
              <w:spacing w:after="0"/>
              <w:rPr>
                <w:sz w:val="20"/>
                <w:szCs w:val="20"/>
                <w:color w:val="auto"/>
              </w:rPr>
            </w:pPr>
            <w:r>
              <w:rPr>
                <w:rFonts w:ascii="Arial" w:cs="Arial" w:eastAsia="Arial" w:hAnsi="Arial"/>
                <w:sz w:val="18"/>
                <w:szCs w:val="18"/>
                <w:color w:val="auto"/>
              </w:rPr>
              <w:t>Interest-bearing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4,281,114</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4,281,952</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4,281,952</w:t>
            </w:r>
          </w:p>
        </w:tc>
        <w:tc>
          <w:tcPr>
            <w:tcW w:w="100" w:type="dxa"/>
            <w:vAlign w:val="bottom"/>
          </w:tcPr>
          <w:p>
            <w:pPr>
              <w:spacing w:after="0"/>
              <w:rPr>
                <w:sz w:val="21"/>
                <w:szCs w:val="21"/>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444,406</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444,349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444,349</w:t>
            </w:r>
          </w:p>
        </w:tc>
        <w:tc>
          <w:tcPr>
            <w:tcW w:w="100" w:type="dxa"/>
            <w:vAlign w:val="bottom"/>
            <w:shd w:val="clear" w:color="auto" w:fill="CFF0FC"/>
          </w:tcPr>
          <w:p>
            <w:pPr>
              <w:spacing w:after="0"/>
              <w:rPr>
                <w:sz w:val="22"/>
                <w:szCs w:val="22"/>
                <w:color w:val="auto"/>
              </w:rPr>
            </w:pPr>
          </w:p>
        </w:tc>
      </w:tr>
      <w:tr>
        <w:trPr>
          <w:trHeight w:val="250"/>
        </w:trPr>
        <w:tc>
          <w:tcPr>
            <w:tcW w:w="4100" w:type="dxa"/>
            <w:vAlign w:val="bottom"/>
          </w:tcPr>
          <w:p>
            <w:pPr>
              <w:ind w:left="200"/>
              <w:spacing w:after="0"/>
              <w:rPr>
                <w:sz w:val="20"/>
                <w:szCs w:val="20"/>
                <w:color w:val="auto"/>
              </w:rPr>
            </w:pPr>
            <w:r>
              <w:rPr>
                <w:rFonts w:ascii="Arial" w:cs="Arial" w:eastAsia="Arial" w:hAnsi="Arial"/>
                <w:sz w:val="18"/>
                <w:szCs w:val="18"/>
                <w:color w:val="auto"/>
              </w:rPr>
              <w:t>Junior subordinated debentures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25,774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19,431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21"/>
                <w:szCs w:val="21"/>
                <w:color w:val="auto"/>
              </w:rPr>
            </w:pPr>
          </w:p>
        </w:tc>
      </w:tr>
      <w:tr>
        <w:trPr>
          <w:trHeight w:val="263"/>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Swaps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30,181</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30,181</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30,181</w:t>
            </w:r>
          </w:p>
        </w:tc>
        <w:tc>
          <w:tcPr>
            <w:tcW w:w="100" w:type="dxa"/>
            <w:vAlign w:val="bottom"/>
            <w:shd w:val="clear" w:color="auto" w:fill="CFF0FC"/>
          </w:tcPr>
          <w:p>
            <w:pPr>
              <w:spacing w:after="0"/>
              <w:rPr>
                <w:sz w:val="22"/>
                <w:szCs w:val="22"/>
                <w:color w:val="auto"/>
              </w:rPr>
            </w:pPr>
          </w:p>
        </w:tc>
      </w:tr>
    </w:tbl>
    <w:p>
      <w:pPr>
        <w:spacing w:after="0" w:line="202" w:lineRule="exact"/>
        <w:rPr>
          <w:sz w:val="20"/>
          <w:szCs w:val="20"/>
          <w:color w:val="auto"/>
        </w:rPr>
      </w:pPr>
    </w:p>
    <w:p>
      <w:pPr>
        <w:ind w:right="200" w:firstLine="469"/>
        <w:spacing w:after="0" w:line="275" w:lineRule="auto"/>
        <w:rPr>
          <w:sz w:val="20"/>
          <w:szCs w:val="20"/>
          <w:color w:val="auto"/>
        </w:rPr>
      </w:pPr>
      <w:r>
        <w:rPr>
          <w:rFonts w:ascii="Arial" w:cs="Arial" w:eastAsia="Arial" w:hAnsi="Arial"/>
          <w:sz w:val="18"/>
          <w:szCs w:val="18"/>
          <w:color w:val="auto"/>
        </w:rPr>
        <w:t>The fair value estimates presented herein are based on pertinent information available to management as of September 30, 2021 and December 31, 2020.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9" w:name="page30"/>
    <w:bookmarkEnd w:id="29"/>
    <w:p>
      <w:pPr>
        <w:spacing w:after="0"/>
        <w:tabs>
          <w:tab w:leader="none" w:pos="300" w:val="left"/>
        </w:tabs>
        <w:rPr>
          <w:sz w:val="20"/>
          <w:szCs w:val="20"/>
          <w:color w:val="auto"/>
        </w:rPr>
      </w:pPr>
      <w:r>
        <w:rPr>
          <w:rFonts w:ascii="Arial" w:cs="Arial" w:eastAsia="Arial" w:hAnsi="Arial"/>
          <w:sz w:val="18"/>
          <w:szCs w:val="18"/>
          <w:b w:val="1"/>
          <w:bCs w:val="1"/>
          <w:color w:val="auto"/>
        </w:rPr>
        <w:t>8.</w:t>
        <w:tab/>
        <w:t>DERIVATIVE FINANCIAL INSTRUMENTS</w:t>
      </w:r>
    </w:p>
    <w:p>
      <w:pPr>
        <w:spacing w:after="0" w:line="256" w:lineRule="exact"/>
        <w:rPr>
          <w:sz w:val="20"/>
          <w:szCs w:val="20"/>
          <w:color w:val="auto"/>
        </w:rPr>
      </w:pPr>
    </w:p>
    <w:p>
      <w:pPr>
        <w:ind w:right="40" w:firstLine="469"/>
        <w:spacing w:after="0" w:line="271" w:lineRule="auto"/>
        <w:rPr>
          <w:sz w:val="20"/>
          <w:szCs w:val="20"/>
          <w:color w:val="auto"/>
        </w:rPr>
      </w:pPr>
      <w:r>
        <w:rPr>
          <w:rFonts w:ascii="Arial" w:cs="Arial" w:eastAsia="Arial" w:hAnsi="Arial"/>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September 30, 2021, the Bank has entered into 144 interest-rate swap agreements with customers with a notional amount totaling $502.4 million. The Bank then entered into identical offsetting swaps with a counterparty.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204" w:lineRule="exact"/>
        <w:rPr>
          <w:sz w:val="20"/>
          <w:szCs w:val="20"/>
          <w:color w:val="auto"/>
        </w:rPr>
      </w:pPr>
    </w:p>
    <w:p>
      <w:pPr>
        <w:ind w:firstLine="469"/>
        <w:spacing w:after="0" w:line="286" w:lineRule="auto"/>
        <w:rPr>
          <w:sz w:val="20"/>
          <w:szCs w:val="20"/>
          <w:color w:val="auto"/>
        </w:rPr>
      </w:pPr>
      <w:r>
        <w:rPr>
          <w:rFonts w:ascii="Arial" w:cs="Arial" w:eastAsia="Arial" w:hAnsi="Arial"/>
          <w:sz w:val="17"/>
          <w:szCs w:val="17"/>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LIBOR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As a result of the Bank exceeding $10 billion in assets, federal regulations required the Bank, beginning in January 2019, to clear most interest rate swaps through a clearing house (“centrally cleared”).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92" w:lineRule="exact"/>
        <w:rPr>
          <w:sz w:val="20"/>
          <w:szCs w:val="20"/>
          <w:color w:val="auto"/>
        </w:rPr>
      </w:pPr>
    </w:p>
    <w:p>
      <w:pPr>
        <w:ind w:right="280" w:firstLine="469"/>
        <w:spacing w:after="0" w:line="279" w:lineRule="auto"/>
        <w:rPr>
          <w:sz w:val="20"/>
          <w:szCs w:val="20"/>
          <w:color w:val="auto"/>
        </w:rPr>
      </w:pPr>
      <w:r>
        <w:rPr>
          <w:rFonts w:ascii="Arial" w:cs="Arial" w:eastAsia="Arial" w:hAnsi="Arial"/>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Balance Sheet Classification of Derivative Financial Instruments</w:t>
      </w:r>
    </w:p>
    <w:p>
      <w:pPr>
        <w:spacing w:after="0" w:line="252" w:lineRule="exact"/>
        <w:rPr>
          <w:sz w:val="20"/>
          <w:szCs w:val="20"/>
          <w:color w:val="auto"/>
        </w:rPr>
      </w:pPr>
    </w:p>
    <w:p>
      <w:pPr>
        <w:ind w:right="480" w:firstLine="469"/>
        <w:spacing w:after="0" w:line="293" w:lineRule="auto"/>
        <w:rPr>
          <w:sz w:val="20"/>
          <w:szCs w:val="20"/>
          <w:color w:val="auto"/>
        </w:rPr>
      </w:pPr>
      <w:r>
        <w:rPr>
          <w:rFonts w:ascii="Arial" w:cs="Arial" w:eastAsia="Arial" w:hAnsi="Arial"/>
          <w:sz w:val="18"/>
          <w:szCs w:val="18"/>
          <w:color w:val="auto"/>
        </w:rPr>
        <w:t>As of September 30, 2021 and December 31, 2020, the total notional amount of the Company’s swaps was $502.4 million, and $503.8 million, respectively. The location of the asset and liability, and their respective fair values, are summarized in the tables below.</w:t>
      </w:r>
    </w:p>
    <w:p>
      <w:pPr>
        <w:sectPr>
          <w:pgSz w:w="11900" w:h="16838" w:orient="portrait"/>
          <w:cols w:equalWidth="0" w:num="1">
            <w:col w:w="11240"/>
          </w:cols>
          <w:pgMar w:left="320" w:top="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not designated as hedging instruments:</w:t>
      </w:r>
    </w:p>
    <w:p>
      <w:pPr>
        <w:spacing w:after="0" w:line="86" w:lineRule="exact"/>
        <w:rPr>
          <w:sz w:val="20"/>
          <w:szCs w:val="20"/>
          <w:color w:val="auto"/>
        </w:rPr>
      </w:pPr>
    </w:p>
    <w:p>
      <w:pPr>
        <w:jc w:val="right"/>
        <w:ind w:right="2860"/>
        <w:spacing w:after="0"/>
        <w:rPr>
          <w:sz w:val="20"/>
          <w:szCs w:val="20"/>
          <w:color w:val="auto"/>
        </w:rPr>
      </w:pPr>
      <w:r>
        <w:rPr>
          <w:rFonts w:ascii="Arial" w:cs="Arial" w:eastAsia="Arial" w:hAnsi="Arial"/>
          <w:sz w:val="17"/>
          <w:szCs w:val="17"/>
          <w:color w:val="auto"/>
        </w:rPr>
        <w:t>Interest rate swaps</w:t>
      </w:r>
    </w:p>
    <w:p>
      <w:pPr>
        <w:spacing w:after="0" w:line="102" w:lineRule="exact"/>
        <w:rPr>
          <w:sz w:val="20"/>
          <w:szCs w:val="20"/>
          <w:color w:val="auto"/>
        </w:rPr>
      </w:pPr>
    </w:p>
    <w:p>
      <w:pPr>
        <w:jc w:val="right"/>
        <w:ind w:right="2920"/>
        <w:spacing w:after="0"/>
        <w:rPr>
          <w:sz w:val="20"/>
          <w:szCs w:val="20"/>
          <w:color w:val="auto"/>
        </w:rPr>
      </w:pPr>
      <w:r>
        <w:rPr>
          <w:rFonts w:ascii="Arial" w:cs="Arial" w:eastAsia="Arial" w:hAnsi="Arial"/>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not designated as hedging instruments:</w:t>
      </w:r>
    </w:p>
    <w:p>
      <w:pPr>
        <w:spacing w:after="0" w:line="86" w:lineRule="exact"/>
        <w:rPr>
          <w:sz w:val="20"/>
          <w:szCs w:val="20"/>
          <w:color w:val="auto"/>
        </w:rPr>
      </w:pPr>
    </w:p>
    <w:p>
      <w:pPr>
        <w:jc w:val="right"/>
        <w:ind w:right="2860"/>
        <w:spacing w:after="0"/>
        <w:rPr>
          <w:sz w:val="20"/>
          <w:szCs w:val="20"/>
          <w:color w:val="auto"/>
        </w:rPr>
      </w:pPr>
      <w:r>
        <w:rPr>
          <w:rFonts w:ascii="Arial" w:cs="Arial" w:eastAsia="Arial" w:hAnsi="Arial"/>
          <w:sz w:val="17"/>
          <w:szCs w:val="17"/>
          <w:color w:val="auto"/>
        </w:rPr>
        <w:t>Interest rate swaps</w:t>
      </w:r>
    </w:p>
    <w:p>
      <w:pPr>
        <w:spacing w:after="0" w:line="102" w:lineRule="exact"/>
        <w:rPr>
          <w:sz w:val="20"/>
          <w:szCs w:val="20"/>
          <w:color w:val="auto"/>
        </w:rPr>
      </w:pPr>
    </w:p>
    <w:p>
      <w:pPr>
        <w:jc w:val="right"/>
        <w:ind w:right="2920"/>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38658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Asset Derivatives</w:t>
            </w:r>
          </w:p>
        </w:tc>
        <w:tc>
          <w:tcPr>
            <w:tcW w:w="6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5"/>
              </w:rPr>
              <w:t>Liability Derivatives</w:t>
            </w:r>
          </w:p>
        </w:tc>
        <w:tc>
          <w:tcPr>
            <w:tcW w:w="580" w:type="dxa"/>
            <w:vAlign w:val="bottom"/>
            <w:tcBorders>
              <w:bottom w:val="single" w:sz="8" w:color="auto"/>
            </w:tcBorders>
          </w:tcPr>
          <w:p>
            <w:pPr>
              <w:spacing w:after="0"/>
              <w:rPr>
                <w:sz w:val="20"/>
                <w:szCs w:val="20"/>
                <w:color w:val="auto"/>
              </w:rPr>
            </w:pPr>
          </w:p>
        </w:tc>
      </w:tr>
      <w:tr>
        <w:trPr>
          <w:trHeight w:val="238"/>
        </w:trPr>
        <w:tc>
          <w:tcPr>
            <w:tcW w:w="60" w:type="dxa"/>
            <w:vAlign w:val="bottom"/>
          </w:tcPr>
          <w:p>
            <w:pPr>
              <w:spacing w:after="0"/>
              <w:rPr>
                <w:sz w:val="20"/>
                <w:szCs w:val="20"/>
                <w:color w:val="auto"/>
              </w:rPr>
            </w:pPr>
          </w:p>
        </w:tc>
        <w:tc>
          <w:tcPr>
            <w:tcW w:w="1680" w:type="dxa"/>
            <w:vAlign w:val="bottom"/>
          </w:tcPr>
          <w:p>
            <w:pPr>
              <w:ind w:left="240"/>
              <w:spacing w:after="0"/>
              <w:rPr>
                <w:sz w:val="20"/>
                <w:szCs w:val="20"/>
                <w:color w:val="auto"/>
              </w:rPr>
            </w:pPr>
            <w:r>
              <w:rPr>
                <w:rFonts w:ascii="Arial" w:cs="Arial" w:eastAsia="Arial" w:hAnsi="Arial"/>
                <w:sz w:val="18"/>
                <w:szCs w:val="18"/>
                <w:b w:val="1"/>
                <w:bCs w:val="1"/>
                <w:color w:val="auto"/>
              </w:rPr>
              <w:t>Balance Sheet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ind w:left="300"/>
              <w:spacing w:after="0"/>
              <w:rPr>
                <w:sz w:val="20"/>
                <w:szCs w:val="20"/>
                <w:color w:val="auto"/>
              </w:rPr>
            </w:pPr>
            <w:r>
              <w:rPr>
                <w:rFonts w:ascii="Arial" w:cs="Arial" w:eastAsia="Arial" w:hAnsi="Arial"/>
                <w:sz w:val="18"/>
                <w:szCs w:val="18"/>
                <w:b w:val="1"/>
                <w:bCs w:val="1"/>
                <w:color w:val="auto"/>
              </w:rPr>
              <w:t>Balance Sheet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1"/>
        </w:trPr>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20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0"/>
                <w:szCs w:val="20"/>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Location</w:t>
            </w:r>
          </w:p>
        </w:tc>
        <w:tc>
          <w:tcPr>
            <w:tcW w:w="200" w:type="dxa"/>
            <w:vAlign w:val="bottom"/>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r>
      <w:tr>
        <w:trPr>
          <w:trHeight w:val="224"/>
        </w:trPr>
        <w:tc>
          <w:tcPr>
            <w:tcW w:w="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3"/>
          </w:tcPr>
          <w:p>
            <w:pPr>
              <w:ind w:left="8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46"/>
        </w:trPr>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4"/>
              </w:rPr>
              <w:t>Other assets</w:t>
            </w:r>
          </w:p>
        </w:tc>
        <w:tc>
          <w:tcPr>
            <w:tcW w:w="2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16,176</w:t>
            </w:r>
          </w:p>
        </w:tc>
        <w:tc>
          <w:tcPr>
            <w:tcW w:w="300" w:type="dxa"/>
            <w:vAlign w:val="bottom"/>
          </w:tcPr>
          <w:p>
            <w:pPr>
              <w:spacing w:after="0"/>
              <w:rPr>
                <w:sz w:val="24"/>
                <w:szCs w:val="24"/>
                <w:color w:val="auto"/>
              </w:rPr>
            </w:pPr>
          </w:p>
        </w:tc>
        <w:tc>
          <w:tcPr>
            <w:tcW w:w="172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16,176</w:t>
            </w:r>
          </w:p>
        </w:tc>
      </w:tr>
      <w:tr>
        <w:trPr>
          <w:trHeight w:val="243"/>
        </w:trPr>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16,176</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16,176</w:t>
            </w:r>
          </w:p>
        </w:tc>
      </w:tr>
      <w:tr>
        <w:trPr>
          <w:trHeight w:val="20"/>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53"/>
        </w:trPr>
        <w:tc>
          <w:tcPr>
            <w:tcW w:w="6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Asset Derivatives</w:t>
            </w:r>
          </w:p>
        </w:tc>
        <w:tc>
          <w:tcPr>
            <w:tcW w:w="6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3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5"/>
              </w:rPr>
              <w:t>Liability Derivatives</w:t>
            </w:r>
          </w:p>
        </w:tc>
        <w:tc>
          <w:tcPr>
            <w:tcW w:w="580" w:type="dxa"/>
            <w:vAlign w:val="bottom"/>
            <w:tcBorders>
              <w:bottom w:val="single" w:sz="8" w:color="auto"/>
            </w:tcBorders>
          </w:tcPr>
          <w:p>
            <w:pPr>
              <w:spacing w:after="0"/>
              <w:rPr>
                <w:sz w:val="21"/>
                <w:szCs w:val="21"/>
                <w:color w:val="auto"/>
              </w:rPr>
            </w:pPr>
          </w:p>
        </w:tc>
      </w:tr>
      <w:tr>
        <w:trPr>
          <w:trHeight w:val="238"/>
        </w:trPr>
        <w:tc>
          <w:tcPr>
            <w:tcW w:w="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ind w:left="300"/>
              <w:spacing w:after="0"/>
              <w:rPr>
                <w:sz w:val="20"/>
                <w:szCs w:val="20"/>
                <w:color w:val="auto"/>
              </w:rPr>
            </w:pPr>
            <w:r>
              <w:rPr>
                <w:rFonts w:ascii="Arial" w:cs="Arial" w:eastAsia="Arial" w:hAnsi="Arial"/>
                <w:sz w:val="18"/>
                <w:szCs w:val="18"/>
                <w:b w:val="1"/>
                <w:bCs w:val="1"/>
                <w:color w:val="auto"/>
              </w:rPr>
              <w:t>Balance Sheet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1"/>
        </w:trPr>
        <w:tc>
          <w:tcPr>
            <w:tcW w:w="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20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0"/>
                <w:szCs w:val="20"/>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Location</w:t>
            </w:r>
          </w:p>
        </w:tc>
        <w:tc>
          <w:tcPr>
            <w:tcW w:w="200" w:type="dxa"/>
            <w:vAlign w:val="bottom"/>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r>
      <w:tr>
        <w:trPr>
          <w:trHeight w:val="223"/>
        </w:trPr>
        <w:tc>
          <w:tcPr>
            <w:tcW w:w="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3"/>
          </w:tcPr>
          <w:p>
            <w:pPr>
              <w:ind w:left="10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46"/>
        </w:trPr>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Other assets</w:t>
            </w:r>
          </w:p>
        </w:tc>
        <w:tc>
          <w:tcPr>
            <w:tcW w:w="2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30,181</w:t>
            </w:r>
          </w:p>
        </w:tc>
        <w:tc>
          <w:tcPr>
            <w:tcW w:w="300" w:type="dxa"/>
            <w:vAlign w:val="bottom"/>
          </w:tcPr>
          <w:p>
            <w:pPr>
              <w:spacing w:after="0"/>
              <w:rPr>
                <w:sz w:val="24"/>
                <w:szCs w:val="24"/>
                <w:color w:val="auto"/>
              </w:rPr>
            </w:pPr>
          </w:p>
        </w:tc>
        <w:tc>
          <w:tcPr>
            <w:tcW w:w="172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30,181</w:t>
            </w:r>
          </w:p>
        </w:tc>
      </w:tr>
      <w:tr>
        <w:trPr>
          <w:trHeight w:val="243"/>
        </w:trPr>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30,181</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30,181</w:t>
            </w:r>
          </w:p>
        </w:tc>
      </w:tr>
      <w:tr>
        <w:trPr>
          <w:trHeight w:val="20"/>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-2005330</wp:posOffset>
            </wp:positionV>
            <wp:extent cx="7132320" cy="16319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-1670685</wp:posOffset>
            </wp:positionV>
            <wp:extent cx="7132320" cy="1885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-521970</wp:posOffset>
            </wp:positionV>
            <wp:extent cx="7132320" cy="1631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-187960</wp:posOffset>
            </wp:positionV>
            <wp:extent cx="7132320" cy="1885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200"/>
          </w:cols>
          <w:pgMar w:left="320" w:top="409"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Derivative Financial Instruments on the Condensed Consolidated Statements of Earnings</w:t>
      </w:r>
    </w:p>
    <w:p>
      <w:pPr>
        <w:spacing w:after="0" w:line="252" w:lineRule="exact"/>
        <w:rPr>
          <w:sz w:val="20"/>
          <w:szCs w:val="20"/>
          <w:color w:val="auto"/>
        </w:rPr>
      </w:pPr>
    </w:p>
    <w:p>
      <w:pPr>
        <w:ind w:right="200" w:firstLine="469"/>
        <w:spacing w:after="0" w:line="293" w:lineRule="auto"/>
        <w:rPr>
          <w:sz w:val="20"/>
          <w:szCs w:val="20"/>
          <w:color w:val="auto"/>
        </w:rPr>
      </w:pPr>
      <w:r>
        <w:rPr>
          <w:rFonts w:ascii="Arial" w:cs="Arial" w:eastAsia="Arial" w:hAnsi="Arial"/>
          <w:sz w:val="18"/>
          <w:szCs w:val="18"/>
          <w:color w:val="auto"/>
        </w:rPr>
        <w:t>The following table summarizes the effect of derivative financial instruments on the condensed consolidated statements of earnings for the periods presented.</w:t>
      </w:r>
    </w:p>
    <w:p>
      <w:pPr>
        <w:sectPr>
          <w:pgSz w:w="11900" w:h="16838" w:orient="portrait"/>
          <w:cols w:equalWidth="0" w:num="1">
            <w:col w:w="11240"/>
          </w:cols>
          <w:pgMar w:left="320" w:top="409" w:right="339" w:bottom="1440" w:gutter="0" w:footer="0" w:header="0"/>
          <w:type w:val="continuous"/>
        </w:sectPr>
      </w:pPr>
    </w:p>
    <w:p>
      <w:pPr>
        <w:spacing w:after="0" w:line="188" w:lineRule="exact"/>
        <w:rPr>
          <w:sz w:val="20"/>
          <w:szCs w:val="20"/>
          <w:color w:val="auto"/>
        </w:rPr>
      </w:pPr>
    </w:p>
    <w:p>
      <w:pPr>
        <w:ind w:left="580"/>
        <w:spacing w:after="0"/>
        <w:tabs>
          <w:tab w:leader="none" w:pos="3580" w:val="left"/>
        </w:tabs>
        <w:rPr>
          <w:sz w:val="20"/>
          <w:szCs w:val="20"/>
          <w:color w:val="auto"/>
        </w:rPr>
      </w:pPr>
      <w:r>
        <w:rPr>
          <w:rFonts w:ascii="Arial" w:cs="Arial" w:eastAsia="Arial" w:hAnsi="Arial"/>
          <w:sz w:val="14"/>
          <w:szCs w:val="14"/>
          <w:b w:val="1"/>
          <w:bCs w:val="1"/>
          <w:color w:val="auto"/>
        </w:rPr>
        <w:t>Derivatives Not Designated</w:t>
      </w:r>
      <w:r>
        <w:rPr>
          <w:sz w:val="20"/>
          <w:szCs w:val="20"/>
          <w:color w:val="auto"/>
        </w:rPr>
        <w:tab/>
      </w:r>
      <w:r>
        <w:rPr>
          <w:rFonts w:ascii="Arial" w:cs="Arial" w:eastAsia="Arial" w:hAnsi="Arial"/>
          <w:sz w:val="12"/>
          <w:szCs w:val="12"/>
          <w:b w:val="1"/>
          <w:bCs w:val="1"/>
          <w:color w:val="auto"/>
        </w:rPr>
        <w:t>Location of Gain Recognized in</w:t>
      </w:r>
    </w:p>
    <w:p>
      <w:pPr>
        <w:spacing w:after="0" w:line="25" w:lineRule="exact"/>
        <w:rPr>
          <w:sz w:val="20"/>
          <w:szCs w:val="20"/>
          <w:color w:val="auto"/>
        </w:rPr>
      </w:pPr>
    </w:p>
    <w:p>
      <w:pPr>
        <w:ind w:left="640"/>
        <w:spacing w:after="0"/>
        <w:tabs>
          <w:tab w:leader="none" w:pos="3520" w:val="left"/>
        </w:tabs>
        <w:rPr>
          <w:sz w:val="20"/>
          <w:szCs w:val="20"/>
          <w:color w:val="auto"/>
        </w:rPr>
      </w:pPr>
      <w:r>
        <w:rPr>
          <w:rFonts w:ascii="Arial" w:cs="Arial" w:eastAsia="Arial" w:hAnsi="Arial"/>
          <w:sz w:val="14"/>
          <w:szCs w:val="14"/>
          <w:b w:val="1"/>
          <w:bCs w:val="1"/>
          <w:color w:val="auto"/>
        </w:rPr>
        <w:t>as Hedging Instruments</w:t>
      </w:r>
      <w:r>
        <w:rPr>
          <w:sz w:val="20"/>
          <w:szCs w:val="20"/>
          <w:color w:val="auto"/>
        </w:rPr>
        <w:tab/>
      </w:r>
      <w:r>
        <w:rPr>
          <w:rFonts w:ascii="Arial" w:cs="Arial" w:eastAsia="Arial" w:hAnsi="Arial"/>
          <w:sz w:val="13"/>
          <w:szCs w:val="13"/>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1731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Amount of Gain Recognized in</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24130</wp:posOffset>
            </wp:positionV>
            <wp:extent cx="302577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6980" w:space="720"/>
            <w:col w:w="3540"/>
          </w:cols>
          <w:pgMar w:left="320" w:top="409"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6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28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92"/>
        </w:trPr>
        <w:tc>
          <w:tcPr>
            <w:tcW w:w="26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6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4"/>
          </w:tcPr>
          <w:p>
            <w:pPr>
              <w:jc w:val="right"/>
              <w:ind w:right="408"/>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rate swaps</w:t>
            </w:r>
          </w:p>
        </w:tc>
        <w:tc>
          <w:tcPr>
            <w:tcW w:w="3720" w:type="dxa"/>
            <w:vAlign w:val="bottom"/>
            <w:tcBorders>
              <w:bottom w:val="single" w:sz="8" w:color="CFF0FC"/>
            </w:tcBorders>
            <w:shd w:val="clear" w:color="auto" w:fill="CFF0FC"/>
          </w:tcPr>
          <w:p>
            <w:pPr>
              <w:ind w:left="1560"/>
              <w:spacing w:after="0"/>
              <w:rPr>
                <w:sz w:val="20"/>
                <w:szCs w:val="20"/>
                <w:color w:val="auto"/>
              </w:rPr>
            </w:pPr>
            <w:r>
              <w:rPr>
                <w:rFonts w:ascii="Arial" w:cs="Arial" w:eastAsia="Arial" w:hAnsi="Arial"/>
                <w:sz w:val="14"/>
                <w:szCs w:val="14"/>
                <w:color w:val="auto"/>
              </w:rPr>
              <w:t>Other income</w:t>
            </w:r>
          </w:p>
        </w:tc>
        <w:tc>
          <w:tcPr>
            <w:tcW w:w="680" w:type="dxa"/>
            <w:vAlign w:val="bottom"/>
            <w:tcBorders>
              <w:bottom w:val="single" w:sz="8" w:color="auto"/>
            </w:tcBorders>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1,591</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382</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2640" w:type="dxa"/>
            <w:vAlign w:val="bottom"/>
          </w:tcPr>
          <w:p>
            <w:pPr>
              <w:ind w:left="120"/>
              <w:spacing w:after="0"/>
              <w:rPr>
                <w:sz w:val="20"/>
                <w:szCs w:val="20"/>
                <w:color w:val="auto"/>
              </w:rPr>
            </w:pPr>
            <w:r>
              <w:rPr>
                <w:rFonts w:ascii="Arial" w:cs="Arial" w:eastAsia="Arial" w:hAnsi="Arial"/>
                <w:sz w:val="14"/>
                <w:szCs w:val="14"/>
                <w:color w:val="auto"/>
              </w:rPr>
              <w:t>Total</w:t>
            </w:r>
          </w:p>
        </w:tc>
        <w:tc>
          <w:tcPr>
            <w:tcW w:w="372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167</w:t>
            </w:r>
          </w:p>
        </w:tc>
        <w:tc>
          <w:tcPr>
            <w:tcW w:w="6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1,591</w:t>
            </w:r>
          </w:p>
        </w:tc>
        <w:tc>
          <w:tcPr>
            <w:tcW w:w="5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382</w:t>
            </w:r>
          </w:p>
        </w:tc>
        <w:tc>
          <w:tcPr>
            <w:tcW w:w="6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4,149</w:t>
            </w:r>
          </w:p>
        </w:tc>
        <w:tc>
          <w:tcPr>
            <w:tcW w:w="100" w:type="dxa"/>
            <w:vAlign w:val="bottom"/>
          </w:tcPr>
          <w:p>
            <w:pPr>
              <w:spacing w:after="0"/>
              <w:rPr>
                <w:sz w:val="17"/>
                <w:szCs w:val="17"/>
                <w:color w:val="auto"/>
              </w:rPr>
            </w:pPr>
          </w:p>
        </w:tc>
      </w:tr>
      <w:tr>
        <w:trPr>
          <w:trHeight w:val="20"/>
        </w:trPr>
        <w:tc>
          <w:tcPr>
            <w:tcW w:w="2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-159385</wp:posOffset>
            </wp:positionV>
            <wp:extent cx="19748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-159385</wp:posOffset>
            </wp:positionV>
            <wp:extent cx="179705"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17970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31" w:name="page32"/>
    <w:bookmarkEnd w:id="31"/>
    <w:p>
      <w:pPr>
        <w:spacing w:after="0"/>
        <w:tabs>
          <w:tab w:leader="none" w:pos="300" w:val="left"/>
        </w:tabs>
        <w:rPr>
          <w:sz w:val="20"/>
          <w:szCs w:val="20"/>
          <w:color w:val="auto"/>
        </w:rPr>
      </w:pPr>
      <w:r>
        <w:rPr>
          <w:rFonts w:ascii="Arial" w:cs="Arial" w:eastAsia="Arial" w:hAnsi="Arial"/>
          <w:sz w:val="18"/>
          <w:szCs w:val="18"/>
          <w:b w:val="1"/>
          <w:bCs w:val="1"/>
          <w:color w:val="auto"/>
        </w:rPr>
        <w:t>9.</w:t>
        <w:tab/>
        <w:t>OTHER COMPREHENSIVE INCOME</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a summary of the components of other comprehensive income (“OCI”) for the periods presented.</w:t>
      </w:r>
    </w:p>
    <w:p>
      <w:pPr>
        <w:spacing w:after="0" w:line="257"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23495</wp:posOffset>
            </wp:positionV>
            <wp:extent cx="402907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Before-tax</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Tax effect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After-tax</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Before-tax</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Tax effect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After-tax</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200"/>
              <w:spacing w:after="0"/>
              <w:rPr>
                <w:sz w:val="20"/>
                <w:szCs w:val="20"/>
                <w:color w:val="auto"/>
              </w:rPr>
            </w:pPr>
            <w:r>
              <w:rPr>
                <w:rFonts w:ascii="Arial" w:cs="Arial" w:eastAsia="Arial" w:hAnsi="Arial"/>
                <w:sz w:val="14"/>
                <w:szCs w:val="14"/>
                <w:color w:val="auto"/>
              </w:rPr>
              <w:t>Net change in fair value recorded in accumulated OCI</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(14,515 )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4,291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(10,224 )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(1,974 )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584</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(1,390 )</w:t>
            </w:r>
          </w:p>
        </w:tc>
        <w:tc>
          <w:tcPr>
            <w:tcW w:w="0" w:type="dxa"/>
            <w:vAlign w:val="bottom"/>
          </w:tcPr>
          <w:p>
            <w:pPr>
              <w:spacing w:after="0"/>
              <w:rPr>
                <w:sz w:val="1"/>
                <w:szCs w:val="1"/>
                <w:color w:val="auto"/>
              </w:rPr>
            </w:pPr>
          </w:p>
        </w:tc>
      </w:tr>
      <w:tr>
        <w:trPr>
          <w:trHeight w:val="190"/>
        </w:trPr>
        <w:tc>
          <w:tcPr>
            <w:tcW w:w="4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net unrealized losses on securities</w:t>
            </w:r>
          </w:p>
        </w:tc>
        <w:tc>
          <w:tcPr>
            <w:tcW w:w="10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(21 )</w:t>
            </w:r>
          </w:p>
        </w:tc>
        <w:tc>
          <w:tcPr>
            <w:tcW w:w="120" w:type="dxa"/>
            <w:vAlign w:val="bottom"/>
            <w:shd w:val="clear" w:color="auto" w:fill="CFF0FC"/>
          </w:tcPr>
          <w:p>
            <w:pPr>
              <w:spacing w:after="0"/>
              <w:rPr>
                <w:sz w:val="16"/>
                <w:szCs w:val="16"/>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81"/>
        </w:trPr>
        <w:tc>
          <w:tcPr>
            <w:tcW w:w="4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transferred from available-for-sale to held-to-maturity</w:t>
            </w:r>
          </w:p>
        </w:tc>
        <w:tc>
          <w:tcPr>
            <w:tcW w:w="10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Pr>
          <w:p>
            <w:pPr>
              <w:ind w:left="560"/>
              <w:spacing w:after="0"/>
              <w:rPr>
                <w:sz w:val="20"/>
                <w:szCs w:val="20"/>
                <w:color w:val="auto"/>
              </w:rPr>
            </w:pPr>
            <w:r>
              <w:rPr>
                <w:rFonts w:ascii="Arial" w:cs="Arial" w:eastAsia="Arial" w:hAnsi="Arial"/>
                <w:sz w:val="14"/>
                <w:szCs w:val="14"/>
                <w:color w:val="auto"/>
              </w:rPr>
              <w:t>Net change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(14,443 )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4,270</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(10,173 )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(2,004 )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593</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(1,411 )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-159385</wp:posOffset>
            </wp:positionV>
            <wp:extent cx="154305"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-159385</wp:posOffset>
            </wp:positionV>
            <wp:extent cx="154305"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-159385</wp:posOffset>
            </wp:positionV>
            <wp:extent cx="163195"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-159385</wp:posOffset>
            </wp:positionV>
            <wp:extent cx="137160"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137160"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Before-tax</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Tax effect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After-tax</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Before-tax</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Tax effect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After-tax</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0"/>
              <w:spacing w:after="0"/>
              <w:rPr>
                <w:sz w:val="20"/>
                <w:szCs w:val="20"/>
                <w:color w:val="auto"/>
              </w:rPr>
            </w:pPr>
            <w:r>
              <w:rPr>
                <w:rFonts w:ascii="Arial" w:cs="Arial" w:eastAsia="Arial" w:hAnsi="Arial"/>
                <w:sz w:val="14"/>
                <w:szCs w:val="14"/>
                <w:color w:val="auto"/>
              </w:rPr>
              <w:t>Net change in fair value recorded in accumulated OCI</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(45,989 )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13,596</w:t>
            </w:r>
          </w:p>
        </w:tc>
        <w:tc>
          <w:tcPr>
            <w:tcW w:w="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(32,393 )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33,382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(9,869 )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23,513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net unrealized losses on securities</w:t>
            </w:r>
          </w:p>
        </w:tc>
        <w:tc>
          <w:tcPr>
            <w:tcW w:w="10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(51 )</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81"/>
        </w:trPr>
        <w:tc>
          <w:tcPr>
            <w:tcW w:w="4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transferred from available-for-sale to held-to-maturity</w:t>
            </w:r>
          </w:p>
        </w:tc>
        <w:tc>
          <w:tcPr>
            <w:tcW w:w="10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Pr>
          <w:p>
            <w:pPr>
              <w:ind w:left="560"/>
              <w:spacing w:after="0"/>
              <w:rPr>
                <w:sz w:val="20"/>
                <w:szCs w:val="20"/>
                <w:color w:val="auto"/>
              </w:rPr>
            </w:pPr>
            <w:r>
              <w:rPr>
                <w:rFonts w:ascii="Arial" w:cs="Arial" w:eastAsia="Arial" w:hAnsi="Arial"/>
                <w:sz w:val="14"/>
                <w:szCs w:val="14"/>
                <w:color w:val="auto"/>
              </w:rPr>
              <w:t>Net change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(45,816 )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13,545</w:t>
            </w:r>
          </w:p>
        </w:tc>
        <w:tc>
          <w:tcPr>
            <w:tcW w:w="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(32,271 )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33,334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(9,855 )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-159385</wp:posOffset>
            </wp:positionV>
            <wp:extent cx="154305"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-159385</wp:posOffset>
            </wp:positionV>
            <wp:extent cx="154305"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-159385</wp:posOffset>
            </wp:positionV>
            <wp:extent cx="16319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-159385</wp:posOffset>
            </wp:positionV>
            <wp:extent cx="13716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13716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10.  BALANCE SHEET OFFSETTING</w:t>
      </w:r>
    </w:p>
    <w:p>
      <w:pPr>
        <w:spacing w:after="0" w:line="256" w:lineRule="exact"/>
        <w:rPr>
          <w:sz w:val="20"/>
          <w:szCs w:val="20"/>
          <w:color w:val="auto"/>
        </w:rPr>
      </w:pPr>
    </w:p>
    <w:p>
      <w:pPr>
        <w:ind w:right="60" w:firstLine="374"/>
        <w:spacing w:after="0" w:line="287" w:lineRule="auto"/>
        <w:rPr>
          <w:sz w:val="20"/>
          <w:szCs w:val="20"/>
          <w:color w:val="auto"/>
        </w:rPr>
      </w:pPr>
      <w:r>
        <w:rPr>
          <w:rFonts w:ascii="Arial" w:cs="Arial" w:eastAsia="Arial" w:hAnsi="Arial"/>
          <w:sz w:val="17"/>
          <w:szCs w:val="17"/>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Net Amounts</w:t>
            </w:r>
          </w:p>
        </w:tc>
        <w:tc>
          <w:tcPr>
            <w:tcW w:w="80" w:type="dxa"/>
            <w:vAlign w:val="bottom"/>
          </w:tcPr>
          <w:p>
            <w:pPr>
              <w:spacing w:after="0"/>
              <w:rPr>
                <w:sz w:val="15"/>
                <w:szCs w:val="15"/>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Recognized in the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Presented in the</w:t>
            </w:r>
          </w:p>
        </w:tc>
        <w:tc>
          <w:tcPr>
            <w:tcW w:w="80" w:type="dxa"/>
            <w:vAlign w:val="bottom"/>
          </w:tcPr>
          <w:p>
            <w:pPr>
              <w:spacing w:after="0"/>
              <w:rPr>
                <w:sz w:val="15"/>
                <w:szCs w:val="15"/>
                <w:color w:val="auto"/>
              </w:rPr>
            </w:pPr>
          </w:p>
        </w:tc>
        <w:tc>
          <w:tcPr>
            <w:tcW w:w="2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in the Condensed Consolidated Balance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Condensed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Condensed</w:t>
            </w:r>
          </w:p>
        </w:tc>
        <w:tc>
          <w:tcPr>
            <w:tcW w:w="1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Condensed</w:t>
            </w:r>
          </w:p>
        </w:tc>
        <w:tc>
          <w:tcPr>
            <w:tcW w:w="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w w:val="87"/>
              </w:rPr>
              <w:t>Sheets</w:t>
            </w: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Financial</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Balance Sheets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Balance Sheets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6"/>
              </w:rPr>
              <w:t>Balance Sheets</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Collateral Pledged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jc w:val="right"/>
              <w:ind w:right="688"/>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16,176</w:t>
            </w:r>
          </w:p>
        </w:tc>
        <w:tc>
          <w:tcPr>
            <w:tcW w:w="260" w:type="dxa"/>
            <w:vAlign w:val="bottom"/>
            <w:vMerge w:val="restart"/>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16,176</w:t>
            </w:r>
          </w:p>
        </w:tc>
        <w:tc>
          <w:tcPr>
            <w:tcW w:w="240" w:type="dxa"/>
            <w:vAlign w:val="bottom"/>
            <w:vMerge w:val="restart"/>
            <w:shd w:val="clear" w:color="auto" w:fill="CFF0FC"/>
          </w:tcPr>
          <w:p>
            <w:pPr>
              <w:spacing w:after="0"/>
              <w:rPr>
                <w:sz w:val="16"/>
                <w:szCs w:val="16"/>
                <w:color w:val="auto"/>
              </w:rPr>
            </w:pPr>
          </w:p>
        </w:tc>
        <w:tc>
          <w:tcPr>
            <w:tcW w:w="3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16,176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4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6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vMerge w:val="continue"/>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16,176</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16,176</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80" w:type="dxa"/>
            <w:vAlign w:val="bottom"/>
          </w:tcPr>
          <w:p>
            <w:pPr>
              <w:ind w:left="200"/>
              <w:spacing w:after="0"/>
              <w:rPr>
                <w:sz w:val="20"/>
                <w:szCs w:val="20"/>
                <w:color w:val="auto"/>
              </w:rPr>
            </w:pPr>
            <w:r>
              <w:rPr>
                <w:rFonts w:ascii="Arial" w:cs="Arial" w:eastAsia="Arial" w:hAnsi="Arial"/>
                <w:sz w:val="14"/>
                <w:szCs w:val="14"/>
                <w:color w:val="auto"/>
              </w:rPr>
              <w:t>Derivatives not designated as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24,451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(8,275 )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16,176</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8,275</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(39,063 )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(14,612 )</w:t>
            </w: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agreements</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659,579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659,579</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(697,207 )</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(37,628 )</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58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684,030</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(8,275 )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675,755</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8,275</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(736,270 )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(52,240 )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30,181</w:t>
            </w:r>
          </w:p>
        </w:tc>
        <w:tc>
          <w:tcPr>
            <w:tcW w:w="260" w:type="dxa"/>
            <w:vAlign w:val="bottom"/>
            <w:vMerge w:val="restart"/>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30,181</w:t>
            </w:r>
          </w:p>
        </w:tc>
        <w:tc>
          <w:tcPr>
            <w:tcW w:w="240" w:type="dxa"/>
            <w:vAlign w:val="bottom"/>
            <w:vMerge w:val="restart"/>
            <w:shd w:val="clear" w:color="auto" w:fill="CFF0FC"/>
          </w:tcPr>
          <w:p>
            <w:pPr>
              <w:spacing w:after="0"/>
              <w:rPr>
                <w:sz w:val="16"/>
                <w:szCs w:val="16"/>
                <w:color w:val="auto"/>
              </w:rPr>
            </w:pPr>
          </w:p>
        </w:tc>
        <w:tc>
          <w:tcPr>
            <w:tcW w:w="3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30,181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4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6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vMerge w:val="continue"/>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30,181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30,181</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80" w:type="dxa"/>
            <w:vAlign w:val="bottom"/>
          </w:tcPr>
          <w:p>
            <w:pPr>
              <w:ind w:left="200"/>
              <w:spacing w:after="0"/>
              <w:rPr>
                <w:sz w:val="20"/>
                <w:szCs w:val="20"/>
                <w:color w:val="auto"/>
              </w:rPr>
            </w:pPr>
            <w:r>
              <w:rPr>
                <w:rFonts w:ascii="Arial" w:cs="Arial" w:eastAsia="Arial" w:hAnsi="Arial"/>
                <w:sz w:val="14"/>
                <w:szCs w:val="14"/>
                <w:color w:val="auto"/>
              </w:rPr>
              <w:t>Derivatives not designated as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30,434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(253 )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30,181</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253</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(63,730 )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(33,296 )</w:t>
            </w: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agreements</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439,406</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439,406</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(483,603 )</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(44,197 )</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58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469,840</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(253 )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469,587</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253</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(547,333 )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(77,493 )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-2645410</wp:posOffset>
            </wp:positionV>
            <wp:extent cx="16256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-2645410</wp:posOffset>
            </wp:positionV>
            <wp:extent cx="163195"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-2645410</wp:posOffset>
            </wp:positionV>
            <wp:extent cx="154305"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-2645410</wp:posOffset>
            </wp:positionV>
            <wp:extent cx="14605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-2645410</wp:posOffset>
            </wp:positionV>
            <wp:extent cx="14605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-1856740</wp:posOffset>
            </wp:positionV>
            <wp:extent cx="16256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-1856740</wp:posOffset>
            </wp:positionV>
            <wp:extent cx="163195"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-1856740</wp:posOffset>
            </wp:positionV>
            <wp:extent cx="15430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-1856740</wp:posOffset>
            </wp:positionV>
            <wp:extent cx="14605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-1856740</wp:posOffset>
            </wp:positionV>
            <wp:extent cx="146050"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-1856740</wp:posOffset>
            </wp:positionV>
            <wp:extent cx="6858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-948055</wp:posOffset>
            </wp:positionV>
            <wp:extent cx="16256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-948055</wp:posOffset>
            </wp:positionV>
            <wp:extent cx="163195"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-948055</wp:posOffset>
            </wp:positionV>
            <wp:extent cx="154305"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-948055</wp:posOffset>
            </wp:positionV>
            <wp:extent cx="146050"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-948055</wp:posOffset>
            </wp:positionV>
            <wp:extent cx="146050"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-948055</wp:posOffset>
            </wp:positionV>
            <wp:extent cx="68580"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-159385</wp:posOffset>
            </wp:positionV>
            <wp:extent cx="162560"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-159385</wp:posOffset>
            </wp:positionV>
            <wp:extent cx="163195"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-159385</wp:posOffset>
            </wp:positionV>
            <wp:extent cx="154305"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-159385</wp:posOffset>
            </wp:positionV>
            <wp:extent cx="146050"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-159385</wp:posOffset>
            </wp:positionV>
            <wp:extent cx="146050"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11.  LEASES</w:t>
      </w:r>
    </w:p>
    <w:p>
      <w:pPr>
        <w:spacing w:after="0" w:line="256" w:lineRule="exact"/>
        <w:rPr>
          <w:sz w:val="20"/>
          <w:szCs w:val="20"/>
          <w:color w:val="auto"/>
        </w:rPr>
      </w:pPr>
    </w:p>
    <w:p>
      <w:pPr>
        <w:ind w:right="100" w:firstLine="374"/>
        <w:spacing w:after="0" w:line="329" w:lineRule="auto"/>
        <w:rPr>
          <w:sz w:val="20"/>
          <w:szCs w:val="20"/>
          <w:color w:val="auto"/>
        </w:rPr>
      </w:pPr>
      <w:r>
        <w:rPr>
          <w:rFonts w:ascii="Arial" w:cs="Arial" w:eastAsia="Arial" w:hAnsi="Arial"/>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While the Company has, as a lessor, certain equipment finance leases, such leases are not material to the Company’s consolidated financial statements.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tables below present the components of lease costs and supplemental information related to leases as of and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w w:val="90"/>
              </w:rPr>
              <w:t>September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9"/>
                <w:szCs w:val="19"/>
                <w:color w:val="auto"/>
              </w:rPr>
            </w:pPr>
          </w:p>
        </w:tc>
      </w:tr>
      <w:tr>
        <w:trPr>
          <w:trHeight w:val="241"/>
        </w:trPr>
        <w:tc>
          <w:tcPr>
            <w:tcW w:w="7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7"/>
        </w:trPr>
        <w:tc>
          <w:tcPr>
            <w:tcW w:w="7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80" w:type="dxa"/>
            <w:vAlign w:val="bottom"/>
            <w:gridSpan w:val="4"/>
          </w:tcPr>
          <w:p>
            <w:pPr>
              <w:jc w:val="right"/>
              <w:ind w:right="85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21"/>
                <w:szCs w:val="21"/>
                <w:color w:val="auto"/>
              </w:rPr>
            </w:pPr>
          </w:p>
        </w:tc>
      </w:tr>
      <w:tr>
        <w:trPr>
          <w:trHeight w:val="266"/>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Assets and Liabilities</w:t>
            </w:r>
          </w:p>
        </w:tc>
        <w:tc>
          <w:tcPr>
            <w:tcW w:w="160" w:type="dxa"/>
            <w:vAlign w:val="bottom"/>
            <w:shd w:val="clear" w:color="auto" w:fill="CFF0FC"/>
          </w:tcPr>
          <w:p>
            <w:pPr>
              <w:spacing w:after="0"/>
              <w:rPr>
                <w:sz w:val="23"/>
                <w:szCs w:val="23"/>
                <w:color w:val="auto"/>
              </w:rPr>
            </w:pPr>
          </w:p>
        </w:tc>
        <w:tc>
          <w:tcPr>
            <w:tcW w:w="13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3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7800" w:type="dxa"/>
            <w:vAlign w:val="bottom"/>
          </w:tcPr>
          <w:p>
            <w:pPr>
              <w:ind w:left="120"/>
              <w:spacing w:after="0"/>
              <w:rPr>
                <w:sz w:val="20"/>
                <w:szCs w:val="20"/>
                <w:color w:val="auto"/>
              </w:rPr>
            </w:pPr>
            <w:r>
              <w:rPr>
                <w:rFonts w:ascii="Arial" w:cs="Arial" w:eastAsia="Arial" w:hAnsi="Arial"/>
                <w:sz w:val="18"/>
                <w:szCs w:val="18"/>
                <w:color w:val="auto"/>
              </w:rPr>
              <w:t>ROU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19,403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19,112</w:t>
            </w:r>
          </w:p>
        </w:tc>
        <w:tc>
          <w:tcPr>
            <w:tcW w:w="100" w:type="dxa"/>
            <w:vAlign w:val="bottom"/>
          </w:tcPr>
          <w:p>
            <w:pPr>
              <w:spacing w:after="0"/>
              <w:rPr>
                <w:sz w:val="21"/>
                <w:szCs w:val="21"/>
                <w:color w:val="auto"/>
              </w:rPr>
            </w:pPr>
          </w:p>
        </w:tc>
      </w:tr>
      <w:tr>
        <w:trPr>
          <w:trHeight w:val="263"/>
        </w:trPr>
        <w:tc>
          <w:tcPr>
            <w:tcW w:w="7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liabilities</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21,073</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21,164</w:t>
            </w:r>
          </w:p>
        </w:tc>
        <w:tc>
          <w:tcPr>
            <w:tcW w:w="100" w:type="dxa"/>
            <w:vAlign w:val="bottom"/>
            <w:shd w:val="clear" w:color="auto" w:fill="CFF0FC"/>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3360" w:type="dxa"/>
            <w:vAlign w:val="bottom"/>
            <w:gridSpan w:val="5"/>
          </w:tcPr>
          <w:p>
            <w:pPr>
              <w:jc w:val="right"/>
              <w:ind w:right="772"/>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r>
      <w:tr>
        <w:trPr>
          <w:trHeight w:val="241"/>
        </w:trPr>
        <w:tc>
          <w:tcPr>
            <w:tcW w:w="4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5"/>
              </w:rPr>
              <w:t>September 30,</w:t>
            </w:r>
          </w:p>
        </w:tc>
        <w:tc>
          <w:tcPr>
            <w:tcW w:w="10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200" w:type="dxa"/>
            <w:vAlign w:val="bottom"/>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2021</w:t>
            </w:r>
          </w:p>
        </w:tc>
        <w:tc>
          <w:tcPr>
            <w:tcW w:w="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7"/>
        </w:trPr>
        <w:tc>
          <w:tcPr>
            <w:tcW w:w="4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rPr>
              <w:t>(Dollars in thousands)</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104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4200" w:type="dxa"/>
            <w:vAlign w:val="bottom"/>
          </w:tcPr>
          <w:p>
            <w:pPr>
              <w:ind w:left="120"/>
              <w:spacing w:after="0"/>
              <w:rPr>
                <w:sz w:val="20"/>
                <w:szCs w:val="20"/>
                <w:color w:val="auto"/>
              </w:rPr>
            </w:pPr>
            <w:r>
              <w:rPr>
                <w:rFonts w:ascii="Arial" w:cs="Arial" w:eastAsia="Arial" w:hAnsi="Arial"/>
                <w:sz w:val="18"/>
                <w:szCs w:val="18"/>
                <w:color w:val="auto"/>
              </w:rPr>
              <w:t>Operating lease expense (1)</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1,634</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1,654</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4,977</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r>
      <w:tr>
        <w:trPr>
          <w:trHeight w:val="263"/>
        </w:trPr>
        <w:tc>
          <w:tcPr>
            <w:tcW w:w="4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Sublease income</w:t>
            </w:r>
          </w:p>
        </w:tc>
        <w:tc>
          <w:tcPr>
            <w:tcW w:w="104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200" w:type="dxa"/>
            <w:vAlign w:val="bottom"/>
          </w:tcPr>
          <w:p>
            <w:pPr>
              <w:ind w:left="300"/>
              <w:spacing w:after="0"/>
              <w:rPr>
                <w:sz w:val="20"/>
                <w:szCs w:val="20"/>
                <w:color w:val="auto"/>
              </w:rPr>
            </w:pPr>
            <w:r>
              <w:rPr>
                <w:rFonts w:ascii="Arial" w:cs="Arial" w:eastAsia="Arial" w:hAnsi="Arial"/>
                <w:sz w:val="18"/>
                <w:szCs w:val="18"/>
                <w:color w:val="auto"/>
              </w:rPr>
              <w:t>Total lease expense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1,634</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1,654</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4,977</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r>
      <w:tr>
        <w:trPr>
          <w:trHeight w:val="20"/>
        </w:trPr>
        <w:tc>
          <w:tcPr>
            <w:tcW w:w="4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-193675</wp:posOffset>
            </wp:positionV>
            <wp:extent cx="19685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-193675</wp:posOffset>
            </wp:positionV>
            <wp:extent cx="179705"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-193675</wp:posOffset>
            </wp:positionV>
            <wp:extent cx="180340"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ind w:left="1080" w:hanging="323"/>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short-term leases and variable lease costs, which are immaterial.</w:t>
      </w: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7"/>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Information</w:t>
            </w:r>
          </w:p>
        </w:tc>
        <w:tc>
          <w:tcPr>
            <w:tcW w:w="1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42"/>
        </w:trPr>
        <w:tc>
          <w:tcPr>
            <w:tcW w:w="3700" w:type="dxa"/>
            <w:vAlign w:val="bottom"/>
          </w:tcPr>
          <w:p>
            <w:pPr>
              <w:ind w:left="120"/>
              <w:spacing w:after="0"/>
              <w:rPr>
                <w:sz w:val="20"/>
                <w:szCs w:val="20"/>
                <w:color w:val="auto"/>
              </w:rPr>
            </w:pPr>
            <w:r>
              <w:rPr>
                <w:rFonts w:ascii="Arial" w:cs="Arial" w:eastAsia="Arial" w:hAnsi="Arial"/>
                <w:sz w:val="18"/>
                <w:szCs w:val="18"/>
                <w:color w:val="auto"/>
              </w:rPr>
              <w:t>Cash paid for amounts included in the</w:t>
            </w: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700" w:type="dxa"/>
            <w:vAlign w:val="bottom"/>
          </w:tcPr>
          <w:p>
            <w:pPr>
              <w:ind w:left="240"/>
              <w:spacing w:after="0"/>
              <w:rPr>
                <w:sz w:val="20"/>
                <w:szCs w:val="20"/>
                <w:color w:val="auto"/>
              </w:rPr>
            </w:pPr>
            <w:r>
              <w:rPr>
                <w:rFonts w:ascii="Arial" w:cs="Arial" w:eastAsia="Arial" w:hAnsi="Arial"/>
                <w:sz w:val="18"/>
                <w:szCs w:val="18"/>
                <w:color w:val="auto"/>
              </w:rPr>
              <w:t>measurement of lease liabilities:</w:t>
            </w: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7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Operating cash outflows from operating</w:t>
            </w:r>
          </w:p>
        </w:tc>
        <w:tc>
          <w:tcPr>
            <w:tcW w:w="1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44"/>
        </w:trPr>
        <w:tc>
          <w:tcPr>
            <w:tcW w:w="37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leases, net</w:t>
            </w:r>
          </w:p>
        </w:tc>
        <w:tc>
          <w:tcPr>
            <w:tcW w:w="11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1,700</w:t>
            </w:r>
          </w:p>
        </w:tc>
        <w:tc>
          <w:tcPr>
            <w:tcW w:w="7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1,826</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5,364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5,630</w:t>
            </w:r>
          </w:p>
        </w:tc>
      </w:tr>
      <w:tr>
        <w:trPr>
          <w:trHeight w:val="454"/>
        </w:trPr>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3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r>
      <w:tr>
        <w:trPr>
          <w:trHeight w:val="257"/>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42"/>
        </w:trPr>
        <w:tc>
          <w:tcPr>
            <w:tcW w:w="370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8"/>
                <w:szCs w:val="18"/>
                <w:color w:val="auto"/>
              </w:rPr>
              <w:t>(years)</w:t>
            </w: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w w:val="85"/>
              </w:rPr>
              <w:t>4.16</w:t>
            </w:r>
          </w:p>
        </w:tc>
        <w:tc>
          <w:tcPr>
            <w:tcW w:w="280" w:type="dxa"/>
            <w:vAlign w:val="bottom"/>
          </w:tcPr>
          <w:p>
            <w:pPr>
              <w:spacing w:after="0"/>
              <w:rPr>
                <w:sz w:val="20"/>
                <w:szCs w:val="20"/>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1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2.47 %</w:t>
            </w:r>
          </w:p>
        </w:tc>
        <w:tc>
          <w:tcPr>
            <w:tcW w:w="1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2.80 %</w:t>
            </w:r>
          </w:p>
        </w:tc>
      </w:tr>
    </w:tbl>
    <w:p>
      <w:pPr>
        <w:spacing w:after="0" w:line="229" w:lineRule="exact"/>
        <w:rPr>
          <w:sz w:val="20"/>
          <w:szCs w:val="20"/>
          <w:color w:val="auto"/>
        </w:rPr>
      </w:pPr>
    </w:p>
    <w:p>
      <w:pPr>
        <w:jc w:val="both"/>
        <w:ind w:right="180" w:firstLine="374"/>
        <w:spacing w:after="0" w:line="275" w:lineRule="auto"/>
        <w:rPr>
          <w:sz w:val="20"/>
          <w:szCs w:val="20"/>
          <w:color w:val="auto"/>
        </w:rPr>
      </w:pPr>
      <w:r>
        <w:rPr>
          <w:rFonts w:ascii="Arial" w:cs="Arial" w:eastAsia="Arial" w:hAnsi="Arial"/>
          <w:sz w:val="18"/>
          <w:szCs w:val="18"/>
          <w:color w:val="auto"/>
        </w:rPr>
        <w:t>The Company’s lease arrangements that have not yet commenced as of September 30, 2021 and the Company’s short-term lease costs and variable lease costs, for the nine months ended September 30, 2021 and 2020 are not material to the consolidated financial statements. The future lease payments required for leases that have initial or remaining non-cancelable lease terms in excess of one year as of September 30, 2021, excluding property taxes and insurance,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September 30,</w:t>
            </w:r>
          </w:p>
        </w:tc>
      </w:tr>
      <w:tr>
        <w:trPr>
          <w:trHeight w:val="24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i w:val="1"/>
                <w:iCs w:val="1"/>
                <w:color w:val="auto"/>
                <w:w w:val="95"/>
              </w:rPr>
              <w:t>(Dollars in thousands)</w:t>
            </w:r>
          </w:p>
        </w:tc>
      </w:tr>
      <w:tr>
        <w:trPr>
          <w:trHeight w:val="212"/>
        </w:trPr>
        <w:tc>
          <w:tcPr>
            <w:tcW w:w="20" w:type="dxa"/>
            <w:vAlign w:val="bottom"/>
            <w:shd w:val="clear" w:color="auto" w:fill="CFF0FC"/>
          </w:tcPr>
          <w:p>
            <w:pPr>
              <w:spacing w:after="0"/>
              <w:rPr>
                <w:sz w:val="18"/>
                <w:szCs w:val="18"/>
                <w:color w:val="auto"/>
              </w:rPr>
            </w:pPr>
          </w:p>
        </w:tc>
        <w:tc>
          <w:tcPr>
            <w:tcW w:w="9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Year:</w:t>
            </w: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auto"/>
            </w:tcBorders>
            <w:shd w:val="clear" w:color="auto" w:fill="CFF0FC"/>
          </w:tcPr>
          <w:p>
            <w:pPr>
              <w:spacing w:after="0"/>
              <w:rPr>
                <w:sz w:val="2"/>
                <w:szCs w:val="2"/>
                <w:color w:val="auto"/>
              </w:rPr>
            </w:pPr>
          </w:p>
        </w:tc>
        <w:tc>
          <w:tcPr>
            <w:tcW w:w="87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7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2021 (excluding the nine months ended September 30,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r>
      <w:tr>
        <w:trPr>
          <w:trHeight w:val="263"/>
        </w:trPr>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2022</w:t>
            </w:r>
          </w:p>
        </w:tc>
        <w:tc>
          <w:tcPr>
            <w:tcW w:w="87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6,392</w:t>
            </w:r>
          </w:p>
        </w:tc>
        <w:tc>
          <w:tcPr>
            <w:tcW w:w="100" w:type="dxa"/>
            <w:vAlign w:val="bottom"/>
            <w:shd w:val="clear" w:color="auto" w:fill="CFF0FC"/>
          </w:tcPr>
          <w:p>
            <w:pPr>
              <w:spacing w:after="0"/>
              <w:rPr>
                <w:sz w:val="22"/>
                <w:szCs w:val="22"/>
                <w:color w:val="auto"/>
              </w:rPr>
            </w:pPr>
          </w:p>
        </w:tc>
      </w:tr>
      <w:tr>
        <w:trPr>
          <w:trHeight w:val="250"/>
        </w:trPr>
        <w:tc>
          <w:tcPr>
            <w:tcW w:w="440" w:type="dxa"/>
            <w:vAlign w:val="bottom"/>
            <w:gridSpan w:val="2"/>
          </w:tcPr>
          <w:p>
            <w:pPr>
              <w:ind w:left="20"/>
              <w:spacing w:after="0"/>
              <w:rPr>
                <w:sz w:val="20"/>
                <w:szCs w:val="20"/>
                <w:color w:val="auto"/>
              </w:rPr>
            </w:pPr>
            <w:r>
              <w:rPr>
                <w:rFonts w:ascii="Arial" w:cs="Arial" w:eastAsia="Arial" w:hAnsi="Arial"/>
                <w:sz w:val="18"/>
                <w:szCs w:val="18"/>
                <w:color w:val="auto"/>
                <w:w w:val="99"/>
              </w:rPr>
              <w:t>2023</w:t>
            </w:r>
          </w:p>
        </w:tc>
        <w:tc>
          <w:tcPr>
            <w:tcW w:w="8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21"/>
                <w:szCs w:val="21"/>
                <w:color w:val="auto"/>
              </w:rPr>
            </w:pPr>
          </w:p>
        </w:tc>
      </w:tr>
      <w:tr>
        <w:trPr>
          <w:trHeight w:val="263"/>
        </w:trPr>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2024</w:t>
            </w:r>
          </w:p>
        </w:tc>
        <w:tc>
          <w:tcPr>
            <w:tcW w:w="87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FF0FC"/>
          </w:tcPr>
          <w:p>
            <w:pPr>
              <w:spacing w:after="0"/>
              <w:rPr>
                <w:sz w:val="22"/>
                <w:szCs w:val="22"/>
                <w:color w:val="auto"/>
              </w:rPr>
            </w:pPr>
          </w:p>
        </w:tc>
      </w:tr>
      <w:tr>
        <w:trPr>
          <w:trHeight w:val="250"/>
        </w:trPr>
        <w:tc>
          <w:tcPr>
            <w:tcW w:w="440" w:type="dxa"/>
            <w:vAlign w:val="bottom"/>
            <w:gridSpan w:val="2"/>
          </w:tcPr>
          <w:p>
            <w:pPr>
              <w:ind w:left="20"/>
              <w:spacing w:after="0"/>
              <w:rPr>
                <w:sz w:val="20"/>
                <w:szCs w:val="20"/>
                <w:color w:val="auto"/>
              </w:rPr>
            </w:pPr>
            <w:r>
              <w:rPr>
                <w:rFonts w:ascii="Arial" w:cs="Arial" w:eastAsia="Arial" w:hAnsi="Arial"/>
                <w:sz w:val="18"/>
                <w:szCs w:val="18"/>
                <w:color w:val="auto"/>
                <w:w w:val="99"/>
              </w:rPr>
              <w:t>2025</w:t>
            </w:r>
          </w:p>
        </w:tc>
        <w:tc>
          <w:tcPr>
            <w:tcW w:w="8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r>
      <w:tr>
        <w:trPr>
          <w:trHeight w:val="263"/>
        </w:trPr>
        <w:tc>
          <w:tcPr>
            <w:tcW w:w="91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9160" w:type="dxa"/>
            <w:vAlign w:val="bottom"/>
            <w:gridSpan w:val="2"/>
          </w:tcPr>
          <w:p>
            <w:pPr>
              <w:ind w:left="100"/>
              <w:spacing w:after="0"/>
              <w:rPr>
                <w:sz w:val="20"/>
                <w:szCs w:val="20"/>
                <w:color w:val="auto"/>
              </w:rPr>
            </w:pPr>
            <w:r>
              <w:rPr>
                <w:rFonts w:ascii="Arial" w:cs="Arial" w:eastAsia="Arial" w:hAnsi="Arial"/>
                <w:sz w:val="18"/>
                <w:szCs w:val="18"/>
                <w:color w:val="auto"/>
              </w:rPr>
              <w:t>Total future lease payments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22,154</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91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(1,081 )</w:t>
            </w:r>
          </w:p>
        </w:tc>
      </w:tr>
      <w:tr>
        <w:trPr>
          <w:trHeight w:val="250"/>
        </w:trPr>
        <w:tc>
          <w:tcPr>
            <w:tcW w:w="918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21,073</w:t>
            </w:r>
          </w:p>
        </w:tc>
        <w:tc>
          <w:tcPr>
            <w:tcW w:w="100" w:type="dxa"/>
            <w:vAlign w:val="bottom"/>
            <w:tcBorders>
              <w:top w:val="single" w:sz="8" w:color="CFF0FC"/>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w:t>
      </w:r>
    </w:p>
    <w:p>
      <w:pPr>
        <w:spacing w:after="0" w:line="256" w:lineRule="exact"/>
        <w:rPr>
          <w:sz w:val="20"/>
          <w:szCs w:val="20"/>
          <w:color w:val="auto"/>
        </w:rPr>
      </w:pPr>
    </w:p>
    <w:p>
      <w:pPr>
        <w:jc w:val="both"/>
        <w:ind w:right="40" w:firstLine="469"/>
        <w:spacing w:after="0" w:line="293" w:lineRule="auto"/>
        <w:rPr>
          <w:sz w:val="20"/>
          <w:szCs w:val="20"/>
          <w:color w:val="auto"/>
        </w:rPr>
      </w:pPr>
      <w:r>
        <w:rPr>
          <w:rFonts w:ascii="Arial" w:cs="Arial" w:eastAsia="Arial" w:hAnsi="Arial"/>
          <w:sz w:val="18"/>
          <w:szCs w:val="18"/>
          <w:color w:val="auto"/>
        </w:rPr>
        <w:t>The following presents noninterest income, segregated by revenue streams in-scope and out-of-scope of ASU No. 2014-09 “Revenue from Contracts with Customers (Topic 606)”,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r>
      <w:tr>
        <w:trPr>
          <w:trHeight w:val="241"/>
        </w:trPr>
        <w:tc>
          <w:tcPr>
            <w:tcW w:w="5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0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94"/>
              </w:rPr>
              <w:t>2020</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1"/>
                <w:szCs w:val="21"/>
                <w:color w:val="auto"/>
              </w:rPr>
            </w:pPr>
          </w:p>
        </w:tc>
      </w:tr>
      <w:tr>
        <w:trPr>
          <w:trHeight w:val="247"/>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Noninterest income:</w:t>
            </w:r>
          </w:p>
        </w:tc>
        <w:tc>
          <w:tcPr>
            <w:tcW w:w="30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5020" w:type="dxa"/>
            <w:vAlign w:val="bottom"/>
          </w:tcPr>
          <w:p>
            <w:pPr>
              <w:ind w:left="120"/>
              <w:spacing w:after="0"/>
              <w:rPr>
                <w:sz w:val="20"/>
                <w:szCs w:val="20"/>
                <w:color w:val="auto"/>
              </w:rPr>
            </w:pPr>
            <w:r>
              <w:rPr>
                <w:rFonts w:ascii="Arial" w:cs="Arial" w:eastAsia="Arial" w:hAnsi="Arial"/>
                <w:sz w:val="18"/>
                <w:szCs w:val="18"/>
                <w:i w:val="1"/>
                <w:iCs w:val="1"/>
                <w:color w:val="auto"/>
              </w:rPr>
              <w:t>In-scope of Topic 606:</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0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Service charges on deposit accounts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w:t>
            </w:r>
          </w:p>
        </w:tc>
        <w:tc>
          <w:tcPr>
            <w:tcW w:w="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12,667</w:t>
            </w: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12,555</w:t>
            </w:r>
          </w:p>
        </w:tc>
        <w:tc>
          <w:tcPr>
            <w:tcW w:w="100" w:type="dxa"/>
            <w:vAlign w:val="bottom"/>
            <w:shd w:val="clear" w:color="auto" w:fill="CFF0FC"/>
          </w:tcPr>
          <w:p>
            <w:pPr>
              <w:spacing w:after="0"/>
              <w:rPr>
                <w:sz w:val="22"/>
                <w:szCs w:val="22"/>
                <w:color w:val="auto"/>
              </w:rPr>
            </w:pPr>
          </w:p>
        </w:tc>
      </w:tr>
      <w:tr>
        <w:trPr>
          <w:trHeight w:val="250"/>
        </w:trPr>
        <w:tc>
          <w:tcPr>
            <w:tcW w:w="5020" w:type="dxa"/>
            <w:vAlign w:val="bottom"/>
          </w:tcPr>
          <w:p>
            <w:pPr>
              <w:ind w:left="300"/>
              <w:spacing w:after="0"/>
              <w:rPr>
                <w:sz w:val="20"/>
                <w:szCs w:val="20"/>
                <w:color w:val="auto"/>
              </w:rPr>
            </w:pPr>
            <w:r>
              <w:rPr>
                <w:rFonts w:ascii="Arial" w:cs="Arial" w:eastAsia="Arial" w:hAnsi="Arial"/>
                <w:sz w:val="18"/>
                <w:szCs w:val="18"/>
                <w:color w:val="auto"/>
              </w:rPr>
              <w:t>Trust and investment services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2,681</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8,459</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21"/>
                <w:szCs w:val="21"/>
                <w:color w:val="auto"/>
              </w:rPr>
            </w:pPr>
          </w:p>
        </w:tc>
      </w:tr>
      <w:tr>
        <w:trPr>
          <w:trHeight w:val="263"/>
        </w:trPr>
        <w:tc>
          <w:tcPr>
            <w:tcW w:w="50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Bankcard services</w:t>
            </w: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2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FF0FC"/>
          </w:tcPr>
          <w:p>
            <w:pPr>
              <w:spacing w:after="0"/>
              <w:rPr>
                <w:sz w:val="22"/>
                <w:szCs w:val="22"/>
                <w:color w:val="auto"/>
              </w:rPr>
            </w:pPr>
          </w:p>
        </w:tc>
      </w:tr>
      <w:tr>
        <w:trPr>
          <w:trHeight w:val="250"/>
        </w:trPr>
        <w:tc>
          <w:tcPr>
            <w:tcW w:w="5020" w:type="dxa"/>
            <w:vAlign w:val="bottom"/>
          </w:tcPr>
          <w:p>
            <w:pPr>
              <w:ind w:left="300"/>
              <w:spacing w:after="0"/>
              <w:rPr>
                <w:sz w:val="20"/>
                <w:szCs w:val="20"/>
                <w:color w:val="auto"/>
              </w:rPr>
            </w:pPr>
            <w:r>
              <w:rPr>
                <w:rFonts w:ascii="Arial" w:cs="Arial" w:eastAsia="Arial" w:hAnsi="Arial"/>
                <w:sz w:val="18"/>
                <w:szCs w:val="18"/>
                <w:color w:val="auto"/>
              </w:rPr>
              <w:t>Gain on OREO,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r>
      <w:tr>
        <w:trPr>
          <w:trHeight w:val="257"/>
        </w:trPr>
        <w:tc>
          <w:tcPr>
            <w:tcW w:w="50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3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4,753</w:t>
            </w:r>
          </w:p>
        </w:tc>
        <w:tc>
          <w:tcPr>
            <w:tcW w:w="2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020" w:type="dxa"/>
            <w:vAlign w:val="bottom"/>
          </w:tcPr>
          <w:p>
            <w:pPr>
              <w:ind w:left="120"/>
              <w:spacing w:after="0"/>
              <w:rPr>
                <w:sz w:val="20"/>
                <w:szCs w:val="20"/>
                <w:color w:val="auto"/>
              </w:rPr>
            </w:pPr>
            <w:r>
              <w:rPr>
                <w:rFonts w:ascii="Arial" w:cs="Arial" w:eastAsia="Arial" w:hAnsi="Arial"/>
                <w:sz w:val="18"/>
                <w:szCs w:val="18"/>
                <w:color w:val="auto"/>
              </w:rPr>
              <w:t>Noninterest Income (in-scope of Topic 606)</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9,254</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27,718</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30,054</w:t>
            </w:r>
          </w:p>
        </w:tc>
        <w:tc>
          <w:tcPr>
            <w:tcW w:w="100" w:type="dxa"/>
            <w:vAlign w:val="bottom"/>
          </w:tcPr>
          <w:p>
            <w:pPr>
              <w:spacing w:after="0"/>
              <w:rPr>
                <w:sz w:val="21"/>
                <w:szCs w:val="21"/>
                <w:color w:val="auto"/>
              </w:rPr>
            </w:pPr>
          </w:p>
        </w:tc>
      </w:tr>
      <w:tr>
        <w:trPr>
          <w:trHeight w:val="263"/>
        </w:trPr>
        <w:tc>
          <w:tcPr>
            <w:tcW w:w="5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Noninterest Income (out-of-scope of Topic 606)</w:t>
            </w: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3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5020" w:type="dxa"/>
            <w:vAlign w:val="bottom"/>
          </w:tcPr>
          <w:p>
            <w:pPr>
              <w:ind w:left="480"/>
              <w:spacing w:after="0"/>
              <w:rPr>
                <w:sz w:val="20"/>
                <w:szCs w:val="20"/>
                <w:color w:val="auto"/>
              </w:rPr>
            </w:pPr>
            <w:r>
              <w:rPr>
                <w:rFonts w:ascii="Arial" w:cs="Arial" w:eastAsia="Arial" w:hAnsi="Arial"/>
                <w:sz w:val="18"/>
                <w:szCs w:val="18"/>
                <w:b w:val="1"/>
                <w:bCs w:val="1"/>
                <w:color w:val="auto"/>
              </w:rPr>
              <w:t>Total noninterest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10,483</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13,153</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35,000</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36,945</w:t>
            </w:r>
          </w:p>
        </w:tc>
        <w:tc>
          <w:tcPr>
            <w:tcW w:w="100" w:type="dxa"/>
            <w:vAlign w:val="bottom"/>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-527685</wp:posOffset>
            </wp:positionV>
            <wp:extent cx="205740"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-527685</wp:posOffset>
            </wp:positionV>
            <wp:extent cx="20574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-527685</wp:posOffset>
            </wp:positionV>
            <wp:extent cx="188595"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-193675</wp:posOffset>
            </wp:positionV>
            <wp:extent cx="205740"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-193675</wp:posOffset>
            </wp:positionV>
            <wp:extent cx="20574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wp:posOffset>
            </wp:positionV>
            <wp:extent cx="188595"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40" w:firstLine="469"/>
        <w:spacing w:after="0" w:line="324" w:lineRule="auto"/>
        <w:rPr>
          <w:sz w:val="20"/>
          <w:szCs w:val="20"/>
          <w:color w:val="auto"/>
        </w:rPr>
      </w:pPr>
      <w:r>
        <w:rPr>
          <w:rFonts w:ascii="Arial" w:cs="Arial" w:eastAsia="Arial" w:hAnsi="Arial"/>
          <w:sz w:val="17"/>
          <w:szCs w:val="17"/>
          <w:color w:val="auto"/>
        </w:rPr>
        <w:t xml:space="preserve">Refer to Note 3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24 –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included in our Annual Report on Form 10-K for the year ended December 31, 2020 for a more detailed discussion about noninterest revenue streams that are in-scope of Topic 606.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40" w:firstLine="469"/>
        <w:spacing w:after="0" w:line="271" w:lineRule="auto"/>
        <w:rPr>
          <w:sz w:val="20"/>
          <w:szCs w:val="20"/>
          <w:color w:val="auto"/>
        </w:rPr>
      </w:pPr>
      <w:r>
        <w:rPr>
          <w:rFonts w:ascii="Arial" w:cs="Arial" w:eastAsia="Arial" w:hAnsi="Arial"/>
          <w:sz w:val="18"/>
          <w:szCs w:val="18"/>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2020 and the unaudited condensed consolidated financial statements and accompanying notes presented elsewhere in this report.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The spread of COVID-19 has created a global public health crisis that has resulted in unprecedented volatility and disruption in financial markets and deterioration in economic activity and market conditions in the markets we serve. The pandemic has affected our customers and the communities we serve and depending on the duration of the crisis and government actions, the adverse impact on our financial position and results of operations could be significant. In response to the effects of the pandemic on the U.S. economy, the Board of Governors of the Federal Reserve System (“FRB”) has taken significant actions, including a reduction in the target range of the federal funds rate to 0.0% to 0.25% and an indeterminate amount of purchases of Treasury and mortgage-backed securities.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March 27, 2020, the Coronavirus Aid, Relief, and Economic Security (“CARES”) Act was signed into law. It contain substantial tax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spending provisions intended to address the impact of the COVID-19 pandemic. The CARES Act includes the Paycheck Protection Program (“PPP”),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$349 billion program designed to aid small- and medium-sized businesses through 100% Small Business Administration (“SBA”) guaranteed loans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distributed through banks. These loans were intended to guarantee 24 weeks of payroll and other costs to help those businesses remain viable and keep their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workers employed. Legislation passed on April 24, 2020 provided additional PPP funds of $310 billion. During 2020, we originated and funded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approximately 4,100 loans, totaling $1.10 billion. In response to the COVID-19 pandemic and the CARES Act, we also implemented a short-term loan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modification program to provide temporary payment relief to certain of our borrowers who meet the program’s qualifications. On January 13, 2021,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SBA reopened the PPP for Second Draw loans to small businesses and non-profit organizations that did receive a loan through the initial PPP phase. 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least $25 billion has been set aside for Second Draw (“round two”) PPP loans to eligible borrowers with a maximum of 10 employees or for loans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$250,000 or less to eligible borrowers in low or moderate income neighborhoods. Generally speaking, businesses with more than 300 employees and/or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less than a 25% reduction in gross receipts between comparable quarters in 2019 and 2020 are not eligible for Second Draw loans. Further, maximum loan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amounts have been increased for accommodation and food service businesses. As of September 30, 2021, we have originated approximately 1,900 round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two loans totaling $420 million in outstanding borrowings. The Paycheck Protection Program officially ended on May 31, 2021. As of September 30,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2021, approximately 4,800 loans, representing approximately $1.2 billion in PPP loan balances were submitted to the SBA and granted forgiveness.</w:t>
      </w:r>
    </w:p>
    <w:p>
      <w:pPr>
        <w:spacing w:after="0" w:line="263" w:lineRule="exact"/>
        <w:rPr>
          <w:sz w:val="20"/>
          <w:szCs w:val="20"/>
          <w:color w:val="auto"/>
        </w:rPr>
      </w:pPr>
    </w:p>
    <w:p>
      <w:pPr>
        <w:ind w:right="140" w:firstLine="749"/>
        <w:spacing w:after="0" w:line="281" w:lineRule="auto"/>
        <w:rPr>
          <w:sz w:val="20"/>
          <w:szCs w:val="20"/>
          <w:color w:val="auto"/>
        </w:rPr>
      </w:pPr>
      <w:r>
        <w:rPr>
          <w:rFonts w:ascii="Arial" w:cs="Arial" w:eastAsia="Arial" w:hAnsi="Arial"/>
          <w:sz w:val="17"/>
          <w:szCs w:val="17"/>
          <w:color w:val="auto"/>
        </w:rPr>
        <w:t>The third quarter of 2021 included $4.0 million in recapture of provision for credit losses, primarily due to a modest improvement in our economic forecast. In comparison, the second quarter of 2021 included $2.0 million in recapture of provision. The Company’s allowance for credit losses at September 30, 2021 of $65.4 million, compares to the pre-pandemic allowance of $68.7 million at December 31, 2019. We continue to monitor the impact of COVID-19 closely. The extent to which the COVID-19 pandemic will impact our operations and financial results during 2021 is uncertain, but we may experience continued volatility in the provision for credit losses if this pandemic results in economic stress greater than forecasted on our borrowers and loan portfolios and lower interest income if the current low interest rate environment continues.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40" w:firstLine="469"/>
        <w:spacing w:after="0" w:line="292" w:lineRule="auto"/>
        <w:rPr>
          <w:sz w:val="20"/>
          <w:szCs w:val="20"/>
          <w:color w:val="auto"/>
        </w:rPr>
      </w:pPr>
      <w:r>
        <w:rPr>
          <w:rFonts w:ascii="Arial" w:cs="Arial" w:eastAsia="Arial" w:hAnsi="Arial"/>
          <w:sz w:val="17"/>
          <w:szCs w:val="17"/>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88" w:lineRule="exact"/>
        <w:rPr>
          <w:sz w:val="20"/>
          <w:szCs w:val="20"/>
          <w:color w:val="auto"/>
        </w:rPr>
      </w:pPr>
    </w:p>
    <w:p>
      <w:pPr>
        <w:ind w:right="260" w:firstLine="469"/>
        <w:spacing w:after="0" w:line="314" w:lineRule="auto"/>
        <w:rPr>
          <w:sz w:val="20"/>
          <w:szCs w:val="20"/>
          <w:color w:val="auto"/>
        </w:rPr>
      </w:pPr>
      <w:r>
        <w:rPr>
          <w:rFonts w:ascii="Arial" w:cs="Arial" w:eastAsia="Arial" w:hAnsi="Arial"/>
          <w:sz w:val="16"/>
          <w:szCs w:val="16"/>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Allowance for Credit Losses (“ACL”)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Business Combinations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Valuation and Recoverability of Goodwill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Income Taxes</w:t>
      </w:r>
    </w:p>
    <w:p>
      <w:pPr>
        <w:spacing w:after="0" w:line="251" w:lineRule="exact"/>
        <w:rPr>
          <w:sz w:val="20"/>
          <w:szCs w:val="20"/>
          <w:color w:val="auto"/>
        </w:rPr>
      </w:pPr>
    </w:p>
    <w:p>
      <w:pPr>
        <w:ind w:right="280" w:firstLine="469"/>
        <w:spacing w:after="0" w:line="275" w:lineRule="auto"/>
        <w:rPr>
          <w:sz w:val="20"/>
          <w:szCs w:val="20"/>
          <w:color w:val="auto"/>
        </w:rPr>
      </w:pPr>
      <w:r>
        <w:rPr>
          <w:rFonts w:ascii="Arial" w:cs="Arial" w:eastAsia="Arial" w:hAnsi="Arial"/>
          <w:sz w:val="18"/>
          <w:szCs w:val="18"/>
          <w:color w:val="auto"/>
        </w:rPr>
        <w:t xml:space="preserve">Our significant accounting policies are described in greater detail in our 2020 Annual Report on Form 10-K in the “Critical Accounting Policies” section of Management’s Discussion and Analysis of Financial Condition and Results of Operations and in Note 3 –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our Annual Report on Form 10-K for the year ended December 31, 2020, which are essential to understanding Management’s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and Analysis of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but Not Adopted as of September 30, 2021</w:t>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20015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42" w:lineRule="exact"/>
        <w:rPr>
          <w:sz w:val="20"/>
          <w:szCs w:val="20"/>
          <w:color w:val="auto"/>
        </w:rPr>
      </w:pPr>
    </w:p>
    <w:p>
      <w:pPr>
        <w:ind w:left="20"/>
        <w:spacing w:after="0" w:line="294" w:lineRule="auto"/>
        <w:rPr>
          <w:sz w:val="20"/>
          <w:szCs w:val="20"/>
          <w:color w:val="auto"/>
        </w:rPr>
      </w:pPr>
      <w:r>
        <w:rPr>
          <w:rFonts w:ascii="Arial" w:cs="Arial" w:eastAsia="Arial" w:hAnsi="Arial"/>
          <w:sz w:val="13"/>
          <w:szCs w:val="13"/>
          <w:color w:val="auto"/>
        </w:rPr>
        <w:t>ASU No. 2020-04, Reference Rate Reform (Topic 848): Facilitation of the Effects of Reference Rate Reform on Financial Reporting</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Issued March 2020</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Adoption</w:t>
            </w:r>
          </w:p>
        </w:tc>
        <w:tc>
          <w:tcPr>
            <w:tcW w:w="3540" w:type="dxa"/>
            <w:vAlign w:val="bottom"/>
          </w:tcPr>
          <w:p>
            <w:pPr>
              <w:spacing w:after="0"/>
              <w:rPr>
                <w:sz w:val="15"/>
                <w:szCs w:val="15"/>
                <w:color w:val="auto"/>
              </w:rPr>
            </w:pPr>
          </w:p>
        </w:tc>
      </w:tr>
      <w:tr>
        <w:trPr>
          <w:trHeight w:val="192"/>
        </w:trPr>
        <w:tc>
          <w:tcPr>
            <w:tcW w:w="44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Timing</w:t>
            </w:r>
          </w:p>
        </w:tc>
        <w:tc>
          <w:tcPr>
            <w:tcW w:w="35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Impact on Financial Statements</w:t>
            </w:r>
          </w:p>
        </w:tc>
      </w:tr>
      <w:tr>
        <w:trPr>
          <w:trHeight w:val="386"/>
        </w:trPr>
        <w:tc>
          <w:tcPr>
            <w:tcW w:w="4460" w:type="dxa"/>
            <w:vAlign w:val="bottom"/>
          </w:tcPr>
          <w:p>
            <w:pPr>
              <w:spacing w:after="0"/>
              <w:rPr>
                <w:sz w:val="20"/>
                <w:szCs w:val="20"/>
                <w:color w:val="auto"/>
              </w:rPr>
            </w:pPr>
            <w:r>
              <w:rPr>
                <w:rFonts w:ascii="Arial" w:cs="Arial" w:eastAsia="Arial" w:hAnsi="Arial"/>
                <w:sz w:val="14"/>
                <w:szCs w:val="14"/>
                <w:color w:val="auto"/>
                <w:w w:val="95"/>
              </w:rPr>
              <w:t>The FASB issued ASU 2020-04, Reference Rate Reform: Facilitation of the</w:t>
            </w:r>
          </w:p>
        </w:tc>
        <w:tc>
          <w:tcPr>
            <w:tcW w:w="120" w:type="dxa"/>
            <w:vAlign w:val="bottom"/>
          </w:tcPr>
          <w:p>
            <w:pPr>
              <w:spacing w:after="0"/>
              <w:rPr>
                <w:sz w:val="24"/>
                <w:szCs w:val="24"/>
                <w:color w:val="auto"/>
              </w:rPr>
            </w:pPr>
          </w:p>
        </w:tc>
        <w:tc>
          <w:tcPr>
            <w:tcW w:w="1080" w:type="dxa"/>
            <w:vAlign w:val="bottom"/>
          </w:tcPr>
          <w:p>
            <w:pPr>
              <w:jc w:val="center"/>
              <w:ind w:right="8"/>
              <w:spacing w:after="0"/>
              <w:rPr>
                <w:sz w:val="20"/>
                <w:szCs w:val="20"/>
                <w:color w:val="auto"/>
              </w:rPr>
            </w:pPr>
            <w:r>
              <w:rPr>
                <w:rFonts w:ascii="Arial" w:cs="Arial" w:eastAsia="Arial" w:hAnsi="Arial"/>
                <w:sz w:val="14"/>
                <w:szCs w:val="14"/>
                <w:color w:val="auto"/>
                <w:w w:val="91"/>
              </w:rPr>
              <w:t>1st Quarter 2020</w:t>
            </w:r>
          </w:p>
        </w:tc>
        <w:tc>
          <w:tcPr>
            <w:tcW w:w="3540" w:type="dxa"/>
            <w:vAlign w:val="bottom"/>
          </w:tcPr>
          <w:p>
            <w:pPr>
              <w:ind w:left="80"/>
              <w:spacing w:after="0"/>
              <w:rPr>
                <w:sz w:val="20"/>
                <w:szCs w:val="20"/>
                <w:color w:val="auto"/>
              </w:rPr>
            </w:pPr>
            <w:r>
              <w:rPr>
                <w:rFonts w:ascii="Arial" w:cs="Arial" w:eastAsia="Arial" w:hAnsi="Arial"/>
                <w:sz w:val="14"/>
                <w:szCs w:val="14"/>
                <w:color w:val="auto"/>
                <w:w w:val="95"/>
              </w:rPr>
              <w:t>The Company established a LIBOR Transition Task Force</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4"/>
              </w:rPr>
              <w:t>Effects of Reference Rate Reform on Financial Reporting. The amendments</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through the</w:t>
            </w:r>
          </w:p>
        </w:tc>
        <w:tc>
          <w:tcPr>
            <w:tcW w:w="3540" w:type="dxa"/>
            <w:vAlign w:val="bottom"/>
          </w:tcPr>
          <w:p>
            <w:pPr>
              <w:ind w:left="80"/>
              <w:spacing w:after="0"/>
              <w:rPr>
                <w:sz w:val="20"/>
                <w:szCs w:val="20"/>
                <w:color w:val="auto"/>
              </w:rPr>
            </w:pPr>
            <w:r>
              <w:rPr>
                <w:rFonts w:ascii="Arial" w:cs="Arial" w:eastAsia="Arial" w:hAnsi="Arial"/>
                <w:sz w:val="14"/>
                <w:szCs w:val="14"/>
                <w:color w:val="auto"/>
                <w:w w:val="96"/>
              </w:rPr>
              <w:t>in 2020, which has inventoried our instruments that reflect</w:t>
            </w:r>
          </w:p>
        </w:tc>
      </w:tr>
      <w:tr>
        <w:trPr>
          <w:trHeight w:val="176"/>
        </w:trPr>
        <w:tc>
          <w:tcPr>
            <w:tcW w:w="4460" w:type="dxa"/>
            <w:vAlign w:val="bottom"/>
          </w:tcPr>
          <w:p>
            <w:pPr>
              <w:spacing w:after="0"/>
              <w:rPr>
                <w:sz w:val="20"/>
                <w:szCs w:val="20"/>
                <w:color w:val="auto"/>
              </w:rPr>
            </w:pPr>
            <w:r>
              <w:rPr>
                <w:rFonts w:ascii="Arial" w:cs="Arial" w:eastAsia="Arial" w:hAnsi="Arial"/>
                <w:sz w:val="14"/>
                <w:szCs w:val="14"/>
                <w:color w:val="auto"/>
                <w:w w:val="99"/>
              </w:rPr>
              <w:t>in this update provide temporary, optional guidance to ease the potential</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4th Quarter 2022</w:t>
            </w:r>
          </w:p>
        </w:tc>
        <w:tc>
          <w:tcPr>
            <w:tcW w:w="3540" w:type="dxa"/>
            <w:vAlign w:val="bottom"/>
          </w:tcPr>
          <w:p>
            <w:pPr>
              <w:ind w:left="80"/>
              <w:spacing w:after="0"/>
              <w:rPr>
                <w:sz w:val="20"/>
                <w:szCs w:val="20"/>
                <w:color w:val="auto"/>
              </w:rPr>
            </w:pPr>
            <w:r>
              <w:rPr>
                <w:rFonts w:ascii="Arial" w:cs="Arial" w:eastAsia="Arial" w:hAnsi="Arial"/>
                <w:sz w:val="14"/>
                <w:szCs w:val="14"/>
                <w:color w:val="auto"/>
                <w:w w:val="98"/>
              </w:rPr>
              <w:t>exposure to LIBOR, created a framework to manage the</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9"/>
              </w:rPr>
              <w:t>burden in accounting for transitioning away from reference rates such as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w w:val="96"/>
              </w:rPr>
              <w:t>transition and established a timeline for key decisions and</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8"/>
              </w:rPr>
              <w:t>LIBOR. The amendments provide optional expedients and exceptions for</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actions, and started the transition from LIBOR in 2021.</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7"/>
              </w:rPr>
              <w:t>applying GAAP to transactions affected by reference rate reform if certain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Although the Company is assessing the impacts of this</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5"/>
              </w:rPr>
              <w:t>criteria are met. The amendments primarily include relief related to contract</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transition and exploring alternatives to use in place of</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9"/>
              </w:rPr>
              <w:t>modifications and hedging relationships, as well as providing a one-time</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w w:val="98"/>
              </w:rPr>
              <w:t>LIBOR for various financial instruments, primarily related</w:t>
            </w:r>
          </w:p>
        </w:tc>
      </w:tr>
      <w:tr>
        <w:trPr>
          <w:trHeight w:val="176"/>
        </w:trPr>
        <w:tc>
          <w:tcPr>
            <w:tcW w:w="4460" w:type="dxa"/>
            <w:vAlign w:val="bottom"/>
          </w:tcPr>
          <w:p>
            <w:pPr>
              <w:spacing w:after="0"/>
              <w:rPr>
                <w:sz w:val="20"/>
                <w:szCs w:val="20"/>
                <w:color w:val="auto"/>
              </w:rPr>
            </w:pPr>
            <w:r>
              <w:rPr>
                <w:rFonts w:ascii="Arial" w:cs="Arial" w:eastAsia="Arial" w:hAnsi="Arial"/>
                <w:sz w:val="14"/>
                <w:szCs w:val="14"/>
                <w:color w:val="auto"/>
              </w:rPr>
              <w:t>election for the sale or transfer of debt securities classified as held-to-</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to our variable-rate loans and our interest rate swap</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6"/>
              </w:rPr>
              <w:t>maturity. This guidance is effective immediately and the amendments may</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w w:val="99"/>
              </w:rPr>
              <w:t>derivatives that are indexed to LIBOR, we do not expect</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rPr>
              <w:t>be applied prospectively through December 31, 2022.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this ASU to have a material impact on the Company's</w:t>
            </w:r>
          </w:p>
        </w:tc>
      </w:tr>
      <w:tr>
        <w:trPr>
          <w:trHeight w:val="182"/>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119380</wp:posOffset>
            </wp:positionV>
            <wp:extent cx="71323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320"/>
            <w:col w:w="9200"/>
          </w:cols>
          <w:pgMar w:left="320" w:top="405" w:right="339" w:bottom="1440" w:gutter="0" w:footer="0" w:header="0"/>
          <w:type w:val="continuous"/>
        </w:sectPr>
      </w:pPr>
    </w:p>
    <w:p>
      <w:pPr>
        <w:spacing w:after="0" w:line="212" w:lineRule="exact"/>
        <w:rPr>
          <w:sz w:val="20"/>
          <w:szCs w:val="20"/>
          <w:color w:val="auto"/>
        </w:rPr>
      </w:pPr>
    </w:p>
    <w:p>
      <w:pPr>
        <w:ind w:left="20"/>
        <w:spacing w:after="0" w:line="288" w:lineRule="auto"/>
        <w:rPr>
          <w:sz w:val="20"/>
          <w:szCs w:val="20"/>
          <w:color w:val="auto"/>
        </w:rPr>
      </w:pPr>
      <w:r>
        <w:rPr>
          <w:rFonts w:ascii="Arial" w:cs="Arial" w:eastAsia="Arial" w:hAnsi="Arial"/>
          <w:sz w:val="13"/>
          <w:szCs w:val="13"/>
          <w:color w:val="auto"/>
        </w:rPr>
        <w:t>ASU 2020-06, Debt — Debt with Conversion and Other Options (Subtopic 470-20) and Derivatives and Hedging— Contracts in Entity’s Own Equity (Subtopic 815-40): Accounting for Convertible Instruments and Contracts in an Entity’s Own Equity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4580" w:val="left"/>
          <w:tab w:leader="none" w:pos="5720" w:val="left"/>
        </w:tabs>
        <w:rPr>
          <w:sz w:val="20"/>
          <w:szCs w:val="20"/>
          <w:color w:val="auto"/>
        </w:rPr>
      </w:pPr>
      <w:r>
        <w:rPr>
          <w:rFonts w:ascii="Arial" w:cs="Arial" w:eastAsia="Arial" w:hAnsi="Arial"/>
          <w:sz w:val="14"/>
          <w:szCs w:val="14"/>
          <w:color w:val="auto"/>
        </w:rPr>
        <w:t>The FASB issued ASU 2020-06, Debt — Debt with Conversion and Other</w:t>
      </w:r>
      <w:r>
        <w:rPr>
          <w:sz w:val="20"/>
          <w:szCs w:val="20"/>
          <w:color w:val="auto"/>
        </w:rPr>
        <w:tab/>
      </w:r>
      <w:r>
        <w:rPr>
          <w:rFonts w:ascii="Arial" w:cs="Arial" w:eastAsia="Arial" w:hAnsi="Arial"/>
          <w:sz w:val="14"/>
          <w:szCs w:val="14"/>
          <w:color w:val="auto"/>
        </w:rPr>
        <w:t>1st Quarter 2022</w:t>
      </w:r>
      <w:r>
        <w:rPr>
          <w:sz w:val="20"/>
          <w:szCs w:val="20"/>
          <w:color w:val="auto"/>
        </w:rPr>
        <w:tab/>
      </w:r>
      <w:r>
        <w:rPr>
          <w:rFonts w:ascii="Arial" w:cs="Arial" w:eastAsia="Arial" w:hAnsi="Arial"/>
          <w:sz w:val="13"/>
          <w:szCs w:val="13"/>
          <w:color w:val="auto"/>
        </w:rPr>
        <w:t>The adoption of this ASU is not expected to have a material</w:t>
      </w:r>
    </w:p>
    <w:p>
      <w:pPr>
        <w:spacing w:after="0" w:line="21" w:lineRule="exact"/>
        <w:rPr>
          <w:sz w:val="20"/>
          <w:szCs w:val="20"/>
          <w:color w:val="auto"/>
        </w:rPr>
      </w:pPr>
    </w:p>
    <w:p>
      <w:pPr>
        <w:spacing w:after="0"/>
        <w:tabs>
          <w:tab w:leader="none" w:pos="5720" w:val="left"/>
        </w:tabs>
        <w:rPr>
          <w:sz w:val="20"/>
          <w:szCs w:val="20"/>
          <w:color w:val="auto"/>
        </w:rPr>
      </w:pPr>
      <w:r>
        <w:rPr>
          <w:rFonts w:ascii="Arial" w:cs="Arial" w:eastAsia="Arial" w:hAnsi="Arial"/>
          <w:sz w:val="14"/>
          <w:szCs w:val="14"/>
          <w:color w:val="auto"/>
        </w:rPr>
        <w:t>Options (Subtopic 470-20) and Derivatives and Hedging—Contracts in</w:t>
      </w:r>
      <w:r>
        <w:rPr>
          <w:sz w:val="20"/>
          <w:szCs w:val="20"/>
          <w:color w:val="auto"/>
        </w:rPr>
        <w:tab/>
      </w:r>
      <w:r>
        <w:rPr>
          <w:rFonts w:ascii="Arial" w:cs="Arial" w:eastAsia="Arial" w:hAnsi="Arial"/>
          <w:sz w:val="13"/>
          <w:szCs w:val="13"/>
          <w:color w:val="auto"/>
        </w:rPr>
        <w:t>impact on our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Entity’s Own Equity (Subtopic 815-40): Accounting for Convertible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Instruments and Contracts in an Entity’s Own Equity. This ASU reduces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number of accounting models for convertible instruments and allows more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contracts to qualify for equity classification.</w:t>
      </w:r>
    </w:p>
    <w:p>
      <w:pPr>
        <w:spacing w:after="0" w:line="763" w:lineRule="exact"/>
        <w:rPr>
          <w:sz w:val="20"/>
          <w:szCs w:val="20"/>
          <w:color w:val="auto"/>
        </w:rPr>
      </w:pPr>
    </w:p>
    <w:p>
      <w:pPr>
        <w:sectPr>
          <w:pgSz w:w="11900" w:h="16838" w:orient="portrait"/>
          <w:cols w:equalWidth="0" w:num="2">
            <w:col w:w="1860" w:space="180"/>
            <w:col w:w="9200"/>
          </w:cols>
          <w:pgMar w:left="320" w:top="405" w:right="339" w:bottom="1440" w:gutter="0" w:footer="0" w:header="0"/>
          <w:type w:val="continuous"/>
        </w:sectPr>
      </w:pPr>
    </w:p>
    <w:p>
      <w:pPr>
        <w:ind w:left="20"/>
        <w:spacing w:after="0"/>
        <w:rPr>
          <w:sz w:val="20"/>
          <w:szCs w:val="20"/>
          <w:color w:val="auto"/>
        </w:rPr>
      </w:pPr>
      <w:r>
        <w:rPr>
          <w:rFonts w:ascii="Arial" w:cs="Arial" w:eastAsia="Arial" w:hAnsi="Arial"/>
          <w:sz w:val="14"/>
          <w:szCs w:val="14"/>
          <w:i w:val="1"/>
          <w:iCs w:val="1"/>
          <w:color w:val="auto"/>
        </w:rPr>
        <w:t>Issued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80" w:firstLine="469"/>
        <w:spacing w:after="0" w:line="279" w:lineRule="auto"/>
        <w:rPr>
          <w:sz w:val="20"/>
          <w:szCs w:val="20"/>
          <w:color w:val="auto"/>
        </w:rPr>
      </w:pPr>
      <w:r>
        <w:rPr>
          <w:rFonts w:ascii="Arial" w:cs="Arial" w:eastAsia="Arial" w:hAnsi="Arial"/>
          <w:sz w:val="18"/>
          <w:szCs w:val="18"/>
          <w:color w:val="auto"/>
        </w:rPr>
        <w:t>For the third quarter of 2021, we reported net earnings of $49.8 million, compared with $51.2 million for the quarter ended June 30, 2021 and $47.5 million for the quarter ended September 30, 2020. Diluted earnings per share were $0.37 for the third quarter, compared to $0.38 for the prior quarter and $0.35 for the same period last year.</w:t>
      </w:r>
    </w:p>
    <w:p>
      <w:pPr>
        <w:spacing w:after="0" w:line="196" w:lineRule="exact"/>
        <w:rPr>
          <w:sz w:val="20"/>
          <w:szCs w:val="20"/>
          <w:color w:val="auto"/>
        </w:rPr>
      </w:pPr>
    </w:p>
    <w:p>
      <w:pPr>
        <w:ind w:right="140" w:firstLine="469"/>
        <w:spacing w:after="0" w:line="308" w:lineRule="auto"/>
        <w:rPr>
          <w:sz w:val="20"/>
          <w:szCs w:val="20"/>
          <w:color w:val="auto"/>
        </w:rPr>
      </w:pPr>
      <w:r>
        <w:rPr>
          <w:rFonts w:ascii="Arial" w:cs="Arial" w:eastAsia="Arial" w:hAnsi="Arial"/>
          <w:sz w:val="16"/>
          <w:szCs w:val="16"/>
          <w:color w:val="auto"/>
        </w:rPr>
        <w:t>The third quarter of 2021 included $4.0 million in recapture of provision for credit losses, primarily due to a modest improvement in our economic forecast, compared to $2.0 million in recapture of provision in the second quarter of 2021. A $25.5 million recapture of provision for credit losses was recorded for the nine months ended September 30, 2021. In comparison, $23.5 million in provision for credit losses was recorded for the nine months ended September 30, 2020 due to the severe economic forecast at that time as a result of the pandemic. During the third quarter of 2021, we experienced credit charge-offs of $11,000 and total recoveries of $33,000, resulting in net recoveries of $22,000. Of the approximately 4,100 SBA PPP loans we originated in 2020, $52.4 million remained outstanding at September 30, 2021, after loan forgiveness and customer repayment. As of September 30 2021, the Company originated approximately 1,900 PPP loans in round two, with a loan balance, at amortized cost, of $278.6 million at September 30, 2021. Interest and fee income from PPP loans was $7.9 million for the third quarter of 2021, compared to $8.1 million for the second quarter of 2021.</w:t>
      </w:r>
    </w:p>
    <w:p>
      <w:pPr>
        <w:spacing w:after="0" w:line="177" w:lineRule="exact"/>
        <w:rPr>
          <w:sz w:val="20"/>
          <w:szCs w:val="20"/>
          <w:color w:val="auto"/>
        </w:rPr>
      </w:pPr>
    </w:p>
    <w:p>
      <w:pPr>
        <w:ind w:firstLine="469"/>
        <w:spacing w:after="0" w:line="272" w:lineRule="auto"/>
        <w:rPr>
          <w:sz w:val="20"/>
          <w:szCs w:val="20"/>
          <w:color w:val="auto"/>
        </w:rPr>
      </w:pPr>
      <w:r>
        <w:rPr>
          <w:rFonts w:ascii="Arial" w:cs="Arial" w:eastAsia="Arial" w:hAnsi="Arial"/>
          <w:sz w:val="18"/>
          <w:szCs w:val="18"/>
          <w:color w:val="auto"/>
        </w:rPr>
        <w:t>At September 30, 2021, total assets of $16.20 billion increased $1.78 billion, or 12.36%, from total assets of $14.42 billion at December 31, 2020. Interest-earning assets of $14.93 billion at September 30, 2021 increased $1.71 billion, or 12.92%, when compared with $13.22 billion at December 31, 2020. The increase in interest-earning assets was primarily due to a $1.66 billion increase in investment securities and a $565.9 million increase in interest-earning balances due from the Federal Reserve, partially offset by a $499.3 million decrease in total loans which included a decrease in PPP loans of $552 million for the nine months ended September 30, 2021.</w:t>
      </w:r>
    </w:p>
    <w:p>
      <w:pPr>
        <w:spacing w:after="0" w:line="204" w:lineRule="exact"/>
        <w:rPr>
          <w:sz w:val="20"/>
          <w:szCs w:val="20"/>
          <w:color w:val="auto"/>
        </w:rPr>
      </w:pPr>
    </w:p>
    <w:p>
      <w:pPr>
        <w:ind w:right="60" w:firstLine="469"/>
        <w:spacing w:after="0" w:line="299" w:lineRule="auto"/>
        <w:rPr>
          <w:sz w:val="20"/>
          <w:szCs w:val="20"/>
          <w:color w:val="auto"/>
        </w:rPr>
      </w:pPr>
      <w:r>
        <w:rPr>
          <w:rFonts w:ascii="Arial" w:cs="Arial" w:eastAsia="Arial" w:hAnsi="Arial"/>
          <w:sz w:val="16"/>
          <w:szCs w:val="16"/>
          <w:color w:val="auto"/>
        </w:rPr>
        <w:t>Total investment securities were $4.64 billion at September 30, 2021, an increase of $1.66 billion, or 55.70%, from $2.98 billion at December 31, 2020. In the third quarter of 2021, we purchased $892.5 million of investment securities with an average investment yield of approximately 1.70%, compared to $317.1 million of securities with an average investment yield of approximately 1.69% in the second quarter of 2021 and $1.23 billion of securities purchased in the first quarter of 2021, with an average expected yield of approximately 1.57%. At September 30, 2021, investment securities held-to-maturity (“HTM”) totaled $1.71 billion. At September 30, 2021, investment securities available-for-sale (“AFS") totaled $2.93 billion, inclusive of a net pre-tax unrealized gain of $8.8 million, which decreased $46.0 million from December 31, 2020. HTM securities increased by $1.13 billion, or</w:t>
      </w:r>
    </w:p>
    <w:p>
      <w:pPr>
        <w:spacing w:after="0" w:line="3" w:lineRule="exact"/>
        <w:rPr>
          <w:sz w:val="20"/>
          <w:szCs w:val="20"/>
          <w:color w:val="auto"/>
        </w:rPr>
      </w:pPr>
    </w:p>
    <w:p>
      <w:pPr>
        <w:jc w:val="both"/>
        <w:ind w:right="140"/>
        <w:spacing w:after="0" w:line="302" w:lineRule="auto"/>
        <w:rPr>
          <w:sz w:val="20"/>
          <w:szCs w:val="20"/>
          <w:color w:val="auto"/>
        </w:rPr>
      </w:pPr>
      <w:r>
        <w:rPr>
          <w:rFonts w:ascii="Arial" w:cs="Arial" w:eastAsia="Arial" w:hAnsi="Arial"/>
          <w:sz w:val="17"/>
          <w:szCs w:val="17"/>
          <w:color w:val="auto"/>
        </w:rPr>
        <w:t>195.69%, and AFS securities increased $526.1 million, or 21.93%, from December 31, 2020. In the third quarter of 2021, we purchased $705.1 million of HTM securities. We purchased $545.7 million of HTM securities in the first quarter of 2021. Our tax equivalent yield on investments was 1.54% for the quarter ended September 30, 2021, compared to 1.55% for the quarter ended June 30, 2021 and 1.99% for the third quarter of 2020.</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loans and leases, at amortized cost, of $7.85 billion at September 30, 2021 decreased by $499.3 million, or 5.98%, from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$499.3 million decrease in total loans included decreases of $552.0 million in PPP loans, $81.6 million in dairy &amp; livestock and agribusiness loans due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seasonal pay downs, $42.1 million in commercial and industrial loans, $39.2 million in SFR mortgage loans, $7.7 million in construction loans, and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$13.5 million in consumer and other loans, partially offset by an increase of $233.2 million in commercial real estate loans and $3.6 million in SBA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After adjusting for seasonality and PPP loans, our loans grew by $134.3 million or at an annualized rate of approximately 3% from the end of the fourth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 of 2020. Our yield on loans was 4.43% for the quarter ended September 30, 2021, compared to 4.46% for the second quarter of 2021 and 4.47%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third quarter of 2020. The significant decline in interest rates since the start of the pandemic has had a negative impact on loan yields, which after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excluding discount accretion, nonaccrual interest income, and the impact from PPP loans, declined by 29 basis points for the nine months ended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2021 when compared to the same period of 2020.</w:t>
      </w:r>
    </w:p>
    <w:p>
      <w:pPr>
        <w:spacing w:after="0" w:line="251" w:lineRule="exact"/>
        <w:rPr>
          <w:sz w:val="20"/>
          <w:szCs w:val="20"/>
          <w:color w:val="auto"/>
        </w:rPr>
      </w:pPr>
    </w:p>
    <w:p>
      <w:pPr>
        <w:jc w:val="both"/>
        <w:ind w:right="40" w:firstLine="469"/>
        <w:spacing w:after="0" w:line="275" w:lineRule="auto"/>
        <w:rPr>
          <w:sz w:val="20"/>
          <w:szCs w:val="20"/>
          <w:color w:val="auto"/>
        </w:rPr>
      </w:pPr>
      <w:r>
        <w:rPr>
          <w:rFonts w:ascii="Arial" w:cs="Arial" w:eastAsia="Arial" w:hAnsi="Arial"/>
          <w:sz w:val="18"/>
          <w:szCs w:val="18"/>
          <w:color w:val="auto"/>
        </w:rPr>
        <w:t>Noninterest-bearing deposits were $8.31 billion at September 30, 2021, an increase of $855.3 million, or 11.47%, when compared to $7.46 billion at December 31, 2020. At September 30, 2021, noninterest-bearing deposits were 64.27% of total deposits, compared to 63.52% at December 31, 2020. Our average cost of total deposits was 0.03% for the quarter ended September 30, 2021, compared to 0.05% for the quarter ended June 30, 2021 and 0.11% for the third quarter of 2020.</w:t>
      </w:r>
    </w:p>
    <w:p>
      <w:pPr>
        <w:spacing w:after="0" w:line="199" w:lineRule="exact"/>
        <w:rPr>
          <w:sz w:val="20"/>
          <w:szCs w:val="20"/>
          <w:color w:val="auto"/>
        </w:rPr>
      </w:pPr>
    </w:p>
    <w:p>
      <w:pPr>
        <w:ind w:right="160" w:firstLine="469"/>
        <w:spacing w:after="0" w:line="279" w:lineRule="auto"/>
        <w:rPr>
          <w:sz w:val="20"/>
          <w:szCs w:val="20"/>
          <w:color w:val="auto"/>
        </w:rPr>
      </w:pPr>
      <w:r>
        <w:rPr>
          <w:rFonts w:ascii="Arial" w:cs="Arial" w:eastAsia="Arial" w:hAnsi="Arial"/>
          <w:sz w:val="18"/>
          <w:szCs w:val="18"/>
          <w:color w:val="auto"/>
        </w:rPr>
        <w:t>Customer repurchase agreements totaled $659.6 million at September 30, 2021, compared to $439.4 million at December 31, 2020. Our average cost of total deposits including customer repurchase agreements was 0.04% for the quarter ended September 30, 2021, compared to 0.05% for the quarter ended June 30, 2021 and 0.11% for the third quarter of 2020.</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38" w:name="page39"/>
    <w:bookmarkEnd w:id="38"/>
    <w:p>
      <w:pPr>
        <w:ind w:right="20" w:firstLine="464"/>
        <w:spacing w:after="0" w:line="272" w:lineRule="auto"/>
        <w:rPr>
          <w:sz w:val="20"/>
          <w:szCs w:val="20"/>
          <w:color w:val="auto"/>
        </w:rPr>
      </w:pPr>
      <w:r>
        <w:rPr>
          <w:rFonts w:ascii="Arial" w:cs="Arial" w:eastAsia="Arial" w:hAnsi="Arial"/>
          <w:sz w:val="18"/>
          <w:szCs w:val="18"/>
          <w:color w:val="auto"/>
        </w:rPr>
        <w:t>We had no borrowings at September 30, 2021, compared to $5.0 million in short-term borrowings with 0% cost at December 31, 2020, and $10.0 million in short-term borrowings with 0% cost at September 30, 2020. We redeemed our $25.8 million junior subordinated debentures on June 15, 2021. The debentures, bearing interest at three-month LIBOR plus 1.38%, had an original maturity of 2036. These debentures had a borrowing cost of 1.57% for the second quarter of 2021 and 1.69% for the third quarter of 2020. Our average cost of funds was 0.04% for the quarter ended September 30, 2021, 0.05% for the quarter ended June 30, 2021, and 0.11% for the third quarter of 2020.</w:t>
      </w:r>
    </w:p>
    <w:p>
      <w:pPr>
        <w:spacing w:after="0" w:line="204" w:lineRule="exact"/>
        <w:rPr>
          <w:sz w:val="20"/>
          <w:szCs w:val="20"/>
          <w:color w:val="auto"/>
        </w:rPr>
      </w:pPr>
    </w:p>
    <w:p>
      <w:pPr>
        <w:ind w:right="240" w:firstLine="469"/>
        <w:spacing w:after="0" w:line="314" w:lineRule="auto"/>
        <w:rPr>
          <w:sz w:val="20"/>
          <w:szCs w:val="20"/>
          <w:color w:val="auto"/>
        </w:rPr>
      </w:pPr>
      <w:r>
        <w:rPr>
          <w:rFonts w:ascii="Arial" w:cs="Arial" w:eastAsia="Arial" w:hAnsi="Arial"/>
          <w:sz w:val="16"/>
          <w:szCs w:val="16"/>
          <w:color w:val="auto"/>
        </w:rPr>
        <w:t>The allowance for credit losses totaled $65.4 million at September 30, 2021, compared to $93.7 million at December 31, 2020. The allowance for credit losses for the first nine months of 2021 was decreased by $25.5 million, due to the improved outlook in our forecast of certain macroeconomic variables that were influenced by the economic impact of the pandemic and government stimulus, and by $2.8 million in year-to-date net charge-offs. At September 30, 2021, ACL as a percentage of total loans and leases outstanding was 0.83%, or 0.87% when PPP loans are excluded. This compares to 1.12% at December 31, 2020, or 1.25% when PPP loans are excluded. As of September 30, 2021, total discounts on acquired loans were $20.7 million.</w:t>
      </w:r>
    </w:p>
    <w:p>
      <w:pPr>
        <w:spacing w:after="0" w:line="173" w:lineRule="exact"/>
        <w:rPr>
          <w:sz w:val="20"/>
          <w:szCs w:val="20"/>
          <w:color w:val="auto"/>
        </w:rPr>
      </w:pPr>
    </w:p>
    <w:p>
      <w:pPr>
        <w:ind w:right="120" w:firstLine="469"/>
        <w:spacing w:after="0" w:line="314" w:lineRule="auto"/>
        <w:rPr>
          <w:sz w:val="20"/>
          <w:szCs w:val="20"/>
          <w:color w:val="auto"/>
        </w:rPr>
      </w:pPr>
      <w:r>
        <w:rPr>
          <w:rFonts w:ascii="Arial" w:cs="Arial" w:eastAsia="Arial" w:hAnsi="Arial"/>
          <w:sz w:val="16"/>
          <w:szCs w:val="16"/>
          <w:color w:val="auto"/>
        </w:rPr>
        <w:t>The Company’s total equity was $2.06 billion at September 30, 2021. This represented an increase of $55.9 million, or 2.79%, from total equity of $2.01 billion at December 31, 2020. The increase was primarily due to net earnings of $164.8 million, partially offset by a $32.3 million decrease in other comprehensive income from the tax effected impact of the decrease in market value of available-for-sale securities and $73.4 million in cash dividends. Our tangible common equity ratio was 8.9% at September 30, 2021. During the third quarter, we repurchased 390,336 shares of common stock for $7.4 million, or an average repurchase price of $18.97. Our tangible book value per share at September 30, 2021 was $10.13.</w:t>
      </w:r>
    </w:p>
    <w:p>
      <w:pPr>
        <w:spacing w:after="0" w:line="173" w:lineRule="exact"/>
        <w:rPr>
          <w:sz w:val="20"/>
          <w:szCs w:val="20"/>
          <w:color w:val="auto"/>
        </w:rPr>
      </w:pPr>
    </w:p>
    <w:p>
      <w:pPr>
        <w:ind w:right="40" w:firstLine="469"/>
        <w:spacing w:after="0" w:line="296" w:lineRule="auto"/>
        <w:rPr>
          <w:sz w:val="20"/>
          <w:szCs w:val="20"/>
          <w:color w:val="auto"/>
        </w:rPr>
      </w:pPr>
      <w:r>
        <w:rPr>
          <w:rFonts w:ascii="Arial" w:cs="Arial" w:eastAsia="Arial" w:hAnsi="Arial"/>
          <w:sz w:val="17"/>
          <w:szCs w:val="17"/>
          <w:color w:val="auto"/>
        </w:rPr>
        <w:t xml:space="preserve">Our capital ratios under the revised capital framework referred to as Basel III remain well-above regulatory requirements. As of September 30, 2021, the Company’s Tier 1 leverage capital ratio was 9.2%, common equity Tier 1 ratio was 14.9%, Tier 1 risk-based capital ratio was 14.9%, and total risk-based capital ratio was 15.7%. We did not elect to phase in the impact of CECL on regulatory capital, as allowed under the interim final rule of the FDIC and other U.S. banking agencies. Refer to our </w:t>
      </w:r>
      <w:r>
        <w:rPr>
          <w:rFonts w:ascii="Arial" w:cs="Arial" w:eastAsia="Arial" w:hAnsi="Arial"/>
          <w:sz w:val="17"/>
          <w:szCs w:val="17"/>
          <w:i w:val="1"/>
          <w:iCs w:val="1"/>
          <w:color w:val="auto"/>
        </w:rPr>
        <w:t>Analysis of Financial Condition – Capital Resources</w:t>
      </w:r>
      <w:r>
        <w:rPr>
          <w:rFonts w:ascii="Arial" w:cs="Arial" w:eastAsia="Arial" w:hAnsi="Arial"/>
          <w:sz w:val="17"/>
          <w:szCs w:val="17"/>
          <w:color w:val="auto"/>
        </w:rPr>
        <w:t>.</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Acquisition Related</w:t>
      </w:r>
    </w:p>
    <w:p>
      <w:pPr>
        <w:spacing w:after="0" w:line="252" w:lineRule="exact"/>
        <w:rPr>
          <w:sz w:val="20"/>
          <w:szCs w:val="20"/>
          <w:color w:val="auto"/>
        </w:rPr>
      </w:pPr>
    </w:p>
    <w:p>
      <w:pPr>
        <w:ind w:firstLine="469"/>
        <w:spacing w:after="0" w:line="281" w:lineRule="auto"/>
        <w:rPr>
          <w:sz w:val="20"/>
          <w:szCs w:val="20"/>
          <w:color w:val="auto"/>
        </w:rPr>
      </w:pPr>
      <w:r>
        <w:rPr>
          <w:rFonts w:ascii="Arial" w:cs="Arial" w:eastAsia="Arial" w:hAnsi="Arial"/>
          <w:sz w:val="17"/>
          <w:szCs w:val="17"/>
          <w:color w:val="auto"/>
        </w:rPr>
        <w:t>As previously announced on July 27, 2021, we entered into a definitive agreement to merge Suncrest Bank with and into Citizens Business Bank. Suncrest Bank, headquartered in Visalia, California, had approximately $1.4 billion in total assets, $821 million in gross loans and $1.2 billion in total deposits as of September 30, 2021. Consummation of the merger is subject to customary closing conditions, including, among others, Suncrest shareholders and regulatory approval. Suncrest Bank shareholders voted in favor of the merger at a special shareholders meeting held on October 27, 2021</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merger is pending regulatory approval and is anticipated to close in the fourth quarter of 2021 or first quarter of 2022.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ANALYSIS OF THE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Performance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0" w:type="dxa"/>
            <w:vAlign w:val="bottom"/>
            <w:gridSpan w:val="5"/>
          </w:tcPr>
          <w:p>
            <w:pPr>
              <w:jc w:val="right"/>
              <w:ind w:right="12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9"/>
                <w:szCs w:val="19"/>
                <w:color w:val="auto"/>
              </w:rPr>
            </w:pPr>
          </w:p>
        </w:tc>
        <w:tc>
          <w:tcPr>
            <w:tcW w:w="1420" w:type="dxa"/>
            <w:vAlign w:val="bottom"/>
            <w:gridSpan w:val="3"/>
          </w:tcPr>
          <w:p>
            <w:pPr>
              <w:ind w:left="640"/>
              <w:spacing w:after="0"/>
              <w:rPr>
                <w:sz w:val="20"/>
                <w:szCs w:val="20"/>
                <w:color w:val="auto"/>
              </w:rPr>
            </w:pPr>
            <w:r>
              <w:rPr>
                <w:rFonts w:ascii="Arial" w:cs="Arial" w:eastAsia="Arial" w:hAnsi="Arial"/>
                <w:sz w:val="16"/>
                <w:szCs w:val="16"/>
                <w:b w:val="1"/>
                <w:bCs w:val="1"/>
                <w:color w:val="auto"/>
              </w:rPr>
              <w:t>Variance</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0"/>
        </w:trPr>
        <w:tc>
          <w:tcPr>
            <w:tcW w:w="4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w w:val="93"/>
              </w:rPr>
              <w:t>September 30,</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42"/>
        </w:trPr>
        <w:tc>
          <w:tcPr>
            <w:tcW w:w="4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r>
      <w:tr>
        <w:trPr>
          <w:trHeight w:val="220"/>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80" w:type="dxa"/>
            <w:vAlign w:val="bottom"/>
            <w:gridSpan w:val="8"/>
          </w:tcPr>
          <w:p>
            <w:pPr>
              <w:ind w:left="2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103,299</w:t>
            </w: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105,388</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(2,089 )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-1.98 %</w:t>
            </w: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auto"/>
              </w:rPr>
              <w:t>Recapture of (provision for) credit losses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100.00 %</w:t>
            </w:r>
          </w:p>
        </w:tc>
      </w:tr>
      <w:tr>
        <w:trPr>
          <w:trHeight w:val="23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income</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10,483</w:t>
            </w: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10,836</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(353 )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-3.26 %</w:t>
            </w: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160" w:type="dxa"/>
            <w:vAlign w:val="bottom"/>
          </w:tcPr>
          <w:p>
            <w:pPr>
              <w:spacing w:after="0"/>
              <w:rPr>
                <w:sz w:val="19"/>
                <w:szCs w:val="19"/>
                <w:color w:val="auto"/>
              </w:rPr>
            </w:pPr>
          </w:p>
        </w:tc>
        <w:tc>
          <w:tcPr>
            <w:tcW w:w="1700" w:type="dxa"/>
            <w:vAlign w:val="bottom"/>
            <w:gridSpan w:val="2"/>
          </w:tcPr>
          <w:p>
            <w:pPr>
              <w:jc w:val="right"/>
              <w:ind w:right="299"/>
              <w:spacing w:after="0"/>
              <w:rPr>
                <w:sz w:val="20"/>
                <w:szCs w:val="20"/>
                <w:color w:val="auto"/>
              </w:rPr>
            </w:pPr>
            <w:r>
              <w:rPr>
                <w:rFonts w:ascii="Arial" w:cs="Arial" w:eastAsia="Arial" w:hAnsi="Arial"/>
                <w:sz w:val="16"/>
                <w:szCs w:val="16"/>
                <w:color w:val="auto"/>
              </w:rPr>
              <w:t>(48,099 )</w:t>
            </w:r>
          </w:p>
        </w:tc>
        <w:tc>
          <w:tcPr>
            <w:tcW w:w="22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6"/>
                <w:szCs w:val="16"/>
                <w:color w:val="auto"/>
              </w:rPr>
              <w:t>(46,545 )</w:t>
            </w:r>
          </w:p>
        </w:tc>
        <w:tc>
          <w:tcPr>
            <w:tcW w:w="30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(1,554 )</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-3.34 %</w:t>
            </w:r>
          </w:p>
        </w:tc>
      </w:tr>
      <w:tr>
        <w:trPr>
          <w:trHeight w:val="236"/>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(19,930 )</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(20,500 )</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w:t>
            </w: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2.78 %</w:t>
            </w:r>
          </w:p>
        </w:tc>
      </w:tr>
      <w:tr>
        <w:trPr>
          <w:trHeight w:val="20"/>
        </w:trPr>
        <w:tc>
          <w:tcPr>
            <w:tcW w:w="49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26"/>
        </w:trPr>
        <w:tc>
          <w:tcPr>
            <w:tcW w:w="4960" w:type="dxa"/>
            <w:vAlign w:val="bottom"/>
          </w:tcPr>
          <w:p>
            <w:pPr>
              <w:ind w:left="220"/>
              <w:spacing w:after="0"/>
              <w:rPr>
                <w:sz w:val="20"/>
                <w:szCs w:val="20"/>
                <w:color w:val="auto"/>
              </w:rPr>
            </w:pPr>
            <w:r>
              <w:rPr>
                <w:rFonts w:ascii="Arial" w:cs="Arial" w:eastAsia="Arial" w:hAnsi="Arial"/>
                <w:sz w:val="16"/>
                <w:szCs w:val="16"/>
                <w:color w:val="auto"/>
              </w:rPr>
              <w:t>Net earnings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49,753</w:t>
            </w:r>
          </w:p>
        </w:tc>
        <w:tc>
          <w:tcPr>
            <w:tcW w:w="4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51,179</w:t>
            </w:r>
          </w:p>
        </w:tc>
        <w:tc>
          <w:tcPr>
            <w:tcW w:w="4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(1,426 )</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-2.79 %</w:t>
            </w: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common share:</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20"/>
        </w:trPr>
        <w:tc>
          <w:tcPr>
            <w:tcW w:w="4960" w:type="dxa"/>
            <w:vAlign w:val="bottom"/>
          </w:tcPr>
          <w:p>
            <w:pPr>
              <w:ind w:left="22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0.37</w:t>
            </w:r>
          </w:p>
        </w:tc>
        <w:tc>
          <w:tcPr>
            <w:tcW w:w="4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0.38</w:t>
            </w:r>
          </w:p>
        </w:tc>
        <w:tc>
          <w:tcPr>
            <w:tcW w:w="4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(0.01 )</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49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0.37</w:t>
            </w: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(0.01 )</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160" w:type="dxa"/>
            <w:vAlign w:val="bottom"/>
          </w:tcPr>
          <w:p>
            <w:pPr>
              <w:spacing w:after="0"/>
              <w:rPr>
                <w:sz w:val="19"/>
                <w:szCs w:val="19"/>
                <w:color w:val="auto"/>
              </w:rPr>
            </w:pPr>
          </w:p>
        </w:tc>
        <w:tc>
          <w:tcPr>
            <w:tcW w:w="1700" w:type="dxa"/>
            <w:vAlign w:val="bottom"/>
            <w:gridSpan w:val="2"/>
          </w:tcPr>
          <w:p>
            <w:pPr>
              <w:jc w:val="right"/>
              <w:ind w:right="219"/>
              <w:spacing w:after="0"/>
              <w:rPr>
                <w:sz w:val="20"/>
                <w:szCs w:val="20"/>
                <w:color w:val="auto"/>
              </w:rPr>
            </w:pPr>
            <w:r>
              <w:rPr>
                <w:rFonts w:ascii="Arial" w:cs="Arial" w:eastAsia="Arial" w:hAnsi="Arial"/>
                <w:sz w:val="16"/>
                <w:szCs w:val="16"/>
                <w:color w:val="auto"/>
              </w:rPr>
              <w:t>1.26 %</w:t>
            </w:r>
          </w:p>
        </w:tc>
        <w:tc>
          <w:tcPr>
            <w:tcW w:w="22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1.35 %</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-0.09 %</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shareholders' equity</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9.49 %</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10.02 %</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-0.53 %</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auto"/>
              </w:rPr>
              <w:t>Efficiency ratio</w:t>
            </w:r>
          </w:p>
        </w:tc>
        <w:tc>
          <w:tcPr>
            <w:tcW w:w="160" w:type="dxa"/>
            <w:vAlign w:val="bottom"/>
          </w:tcPr>
          <w:p>
            <w:pPr>
              <w:spacing w:after="0"/>
              <w:rPr>
                <w:sz w:val="19"/>
                <w:szCs w:val="19"/>
                <w:color w:val="auto"/>
              </w:rPr>
            </w:pPr>
          </w:p>
        </w:tc>
        <w:tc>
          <w:tcPr>
            <w:tcW w:w="1700" w:type="dxa"/>
            <w:vAlign w:val="bottom"/>
            <w:gridSpan w:val="2"/>
          </w:tcPr>
          <w:p>
            <w:pPr>
              <w:jc w:val="right"/>
              <w:ind w:right="219"/>
              <w:spacing w:after="0"/>
              <w:rPr>
                <w:sz w:val="20"/>
                <w:szCs w:val="20"/>
                <w:color w:val="auto"/>
              </w:rPr>
            </w:pPr>
            <w:r>
              <w:rPr>
                <w:rFonts w:ascii="Arial" w:cs="Arial" w:eastAsia="Arial" w:hAnsi="Arial"/>
                <w:sz w:val="16"/>
                <w:szCs w:val="16"/>
                <w:color w:val="auto"/>
              </w:rPr>
              <w:t>42.27 %</w:t>
            </w:r>
          </w:p>
        </w:tc>
        <w:tc>
          <w:tcPr>
            <w:tcW w:w="22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40.05 %</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2.22 %</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 to average assets</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1.22 %</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1.23 %</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-0.01 %</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-1196340</wp:posOffset>
            </wp:positionV>
            <wp:extent cx="29146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-1196340</wp:posOffset>
            </wp:positionV>
            <wp:extent cx="28257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-1196340</wp:posOffset>
            </wp:positionV>
            <wp:extent cx="282575"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82575" cy="571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3"/>
        </w:trPr>
        <w:tc>
          <w:tcPr>
            <w:tcW w:w="4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23"/>
        </w:trPr>
        <w:tc>
          <w:tcPr>
            <w:tcW w:w="4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4"/>
              </w:rPr>
              <w:t>2020</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r>
      <w:tr>
        <w:trPr>
          <w:trHeight w:val="220"/>
        </w:trPr>
        <w:tc>
          <w:tcPr>
            <w:tcW w:w="4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900" w:type="dxa"/>
            <w:vAlign w:val="bottom"/>
            <w:gridSpan w:val="8"/>
          </w:tcPr>
          <w:p>
            <w:pPr>
              <w:ind w:left="4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interest income</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103,299</w:t>
            </w:r>
          </w:p>
        </w:tc>
        <w:tc>
          <w:tcPr>
            <w:tcW w:w="4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103,325</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(26 )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-0.03 %</w:t>
            </w: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auto"/>
              </w:rPr>
              <w:t>Recapture of (provision for) credit losses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4,000</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4,000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r>
      <w:tr>
        <w:trPr>
          <w:trHeight w:val="23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income</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10,483</w:t>
            </w:r>
          </w:p>
        </w:tc>
        <w:tc>
          <w:tcPr>
            <w:tcW w:w="4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13,153</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(2,670 )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-20.30 %</w:t>
            </w: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320" w:type="dxa"/>
            <w:vAlign w:val="bottom"/>
          </w:tcPr>
          <w:p>
            <w:pPr>
              <w:spacing w:after="0"/>
              <w:rPr>
                <w:sz w:val="19"/>
                <w:szCs w:val="19"/>
                <w:color w:val="auto"/>
              </w:rPr>
            </w:pPr>
          </w:p>
        </w:tc>
        <w:tc>
          <w:tcPr>
            <w:tcW w:w="1540" w:type="dxa"/>
            <w:vAlign w:val="bottom"/>
            <w:gridSpan w:val="2"/>
          </w:tcPr>
          <w:p>
            <w:pPr>
              <w:jc w:val="right"/>
              <w:ind w:right="339"/>
              <w:spacing w:after="0"/>
              <w:rPr>
                <w:sz w:val="20"/>
                <w:szCs w:val="20"/>
                <w:color w:val="auto"/>
              </w:rPr>
            </w:pPr>
            <w:r>
              <w:rPr>
                <w:rFonts w:ascii="Arial" w:cs="Arial" w:eastAsia="Arial" w:hAnsi="Arial"/>
                <w:sz w:val="16"/>
                <w:szCs w:val="16"/>
                <w:color w:val="auto"/>
              </w:rPr>
              <w:t>(48,099 )</w:t>
            </w:r>
          </w:p>
        </w:tc>
        <w:tc>
          <w:tcPr>
            <w:tcW w:w="4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(49,588 )</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1,489</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3.00 %</w:t>
            </w:r>
          </w:p>
        </w:tc>
      </w:tr>
      <w:tr>
        <w:trPr>
          <w:trHeight w:val="236"/>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3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(19,930 )</w:t>
            </w: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(19,398 )</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(532 )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-2.74 %</w:t>
            </w:r>
          </w:p>
        </w:tc>
      </w:tr>
      <w:tr>
        <w:trPr>
          <w:trHeight w:val="226"/>
        </w:trPr>
        <w:tc>
          <w:tcPr>
            <w:tcW w:w="4960" w:type="dxa"/>
            <w:vAlign w:val="bottom"/>
            <w:tcBorders>
              <w:top w:val="single" w:sz="8" w:color="CFF0FC"/>
            </w:tcBorders>
          </w:tcPr>
          <w:p>
            <w:pPr>
              <w:ind w:left="220"/>
              <w:spacing w:after="0"/>
              <w:rPr>
                <w:sz w:val="20"/>
                <w:szCs w:val="20"/>
                <w:color w:val="auto"/>
              </w:rPr>
            </w:pPr>
            <w:r>
              <w:rPr>
                <w:rFonts w:ascii="Arial" w:cs="Arial" w:eastAsia="Arial" w:hAnsi="Arial"/>
                <w:sz w:val="16"/>
                <w:szCs w:val="16"/>
                <w:color w:val="auto"/>
              </w:rPr>
              <w:t>Net earnings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49,753</w:t>
            </w:r>
          </w:p>
        </w:tc>
        <w:tc>
          <w:tcPr>
            <w:tcW w:w="480" w:type="dxa"/>
            <w:vAlign w:val="bottom"/>
            <w:tcBorders>
              <w:top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47,492</w:t>
            </w:r>
          </w:p>
        </w:tc>
        <w:tc>
          <w:tcPr>
            <w:tcW w:w="4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2,261</w:t>
            </w:r>
          </w:p>
        </w:tc>
        <w:tc>
          <w:tcPr>
            <w:tcW w:w="4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6"/>
                <w:szCs w:val="16"/>
                <w:color w:val="auto"/>
              </w:rPr>
              <w:t>4.76 %</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common share: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20"/>
        </w:trPr>
        <w:tc>
          <w:tcPr>
            <w:tcW w:w="496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0.37</w:t>
            </w:r>
          </w:p>
        </w:tc>
        <w:tc>
          <w:tcPr>
            <w:tcW w:w="480" w:type="dxa"/>
            <w:vAlign w:val="bottom"/>
          </w:tcPr>
          <w:p>
            <w:pPr>
              <w:spacing w:after="0"/>
              <w:rPr>
                <w:sz w:val="19"/>
                <w:szCs w:val="19"/>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0.35</w:t>
            </w:r>
          </w:p>
        </w:tc>
        <w:tc>
          <w:tcPr>
            <w:tcW w:w="4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49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0.37</w:t>
            </w:r>
          </w:p>
        </w:tc>
        <w:tc>
          <w:tcPr>
            <w:tcW w:w="4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0.35</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320" w:type="dxa"/>
            <w:vAlign w:val="bottom"/>
          </w:tcPr>
          <w:p>
            <w:pPr>
              <w:spacing w:after="0"/>
              <w:rPr>
                <w:sz w:val="19"/>
                <w:szCs w:val="19"/>
                <w:color w:val="auto"/>
              </w:rPr>
            </w:pPr>
          </w:p>
        </w:tc>
        <w:tc>
          <w:tcPr>
            <w:tcW w:w="1540" w:type="dxa"/>
            <w:vAlign w:val="bottom"/>
            <w:gridSpan w:val="2"/>
          </w:tcPr>
          <w:p>
            <w:pPr>
              <w:jc w:val="right"/>
              <w:ind w:right="259"/>
              <w:spacing w:after="0"/>
              <w:rPr>
                <w:sz w:val="20"/>
                <w:szCs w:val="20"/>
                <w:color w:val="auto"/>
              </w:rPr>
            </w:pPr>
            <w:r>
              <w:rPr>
                <w:rFonts w:ascii="Arial" w:cs="Arial" w:eastAsia="Arial" w:hAnsi="Arial"/>
                <w:sz w:val="16"/>
                <w:szCs w:val="16"/>
                <w:color w:val="auto"/>
              </w:rPr>
              <w:t>1.26 %</w:t>
            </w:r>
          </w:p>
        </w:tc>
        <w:tc>
          <w:tcPr>
            <w:tcW w:w="4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1.38 %</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-0.12 %</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shareholders' equity</w:t>
            </w:r>
          </w:p>
        </w:tc>
        <w:tc>
          <w:tcPr>
            <w:tcW w:w="3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9.49 %</w:t>
            </w: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9.51 %</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-0.02 %</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auto"/>
              </w:rPr>
              <w:t>Efficiency ratio</w:t>
            </w:r>
          </w:p>
        </w:tc>
        <w:tc>
          <w:tcPr>
            <w:tcW w:w="320" w:type="dxa"/>
            <w:vAlign w:val="bottom"/>
          </w:tcPr>
          <w:p>
            <w:pPr>
              <w:spacing w:after="0"/>
              <w:rPr>
                <w:sz w:val="19"/>
                <w:szCs w:val="19"/>
                <w:color w:val="auto"/>
              </w:rPr>
            </w:pPr>
          </w:p>
        </w:tc>
        <w:tc>
          <w:tcPr>
            <w:tcW w:w="1540" w:type="dxa"/>
            <w:vAlign w:val="bottom"/>
            <w:gridSpan w:val="2"/>
          </w:tcPr>
          <w:p>
            <w:pPr>
              <w:jc w:val="right"/>
              <w:ind w:right="259"/>
              <w:spacing w:after="0"/>
              <w:rPr>
                <w:sz w:val="20"/>
                <w:szCs w:val="20"/>
                <w:color w:val="auto"/>
              </w:rPr>
            </w:pPr>
            <w:r>
              <w:rPr>
                <w:rFonts w:ascii="Arial" w:cs="Arial" w:eastAsia="Arial" w:hAnsi="Arial"/>
                <w:sz w:val="16"/>
                <w:szCs w:val="16"/>
                <w:color w:val="auto"/>
              </w:rPr>
              <w:t>42.27 %</w:t>
            </w:r>
          </w:p>
        </w:tc>
        <w:tc>
          <w:tcPr>
            <w:tcW w:w="4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42.57 %</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-0.30 %</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 to average assets</w:t>
            </w:r>
          </w:p>
        </w:tc>
        <w:tc>
          <w:tcPr>
            <w:tcW w:w="3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1.22 %</w:t>
            </w: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1.44 %</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-0.22 %</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-1196340</wp:posOffset>
            </wp:positionV>
            <wp:extent cx="29972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9972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-1196340</wp:posOffset>
            </wp:positionV>
            <wp:extent cx="282575"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-1196340</wp:posOffset>
            </wp:positionV>
            <wp:extent cx="282575"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82575" cy="571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3"/>
        </w:trPr>
        <w:tc>
          <w:tcPr>
            <w:tcW w:w="50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2020</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r>
      <w:tr>
        <w:trPr>
          <w:trHeight w:val="22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80" w:type="dxa"/>
            <w:vAlign w:val="bottom"/>
            <w:gridSpan w:val="8"/>
          </w:tcPr>
          <w:p>
            <w:pPr>
              <w:ind w:left="8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interest income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312,155</w:t>
            </w:r>
          </w:p>
        </w:tc>
        <w:tc>
          <w:tcPr>
            <w:tcW w:w="4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310,200</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1,955</w:t>
            </w: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0.63 %</w:t>
            </w: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Recapture of (provision for) credit losses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25,500</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(23,500 )</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49,000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208.51 %</w:t>
            </w:r>
          </w:p>
        </w:tc>
      </w:tr>
      <w:tr>
        <w:trPr>
          <w:trHeight w:val="23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income</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4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36,945</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(1,945 )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-5.26 %</w:t>
            </w: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300" w:type="dxa"/>
            <w:vAlign w:val="bottom"/>
          </w:tcPr>
          <w:p>
            <w:pPr>
              <w:spacing w:after="0"/>
              <w:rPr>
                <w:sz w:val="19"/>
                <w:szCs w:val="19"/>
                <w:color w:val="auto"/>
              </w:rPr>
            </w:pPr>
          </w:p>
        </w:tc>
        <w:tc>
          <w:tcPr>
            <w:tcW w:w="1440" w:type="dxa"/>
            <w:vAlign w:val="bottom"/>
            <w:gridSpan w:val="2"/>
          </w:tcPr>
          <w:p>
            <w:pPr>
              <w:jc w:val="right"/>
              <w:ind w:right="299"/>
              <w:spacing w:after="0"/>
              <w:rPr>
                <w:sz w:val="20"/>
                <w:szCs w:val="20"/>
                <w:color w:val="auto"/>
              </w:rPr>
            </w:pPr>
            <w:r>
              <w:rPr>
                <w:rFonts w:ascii="Arial" w:cs="Arial" w:eastAsia="Arial" w:hAnsi="Arial"/>
                <w:sz w:val="16"/>
                <w:szCs w:val="16"/>
                <w:color w:val="auto"/>
              </w:rPr>
              <w:t>(141,807 )</w:t>
            </w:r>
          </w:p>
        </w:tc>
        <w:tc>
          <w:tcPr>
            <w:tcW w:w="4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(144,627 )</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2,820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1.95 %</w:t>
            </w:r>
          </w:p>
        </w:tc>
      </w:tr>
      <w:tr>
        <w:trPr>
          <w:trHeight w:val="236"/>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3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(66,023 )</w:t>
            </w: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(51,915 )</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(14,108 )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-27.18 %</w:t>
            </w:r>
          </w:p>
        </w:tc>
      </w:tr>
      <w:tr>
        <w:trPr>
          <w:trHeight w:val="226"/>
        </w:trPr>
        <w:tc>
          <w:tcPr>
            <w:tcW w:w="5080" w:type="dxa"/>
            <w:vAlign w:val="bottom"/>
            <w:tcBorders>
              <w:top w:val="single" w:sz="8" w:color="CFF0FC"/>
            </w:tcBorders>
          </w:tcPr>
          <w:p>
            <w:pPr>
              <w:ind w:left="220"/>
              <w:spacing w:after="0"/>
              <w:rPr>
                <w:sz w:val="20"/>
                <w:szCs w:val="20"/>
                <w:color w:val="auto"/>
              </w:rPr>
            </w:pPr>
            <w:r>
              <w:rPr>
                <w:rFonts w:ascii="Arial" w:cs="Arial" w:eastAsia="Arial" w:hAnsi="Arial"/>
                <w:sz w:val="16"/>
                <w:szCs w:val="16"/>
                <w:color w:val="auto"/>
              </w:rPr>
              <w:t>Net earnings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164,825</w:t>
            </w:r>
          </w:p>
        </w:tc>
        <w:tc>
          <w:tcPr>
            <w:tcW w:w="460" w:type="dxa"/>
            <w:vAlign w:val="bottom"/>
            <w:tcBorders>
              <w:top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127,103</w:t>
            </w:r>
          </w:p>
        </w:tc>
        <w:tc>
          <w:tcPr>
            <w:tcW w:w="4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37,722</w:t>
            </w:r>
          </w:p>
        </w:tc>
        <w:tc>
          <w:tcPr>
            <w:tcW w:w="4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6"/>
                <w:szCs w:val="16"/>
                <w:color w:val="auto"/>
              </w:rPr>
              <w:t>29.68 %</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common share:</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20"/>
        </w:trPr>
        <w:tc>
          <w:tcPr>
            <w:tcW w:w="5080" w:type="dxa"/>
            <w:vAlign w:val="bottom"/>
          </w:tcPr>
          <w:p>
            <w:pPr>
              <w:ind w:left="2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1.21</w:t>
            </w:r>
          </w:p>
        </w:tc>
        <w:tc>
          <w:tcPr>
            <w:tcW w:w="46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0.93</w:t>
            </w:r>
          </w:p>
        </w:tc>
        <w:tc>
          <w:tcPr>
            <w:tcW w:w="4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0.28</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5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4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0.93</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0.28</w:t>
            </w: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300" w:type="dxa"/>
            <w:vAlign w:val="bottom"/>
          </w:tcPr>
          <w:p>
            <w:pPr>
              <w:spacing w:after="0"/>
              <w:rPr>
                <w:sz w:val="19"/>
                <w:szCs w:val="19"/>
                <w:color w:val="auto"/>
              </w:rPr>
            </w:pPr>
          </w:p>
        </w:tc>
        <w:tc>
          <w:tcPr>
            <w:tcW w:w="1440" w:type="dxa"/>
            <w:vAlign w:val="bottom"/>
            <w:gridSpan w:val="2"/>
          </w:tcPr>
          <w:p>
            <w:pPr>
              <w:jc w:val="right"/>
              <w:ind w:right="219"/>
              <w:spacing w:after="0"/>
              <w:rPr>
                <w:sz w:val="20"/>
                <w:szCs w:val="20"/>
                <w:color w:val="auto"/>
              </w:rPr>
            </w:pPr>
            <w:r>
              <w:rPr>
                <w:rFonts w:ascii="Arial" w:cs="Arial" w:eastAsia="Arial" w:hAnsi="Arial"/>
                <w:sz w:val="16"/>
                <w:szCs w:val="16"/>
                <w:color w:val="auto"/>
              </w:rPr>
              <w:t>1.46 %</w:t>
            </w:r>
          </w:p>
        </w:tc>
        <w:tc>
          <w:tcPr>
            <w:tcW w:w="4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1.35 %</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0.11 %</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shareholders' equity</w:t>
            </w:r>
          </w:p>
        </w:tc>
        <w:tc>
          <w:tcPr>
            <w:tcW w:w="3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10.73 %</w:t>
            </w: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8.55 %</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2.18 %</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Efficiency ratio</w:t>
            </w:r>
          </w:p>
        </w:tc>
        <w:tc>
          <w:tcPr>
            <w:tcW w:w="300" w:type="dxa"/>
            <w:vAlign w:val="bottom"/>
          </w:tcPr>
          <w:p>
            <w:pPr>
              <w:spacing w:after="0"/>
              <w:rPr>
                <w:sz w:val="19"/>
                <w:szCs w:val="19"/>
                <w:color w:val="auto"/>
              </w:rPr>
            </w:pPr>
          </w:p>
        </w:tc>
        <w:tc>
          <w:tcPr>
            <w:tcW w:w="1440" w:type="dxa"/>
            <w:vAlign w:val="bottom"/>
            <w:gridSpan w:val="2"/>
          </w:tcPr>
          <w:p>
            <w:pPr>
              <w:jc w:val="right"/>
              <w:ind w:right="219"/>
              <w:spacing w:after="0"/>
              <w:rPr>
                <w:sz w:val="20"/>
                <w:szCs w:val="20"/>
                <w:color w:val="auto"/>
              </w:rPr>
            </w:pPr>
            <w:r>
              <w:rPr>
                <w:rFonts w:ascii="Arial" w:cs="Arial" w:eastAsia="Arial" w:hAnsi="Arial"/>
                <w:sz w:val="16"/>
                <w:szCs w:val="16"/>
                <w:color w:val="auto"/>
              </w:rPr>
              <w:t>40.85 %</w:t>
            </w:r>
          </w:p>
        </w:tc>
        <w:tc>
          <w:tcPr>
            <w:tcW w:w="4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41.66 %</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-0.81 %</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 to average assets</w:t>
            </w:r>
          </w:p>
        </w:tc>
        <w:tc>
          <w:tcPr>
            <w:tcW w:w="3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1.25 %</w:t>
            </w: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1.54 %</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-0.29 %</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-1196340</wp:posOffset>
            </wp:positionV>
            <wp:extent cx="291465"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-1196340</wp:posOffset>
            </wp:positionV>
            <wp:extent cx="282575"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-1196340</wp:posOffset>
            </wp:positionV>
            <wp:extent cx="282575"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82575"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Return on Average Tangible Common Equity Reconciliation (Non-GAAP)</w:t>
      </w:r>
    </w:p>
    <w:p>
      <w:pPr>
        <w:spacing w:after="0" w:line="252" w:lineRule="exact"/>
        <w:rPr>
          <w:sz w:val="20"/>
          <w:szCs w:val="20"/>
          <w:color w:val="auto"/>
        </w:rPr>
      </w:pPr>
    </w:p>
    <w:p>
      <w:pPr>
        <w:ind w:right="120" w:firstLine="469"/>
        <w:spacing w:after="0" w:line="296" w:lineRule="auto"/>
        <w:rPr>
          <w:sz w:val="20"/>
          <w:szCs w:val="20"/>
          <w:color w:val="auto"/>
        </w:rPr>
      </w:pPr>
      <w:r>
        <w:rPr>
          <w:rFonts w:ascii="Arial" w:cs="Arial" w:eastAsia="Arial" w:hAnsi="Arial"/>
          <w:sz w:val="17"/>
          <w:szCs w:val="17"/>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r>
      <w:tr>
        <w:trPr>
          <w:trHeight w:val="179"/>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September</w:t>
            </w:r>
          </w:p>
        </w:tc>
      </w:tr>
      <w:tr>
        <w:trPr>
          <w:trHeight w:val="186"/>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680" w:type="dxa"/>
            <w:vAlign w:val="bottom"/>
          </w:tcPr>
          <w:p>
            <w:pPr>
              <w:jc w:val="right"/>
              <w:ind w:right="268"/>
              <w:spacing w:after="0"/>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6"/>
                <w:szCs w:val="16"/>
                <w:color w:val="auto"/>
              </w:rPr>
            </w:pPr>
          </w:p>
        </w:tc>
      </w:tr>
      <w:tr>
        <w:trPr>
          <w:trHeight w:val="208"/>
        </w:trPr>
        <w:tc>
          <w:tcPr>
            <w:tcW w:w="4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r>
      <w:tr>
        <w:trPr>
          <w:trHeight w:val="196"/>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jc w:val="right"/>
              <w:ind w:right="56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49,753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51,179</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47,492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164,825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127,103</w:t>
            </w:r>
          </w:p>
        </w:tc>
        <w:tc>
          <w:tcPr>
            <w:tcW w:w="220" w:type="dxa"/>
            <w:vAlign w:val="bottom"/>
            <w:shd w:val="clear" w:color="auto" w:fill="CFF0FC"/>
          </w:tcPr>
          <w:p>
            <w:pPr>
              <w:spacing w:after="0"/>
              <w:rPr>
                <w:sz w:val="18"/>
                <w:szCs w:val="18"/>
                <w:color w:val="auto"/>
              </w:rPr>
            </w:pPr>
          </w:p>
        </w:tc>
      </w:tr>
      <w:tr>
        <w:trPr>
          <w:trHeight w:val="197"/>
        </w:trPr>
        <w:tc>
          <w:tcPr>
            <w:tcW w:w="4360" w:type="dxa"/>
            <w:vAlign w:val="bottom"/>
          </w:tcPr>
          <w:p>
            <w:pPr>
              <w:ind w:left="200"/>
              <w:spacing w:after="0"/>
              <w:rPr>
                <w:sz w:val="20"/>
                <w:szCs w:val="20"/>
                <w:color w:val="auto"/>
              </w:rPr>
            </w:pPr>
            <w:r>
              <w:rPr>
                <w:rFonts w:ascii="Arial" w:cs="Arial" w:eastAsia="Arial" w:hAnsi="Arial"/>
                <w:sz w:val="14"/>
                <w:szCs w:val="14"/>
                <w:color w:val="auto"/>
              </w:rPr>
              <w:t>Add: Amortization of intangible assets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6,348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7,182</w:t>
            </w:r>
          </w:p>
        </w:tc>
        <w:tc>
          <w:tcPr>
            <w:tcW w:w="220" w:type="dxa"/>
            <w:vAlign w:val="bottom"/>
          </w:tcPr>
          <w:p>
            <w:pPr>
              <w:spacing w:after="0"/>
              <w:rPr>
                <w:sz w:val="17"/>
                <w:szCs w:val="17"/>
                <w:color w:val="auto"/>
              </w:rPr>
            </w:pPr>
          </w:p>
        </w:tc>
      </w:tr>
      <w:tr>
        <w:trPr>
          <w:trHeight w:val="208"/>
        </w:trPr>
        <w:tc>
          <w:tcPr>
            <w:tcW w:w="4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Less: Tax effect of amortization of intangible assets (1)</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(595 )</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(641 )</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(678 )</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(1,877 )</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(2,123 )</w:t>
            </w:r>
          </w:p>
        </w:tc>
      </w:tr>
      <w:tr>
        <w:trPr>
          <w:trHeight w:val="196"/>
        </w:trPr>
        <w:tc>
          <w:tcPr>
            <w:tcW w:w="4360" w:type="dxa"/>
            <w:vAlign w:val="bottom"/>
            <w:tcBorders>
              <w:top w:val="single" w:sz="8" w:color="CFF0FC"/>
            </w:tcBorders>
          </w:tcPr>
          <w:p>
            <w:pPr>
              <w:ind w:left="380"/>
              <w:spacing w:after="0"/>
              <w:rPr>
                <w:sz w:val="20"/>
                <w:szCs w:val="20"/>
                <w:color w:val="auto"/>
              </w:rPr>
            </w:pPr>
            <w:r>
              <w:rPr>
                <w:rFonts w:ascii="Arial" w:cs="Arial" w:eastAsia="Arial" w:hAnsi="Arial"/>
                <w:sz w:val="14"/>
                <w:szCs w:val="14"/>
                <w:color w:val="auto"/>
              </w:rPr>
              <w:t>Tangible 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51,172</w:t>
            </w: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52,705</w:t>
            </w:r>
          </w:p>
        </w:tc>
        <w:tc>
          <w:tcPr>
            <w:tcW w:w="3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49,106</w:t>
            </w:r>
          </w:p>
        </w:tc>
        <w:tc>
          <w:tcPr>
            <w:tcW w:w="3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169,296</w:t>
            </w:r>
          </w:p>
        </w:tc>
        <w:tc>
          <w:tcPr>
            <w:tcW w:w="3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132,162</w:t>
            </w:r>
          </w:p>
        </w:tc>
        <w:tc>
          <w:tcPr>
            <w:tcW w:w="220" w:type="dxa"/>
            <w:vAlign w:val="bottom"/>
            <w:tcBorders>
              <w:top w:val="single" w:sz="8" w:color="CFF0FC"/>
            </w:tcBorders>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stockholders'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2,080,238</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2,048,956</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1,985,842</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2,054,132</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1,986,300</w:t>
            </w:r>
          </w:p>
        </w:tc>
        <w:tc>
          <w:tcPr>
            <w:tcW w:w="220" w:type="dxa"/>
            <w:vAlign w:val="bottom"/>
            <w:shd w:val="clear" w:color="auto" w:fill="CFF0FC"/>
          </w:tcPr>
          <w:p>
            <w:pPr>
              <w:spacing w:after="0"/>
              <w:rPr>
                <w:sz w:val="17"/>
                <w:szCs w:val="17"/>
                <w:color w:val="auto"/>
              </w:rPr>
            </w:pPr>
          </w:p>
        </w:tc>
      </w:tr>
      <w:tr>
        <w:trPr>
          <w:trHeight w:val="196"/>
        </w:trPr>
        <w:tc>
          <w:tcPr>
            <w:tcW w:w="4360" w:type="dxa"/>
            <w:vAlign w:val="bottom"/>
          </w:tcPr>
          <w:p>
            <w:pPr>
              <w:ind w:left="200"/>
              <w:spacing w:after="0"/>
              <w:rPr>
                <w:sz w:val="20"/>
                <w:szCs w:val="20"/>
                <w:color w:val="auto"/>
              </w:rPr>
            </w:pPr>
            <w:r>
              <w:rPr>
                <w:rFonts w:ascii="Arial" w:cs="Arial" w:eastAsia="Arial" w:hAnsi="Arial"/>
                <w:sz w:val="14"/>
                <w:szCs w:val="14"/>
                <w:color w:val="auto"/>
              </w:rPr>
              <w:t>Less: Average goodwill</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(663,707 )</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(663,707 )</w:t>
            </w:r>
          </w:p>
        </w:tc>
        <w:tc>
          <w:tcPr>
            <w:tcW w:w="10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(663,707 )</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(663,707 )</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(663,707 )</w:t>
            </w:r>
          </w:p>
        </w:tc>
      </w:tr>
      <w:tr>
        <w:trPr>
          <w:trHeight w:val="209"/>
        </w:trPr>
        <w:tc>
          <w:tcPr>
            <w:tcW w:w="4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Less: Average intangible assets</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(28,240 )</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(30,348 )</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(37,133 )</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(30,377 )</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(39,376 )</w:t>
            </w:r>
          </w:p>
        </w:tc>
      </w:tr>
      <w:tr>
        <w:trPr>
          <w:trHeight w:val="196"/>
        </w:trPr>
        <w:tc>
          <w:tcPr>
            <w:tcW w:w="4360" w:type="dxa"/>
            <w:vAlign w:val="bottom"/>
            <w:tcBorders>
              <w:top w:val="single" w:sz="8" w:color="CFF0FC"/>
            </w:tcBorders>
          </w:tcPr>
          <w:p>
            <w:pPr>
              <w:ind w:left="380"/>
              <w:spacing w:after="0"/>
              <w:rPr>
                <w:sz w:val="20"/>
                <w:szCs w:val="20"/>
                <w:color w:val="auto"/>
              </w:rPr>
            </w:pPr>
            <w:r>
              <w:rPr>
                <w:rFonts w:ascii="Arial" w:cs="Arial" w:eastAsia="Arial" w:hAnsi="Arial"/>
                <w:sz w:val="14"/>
                <w:szCs w:val="14"/>
                <w:color w:val="auto"/>
              </w:rPr>
              <w:t>Average tangible common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1,388,291</w:t>
            </w: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1,354,901</w:t>
            </w:r>
          </w:p>
        </w:tc>
        <w:tc>
          <w:tcPr>
            <w:tcW w:w="3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1,285,002</w:t>
            </w:r>
          </w:p>
        </w:tc>
        <w:tc>
          <w:tcPr>
            <w:tcW w:w="3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1,360,048</w:t>
            </w:r>
          </w:p>
        </w:tc>
        <w:tc>
          <w:tcPr>
            <w:tcW w:w="3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1,283,217</w:t>
            </w:r>
          </w:p>
        </w:tc>
        <w:tc>
          <w:tcPr>
            <w:tcW w:w="220" w:type="dxa"/>
            <w:vAlign w:val="bottom"/>
            <w:tcBorders>
              <w:top w:val="single" w:sz="8" w:color="CFF0FC"/>
            </w:tcBorders>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r>
      <w:tr>
        <w:trPr>
          <w:trHeight w:val="203"/>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equity, annualized</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9.49 %</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10.02 %</w:t>
            </w: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9.51 %</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10.73 %</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8.55 %</w:t>
            </w:r>
          </w:p>
        </w:tc>
      </w:tr>
      <w:tr>
        <w:trPr>
          <w:trHeight w:val="190"/>
        </w:trPr>
        <w:tc>
          <w:tcPr>
            <w:tcW w:w="4360" w:type="dxa"/>
            <w:vAlign w:val="bottom"/>
          </w:tcPr>
          <w:p>
            <w:pPr>
              <w:ind w:left="20"/>
              <w:spacing w:after="0"/>
              <w:rPr>
                <w:sz w:val="20"/>
                <w:szCs w:val="20"/>
                <w:color w:val="auto"/>
              </w:rPr>
            </w:pPr>
            <w:r>
              <w:rPr>
                <w:rFonts w:ascii="Arial" w:cs="Arial" w:eastAsia="Arial" w:hAnsi="Arial"/>
                <w:sz w:val="14"/>
                <w:szCs w:val="14"/>
                <w:color w:val="auto"/>
              </w:rPr>
              <w:t>Return on average tangible common equity, annualized</w:t>
            </w:r>
          </w:p>
        </w:tc>
        <w:tc>
          <w:tcPr>
            <w:tcW w:w="14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14.62 %</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15.60 %</w:t>
            </w:r>
          </w:p>
        </w:tc>
        <w:tc>
          <w:tcPr>
            <w:tcW w:w="1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15.20 %</w:t>
            </w:r>
          </w:p>
        </w:tc>
        <w:tc>
          <w:tcPr>
            <w:tcW w:w="2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16.64 %</w:t>
            </w:r>
          </w:p>
        </w:tc>
        <w:tc>
          <w:tcPr>
            <w:tcW w:w="1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13.76 %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-1214755</wp:posOffset>
            </wp:positionV>
            <wp:extent cx="222885"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-1214755</wp:posOffset>
            </wp:positionV>
            <wp:extent cx="20574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-1214755</wp:posOffset>
            </wp:positionV>
            <wp:extent cx="20574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-1214755</wp:posOffset>
            </wp:positionV>
            <wp:extent cx="20574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-1214755</wp:posOffset>
            </wp:positionV>
            <wp:extent cx="13716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-537210</wp:posOffset>
            </wp:positionV>
            <wp:extent cx="222885"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-537210</wp:posOffset>
            </wp:positionV>
            <wp:extent cx="205740"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-537210</wp:posOffset>
            </wp:positionV>
            <wp:extent cx="205740"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-537210</wp:posOffset>
            </wp:positionV>
            <wp:extent cx="20574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-537210</wp:posOffset>
            </wp:positionV>
            <wp:extent cx="13716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12"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Tax effected at respective statutory rates.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firstLine="469"/>
        <w:spacing w:after="0" w:line="304" w:lineRule="auto"/>
        <w:rPr>
          <w:sz w:val="20"/>
          <w:szCs w:val="20"/>
          <w:color w:val="auto"/>
        </w:rPr>
      </w:pPr>
      <w:r>
        <w:rPr>
          <w:rFonts w:ascii="Arial" w:cs="Arial" w:eastAsia="Arial" w:hAnsi="Arial"/>
          <w:sz w:val="16"/>
          <w:szCs w:val="16"/>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and nine months ended September 30, 2021 and 2020.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2 – </w:t>
      </w:r>
      <w:r>
        <w:rPr>
          <w:rFonts w:ascii="Arial" w:cs="Arial" w:eastAsia="Arial" w:hAnsi="Arial"/>
          <w:sz w:val="16"/>
          <w:szCs w:val="16"/>
          <w:i w:val="1"/>
          <w:iCs w:val="1"/>
          <w:color w:val="auto"/>
        </w:rPr>
        <w:t>Management’s Discussion and Analysis of Financial Condition and Results of Operations – Asset/Liability and Market Risk Management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Interest Rate Sensitivity Management </w:t>
      </w:r>
      <w:r>
        <w:rPr>
          <w:rFonts w:ascii="Arial" w:cs="Arial" w:eastAsia="Arial" w:hAnsi="Arial"/>
          <w:sz w:val="16"/>
          <w:szCs w:val="16"/>
          <w:color w:val="auto"/>
        </w:rPr>
        <w:t>included 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ind w:right="380" w:firstLine="464"/>
        <w:spacing w:after="0" w:line="279" w:lineRule="auto"/>
        <w:rPr>
          <w:sz w:val="20"/>
          <w:szCs w:val="20"/>
          <w:color w:val="auto"/>
        </w:rPr>
      </w:pPr>
      <w:r>
        <w:rPr>
          <w:rFonts w:ascii="Arial" w:cs="Arial" w:eastAsia="Arial" w:hAnsi="Arial"/>
          <w:sz w:val="18"/>
          <w:szCs w:val="18"/>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Yield/</w:t>
            </w:r>
          </w:p>
        </w:tc>
        <w:tc>
          <w:tcPr>
            <w:tcW w:w="20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Interest</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Interest</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4"/>
          </w:tcPr>
          <w:p>
            <w:pPr>
              <w:jc w:val="right"/>
              <w:ind w:right="628"/>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INTEREST-EARNING ASSETS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200"/>
              <w:spacing w:after="0"/>
              <w:rPr>
                <w:sz w:val="20"/>
                <w:szCs w:val="20"/>
                <w:color w:val="auto"/>
              </w:rPr>
            </w:pPr>
            <w:r>
              <w:rPr>
                <w:rFonts w:ascii="Arial" w:cs="Arial" w:eastAsia="Arial" w:hAnsi="Arial"/>
                <w:sz w:val="14"/>
                <w:szCs w:val="14"/>
                <w:color w:val="auto"/>
              </w:rPr>
              <w:t>Investment securities (1)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Available-for-sale securities: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560"/>
              <w:spacing w:after="0"/>
              <w:rPr>
                <w:sz w:val="20"/>
                <w:szCs w:val="20"/>
                <w:color w:val="auto"/>
              </w:rPr>
            </w:pPr>
            <w:r>
              <w:rPr>
                <w:rFonts w:ascii="Arial" w:cs="Arial" w:eastAsia="Arial" w:hAnsi="Arial"/>
                <w:sz w:val="14"/>
                <w:szCs w:val="14"/>
                <w:color w:val="auto"/>
              </w:rPr>
              <w:t>Taxable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2,912,382</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9,630</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1.34 %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1,970,636</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8,244</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1.82 %</w:t>
            </w:r>
          </w:p>
        </w:tc>
        <w:tc>
          <w:tcPr>
            <w:tcW w:w="0" w:type="dxa"/>
            <w:vAlign w:val="bottom"/>
          </w:tcPr>
          <w:p>
            <w:pPr>
              <w:spacing w:after="0"/>
              <w:rPr>
                <w:sz w:val="1"/>
                <w:szCs w:val="1"/>
                <w:color w:val="auto"/>
              </w:rPr>
            </w:pPr>
          </w:p>
        </w:tc>
      </w:tr>
      <w:tr>
        <w:trPr>
          <w:trHeight w:val="208"/>
        </w:trPr>
        <w:tc>
          <w:tcPr>
            <w:tcW w:w="44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Tax-advantaged</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29,873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w:t>
            </w:r>
          </w:p>
        </w:tc>
        <w:tc>
          <w:tcPr>
            <w:tcW w:w="13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2.95 %</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36,193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196"/>
        </w:trPr>
        <w:tc>
          <w:tcPr>
            <w:tcW w:w="4400" w:type="dxa"/>
            <w:vAlign w:val="bottom"/>
          </w:tcPr>
          <w:p>
            <w:pPr>
              <w:ind w:left="380"/>
              <w:spacing w:after="0"/>
              <w:rPr>
                <w:sz w:val="20"/>
                <w:szCs w:val="20"/>
                <w:color w:val="auto"/>
              </w:rPr>
            </w:pPr>
            <w:r>
              <w:rPr>
                <w:rFonts w:ascii="Arial" w:cs="Arial" w:eastAsia="Arial" w:hAnsi="Arial"/>
                <w:sz w:val="14"/>
                <w:szCs w:val="14"/>
                <w:color w:val="auto"/>
              </w:rPr>
              <w:t>Held-to-maturity securities: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Taxable</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970,696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4,099</w:t>
            </w:r>
          </w:p>
        </w:tc>
        <w:tc>
          <w:tcPr>
            <w:tcW w:w="13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1.90 %</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429,897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2.11 %</w:t>
            </w:r>
          </w:p>
        </w:tc>
        <w:tc>
          <w:tcPr>
            <w:tcW w:w="0" w:type="dxa"/>
            <w:vAlign w:val="bottom"/>
          </w:tcPr>
          <w:p>
            <w:pPr>
              <w:spacing w:after="0"/>
              <w:rPr>
                <w:sz w:val="1"/>
                <w:szCs w:val="1"/>
                <w:color w:val="auto"/>
              </w:rPr>
            </w:pPr>
          </w:p>
        </w:tc>
      </w:tr>
      <w:tr>
        <w:trPr>
          <w:trHeight w:val="196"/>
        </w:trPr>
        <w:tc>
          <w:tcPr>
            <w:tcW w:w="4400" w:type="dxa"/>
            <w:vAlign w:val="bottom"/>
          </w:tcPr>
          <w:p>
            <w:pPr>
              <w:ind w:left="560"/>
              <w:spacing w:after="0"/>
              <w:rPr>
                <w:sz w:val="20"/>
                <w:szCs w:val="20"/>
                <w:color w:val="auto"/>
              </w:rPr>
            </w:pPr>
            <w:r>
              <w:rPr>
                <w:rFonts w:ascii="Arial" w:cs="Arial" w:eastAsia="Arial" w:hAnsi="Arial"/>
                <w:sz w:val="14"/>
                <w:szCs w:val="14"/>
                <w:color w:val="auto"/>
              </w:rPr>
              <w:t>Tax-advantaged</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199,196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1,089</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2.64 %</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164,854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1,110</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in FHLB stock</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3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5.79 %</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4.84 %</w:t>
            </w:r>
          </w:p>
        </w:tc>
        <w:tc>
          <w:tcPr>
            <w:tcW w:w="0" w:type="dxa"/>
            <w:vAlign w:val="bottom"/>
          </w:tcPr>
          <w:p>
            <w:pPr>
              <w:spacing w:after="0"/>
              <w:rPr>
                <w:sz w:val="1"/>
                <w:szCs w:val="1"/>
                <w:color w:val="auto"/>
              </w:rPr>
            </w:pPr>
          </w:p>
        </w:tc>
      </w:tr>
      <w:tr>
        <w:trPr>
          <w:trHeight w:val="196"/>
        </w:trPr>
        <w:tc>
          <w:tcPr>
            <w:tcW w:w="4400" w:type="dxa"/>
            <w:vAlign w:val="bottom"/>
          </w:tcPr>
          <w:p>
            <w:pPr>
              <w:ind w:left="200"/>
              <w:spacing w:after="0"/>
              <w:rPr>
                <w:sz w:val="20"/>
                <w:szCs w:val="20"/>
                <w:color w:val="auto"/>
              </w:rPr>
            </w:pPr>
            <w:r>
              <w:rPr>
                <w:rFonts w:ascii="Arial" w:cs="Arial" w:eastAsia="Arial" w:hAnsi="Arial"/>
                <w:sz w:val="14"/>
                <w:szCs w:val="14"/>
                <w:color w:val="auto"/>
              </w:rPr>
              <w:t>Interest-earning deposits with other institutions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2,356,121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898</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0.15 %</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1,494,149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389</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0.10 %</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Loans (2)</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7,916,443</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88,390</w:t>
            </w:r>
          </w:p>
        </w:tc>
        <w:tc>
          <w:tcPr>
            <w:tcW w:w="1340" w:type="dxa"/>
            <w:vAlign w:val="bottom"/>
            <w:tcBorders>
              <w:bottom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4.43 %</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8,382,257</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94,200</w:t>
            </w:r>
          </w:p>
        </w:tc>
        <w:tc>
          <w:tcPr>
            <w:tcW w:w="11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4.47 %</w:t>
            </w:r>
          </w:p>
        </w:tc>
        <w:tc>
          <w:tcPr>
            <w:tcW w:w="0" w:type="dxa"/>
            <w:vAlign w:val="bottom"/>
          </w:tcPr>
          <w:p>
            <w:pPr>
              <w:spacing w:after="0"/>
              <w:rPr>
                <w:sz w:val="1"/>
                <w:szCs w:val="1"/>
                <w:color w:val="auto"/>
              </w:rPr>
            </w:pPr>
          </w:p>
        </w:tc>
      </w:tr>
      <w:tr>
        <w:trPr>
          <w:trHeight w:val="190"/>
        </w:trPr>
        <w:tc>
          <w:tcPr>
            <w:tcW w:w="4400" w:type="dxa"/>
            <w:vAlign w:val="bottom"/>
          </w:tcPr>
          <w:p>
            <w:pPr>
              <w:ind w:left="200"/>
              <w:spacing w:after="0"/>
              <w:rPr>
                <w:sz w:val="20"/>
                <w:szCs w:val="20"/>
                <w:color w:val="auto"/>
              </w:rPr>
            </w:pPr>
            <w:r>
              <w:rPr>
                <w:rFonts w:ascii="Arial" w:cs="Arial" w:eastAsia="Arial" w:hAnsi="Arial"/>
                <w:sz w:val="14"/>
                <w:szCs w:val="14"/>
                <w:color w:val="auto"/>
              </w:rPr>
              <w:t>Total interest-earning assets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14,402,399</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104,547</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2.92 %</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12,495,674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106,626</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3.45 %</w:t>
            </w:r>
          </w:p>
        </w:tc>
        <w:tc>
          <w:tcPr>
            <w:tcW w:w="0" w:type="dxa"/>
            <w:vAlign w:val="bottom"/>
          </w:tcPr>
          <w:p>
            <w:pPr>
              <w:spacing w:after="0"/>
              <w:rPr>
                <w:sz w:val="1"/>
                <w:szCs w:val="1"/>
                <w:color w:val="auto"/>
              </w:rPr>
            </w:pPr>
          </w:p>
        </w:tc>
      </w:tr>
      <w:tr>
        <w:trPr>
          <w:trHeight w:val="208"/>
        </w:trPr>
        <w:tc>
          <w:tcPr>
            <w:tcW w:w="4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noninterest-earning assets</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1,270,862</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1,231,502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15,673,261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13,727,176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INTEREST-BEARING LIABILITIES</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0"/>
              <w:spacing w:after="0"/>
              <w:rPr>
                <w:sz w:val="20"/>
                <w:szCs w:val="20"/>
                <w:color w:val="auto"/>
              </w:rPr>
            </w:pPr>
            <w:r>
              <w:rPr>
                <w:rFonts w:ascii="Arial" w:cs="Arial" w:eastAsia="Arial" w:hAnsi="Arial"/>
                <w:sz w:val="14"/>
                <w:szCs w:val="14"/>
                <w:color w:val="auto"/>
              </w:rPr>
              <w:t>Savings deposits (3)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4,349,441</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967</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0.09 %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3,735,204</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2,010</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0.21 %</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Time deposits</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355,535</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340" w:type="dxa"/>
            <w:vAlign w:val="bottom"/>
            <w:tcBorders>
              <w:bottom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0.16 %</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449,484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948</w:t>
            </w:r>
          </w:p>
        </w:tc>
        <w:tc>
          <w:tcPr>
            <w:tcW w:w="11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0.84 %</w:t>
            </w:r>
          </w:p>
        </w:tc>
        <w:tc>
          <w:tcPr>
            <w:tcW w:w="0" w:type="dxa"/>
            <w:vAlign w:val="bottom"/>
          </w:tcPr>
          <w:p>
            <w:pPr>
              <w:spacing w:after="0"/>
              <w:rPr>
                <w:sz w:val="1"/>
                <w:szCs w:val="1"/>
                <w:color w:val="auto"/>
              </w:rPr>
            </w:pPr>
          </w:p>
        </w:tc>
      </w:tr>
      <w:tr>
        <w:trPr>
          <w:trHeight w:val="190"/>
        </w:trPr>
        <w:tc>
          <w:tcPr>
            <w:tcW w:w="4400" w:type="dxa"/>
            <w:vAlign w:val="bottom"/>
          </w:tcPr>
          <w:p>
            <w:pPr>
              <w:ind w:left="380"/>
              <w:spacing w:after="0"/>
              <w:rPr>
                <w:sz w:val="20"/>
                <w:szCs w:val="20"/>
                <w:color w:val="auto"/>
              </w:rPr>
            </w:pPr>
            <w:r>
              <w:rPr>
                <w:rFonts w:ascii="Arial" w:cs="Arial" w:eastAsia="Arial" w:hAnsi="Arial"/>
                <w:sz w:val="14"/>
                <w:szCs w:val="14"/>
                <w:color w:val="auto"/>
              </w:rPr>
              <w:t>Total interest-bearing deposits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4,704,976</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1,113</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0.09 %</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4,184,688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2,958</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0.28 %</w:t>
            </w:r>
          </w:p>
        </w:tc>
        <w:tc>
          <w:tcPr>
            <w:tcW w:w="0" w:type="dxa"/>
            <w:vAlign w:val="bottom"/>
          </w:tcPr>
          <w:p>
            <w:pPr>
              <w:spacing w:after="0"/>
              <w:rPr>
                <w:sz w:val="1"/>
                <w:szCs w:val="1"/>
                <w:color w:val="auto"/>
              </w:rPr>
            </w:pPr>
          </w:p>
        </w:tc>
      </w:tr>
      <w:tr>
        <w:trPr>
          <w:trHeight w:val="190"/>
        </w:trPr>
        <w:tc>
          <w:tcPr>
            <w:tcW w:w="4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FHLB advances, other borrowings, and customer</w:t>
            </w:r>
          </w:p>
        </w:tc>
        <w:tc>
          <w:tcPr>
            <w:tcW w:w="20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636,397</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539,833</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2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repurchase agreements</w:t>
            </w: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1340" w:type="dxa"/>
            <w:vAlign w:val="bottom"/>
            <w:tcBorders>
              <w:bottom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0.08 %</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11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0.25 %</w:t>
            </w:r>
          </w:p>
        </w:tc>
        <w:tc>
          <w:tcPr>
            <w:tcW w:w="0" w:type="dxa"/>
            <w:vAlign w:val="bottom"/>
          </w:tcPr>
          <w:p>
            <w:pPr>
              <w:spacing w:after="0"/>
              <w:rPr>
                <w:sz w:val="1"/>
                <w:szCs w:val="1"/>
                <w:color w:val="auto"/>
              </w:rPr>
            </w:pPr>
          </w:p>
        </w:tc>
      </w:tr>
      <w:tr>
        <w:trPr>
          <w:trHeight w:val="196"/>
        </w:trPr>
        <w:tc>
          <w:tcPr>
            <w:tcW w:w="4400" w:type="dxa"/>
            <w:vAlign w:val="bottom"/>
          </w:tcPr>
          <w:p>
            <w:pPr>
              <w:ind w:left="200"/>
              <w:spacing w:after="0"/>
              <w:rPr>
                <w:sz w:val="20"/>
                <w:szCs w:val="20"/>
                <w:color w:val="auto"/>
              </w:rPr>
            </w:pPr>
            <w:r>
              <w:rPr>
                <w:rFonts w:ascii="Arial" w:cs="Arial" w:eastAsia="Arial" w:hAnsi="Arial"/>
                <w:sz w:val="14"/>
                <w:szCs w:val="14"/>
                <w:color w:val="auto"/>
              </w:rPr>
              <w:t>Interest-bearing liabilities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5,341,373</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0.09 %</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4,724,521</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3,301</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0.28 %</w:t>
            </w: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Noninterest-bearing deposits</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7,991,462</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6,731,711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20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260,188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285,102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Stockholders' equity</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2,080,238</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1,985,842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15,673,261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13,727,176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103,299</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103,325</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4400" w:type="dxa"/>
            <w:vAlign w:val="bottom"/>
            <w:tcBorders>
              <w:top w:val="single" w:sz="8" w:color="CFF0FC"/>
            </w:tcBorders>
          </w:tcPr>
          <w:p>
            <w:pPr>
              <w:ind w:left="300"/>
              <w:spacing w:after="0"/>
              <w:rPr>
                <w:sz w:val="20"/>
                <w:szCs w:val="20"/>
                <w:color w:val="auto"/>
              </w:rPr>
            </w:pPr>
            <w:r>
              <w:rPr>
                <w:rFonts w:ascii="Arial" w:cs="Arial" w:eastAsia="Arial" w:hAnsi="Arial"/>
                <w:sz w:val="14"/>
                <w:szCs w:val="14"/>
                <w:color w:val="auto"/>
              </w:rPr>
              <w:t>Net interest spread - tax equivalent</w:t>
            </w:r>
          </w:p>
        </w:tc>
        <w:tc>
          <w:tcPr>
            <w:tcW w:w="20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40" w:type="dxa"/>
            <w:vAlign w:val="bottom"/>
            <w:tcBorders>
              <w:top w:val="single" w:sz="8" w:color="CFF0FC"/>
            </w:tcBorders>
            <w:gridSpan w:val="3"/>
          </w:tcPr>
          <w:p>
            <w:pPr>
              <w:jc w:val="right"/>
              <w:ind w:right="260"/>
              <w:spacing w:after="0"/>
              <w:rPr>
                <w:sz w:val="20"/>
                <w:szCs w:val="20"/>
                <w:color w:val="auto"/>
              </w:rPr>
            </w:pPr>
            <w:r>
              <w:rPr>
                <w:rFonts w:ascii="Arial" w:cs="Arial" w:eastAsia="Arial" w:hAnsi="Arial"/>
                <w:sz w:val="14"/>
                <w:szCs w:val="14"/>
                <w:color w:val="auto"/>
              </w:rPr>
              <w:t>2.83 %</w:t>
            </w:r>
          </w:p>
        </w:tc>
        <w:tc>
          <w:tcPr>
            <w:tcW w:w="20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00" w:type="dxa"/>
            <w:vAlign w:val="bottom"/>
            <w:tcBorders>
              <w:top w:val="single" w:sz="8" w:color="CFF0FC"/>
            </w:tcBorders>
            <w:gridSpan w:val="3"/>
          </w:tcPr>
          <w:p>
            <w:pPr>
              <w:jc w:val="right"/>
              <w:ind w:right="80"/>
              <w:spacing w:after="0"/>
              <w:rPr>
                <w:sz w:val="20"/>
                <w:szCs w:val="20"/>
                <w:color w:val="auto"/>
              </w:rPr>
            </w:pPr>
            <w:r>
              <w:rPr>
                <w:rFonts w:ascii="Arial" w:cs="Arial" w:eastAsia="Arial" w:hAnsi="Arial"/>
                <w:sz w:val="14"/>
                <w:szCs w:val="14"/>
                <w:color w:val="auto"/>
              </w:rPr>
              <w:t>3.17 %</w:t>
            </w:r>
          </w:p>
        </w:tc>
        <w:tc>
          <w:tcPr>
            <w:tcW w:w="0" w:type="dxa"/>
            <w:vAlign w:val="bottom"/>
          </w:tcPr>
          <w:p>
            <w:pPr>
              <w:spacing w:after="0"/>
              <w:rPr>
                <w:sz w:val="1"/>
                <w:szCs w:val="1"/>
                <w:color w:val="auto"/>
              </w:rPr>
            </w:pPr>
          </w:p>
        </w:tc>
      </w:tr>
      <w:tr>
        <w:trPr>
          <w:trHeight w:val="208"/>
        </w:trPr>
        <w:tc>
          <w:tcPr>
            <w:tcW w:w="44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interest margin</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2.88 %</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3.33 %</w:t>
            </w:r>
          </w:p>
        </w:tc>
        <w:tc>
          <w:tcPr>
            <w:tcW w:w="0" w:type="dxa"/>
            <w:vAlign w:val="bottom"/>
          </w:tcPr>
          <w:p>
            <w:pPr>
              <w:spacing w:after="0"/>
              <w:rPr>
                <w:sz w:val="1"/>
                <w:szCs w:val="1"/>
                <w:color w:val="auto"/>
              </w:rPr>
            </w:pPr>
          </w:p>
        </w:tc>
      </w:tr>
      <w:tr>
        <w:trPr>
          <w:trHeight w:val="191"/>
        </w:trPr>
        <w:tc>
          <w:tcPr>
            <w:tcW w:w="4400" w:type="dxa"/>
            <w:vAlign w:val="bottom"/>
          </w:tcPr>
          <w:p>
            <w:pPr>
              <w:ind w:left="300"/>
              <w:spacing w:after="0"/>
              <w:rPr>
                <w:sz w:val="20"/>
                <w:szCs w:val="20"/>
                <w:color w:val="auto"/>
              </w:rPr>
            </w:pPr>
            <w:r>
              <w:rPr>
                <w:rFonts w:ascii="Arial" w:cs="Arial" w:eastAsia="Arial" w:hAnsi="Arial"/>
                <w:sz w:val="14"/>
                <w:szCs w:val="14"/>
                <w:color w:val="auto"/>
              </w:rPr>
              <w:t>Net interest margin - tax equivalent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2.89 %</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3.34 %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-2792095</wp:posOffset>
            </wp:positionV>
            <wp:extent cx="188595"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-2792095</wp:posOffset>
            </wp:positionV>
            <wp:extent cx="188595"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-2792095</wp:posOffset>
            </wp:positionV>
            <wp:extent cx="17145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-2792095</wp:posOffset>
            </wp:positionV>
            <wp:extent cx="17145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-2526030</wp:posOffset>
            </wp:positionV>
            <wp:extent cx="188595"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-2526030</wp:posOffset>
            </wp:positionV>
            <wp:extent cx="171450"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-1849120</wp:posOffset>
            </wp:positionV>
            <wp:extent cx="188595"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-1849120</wp:posOffset>
            </wp:positionV>
            <wp:extent cx="188595"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-1849120</wp:posOffset>
            </wp:positionV>
            <wp:extent cx="171450"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-1849120</wp:posOffset>
            </wp:positionV>
            <wp:extent cx="171450"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-1480185</wp:posOffset>
            </wp:positionV>
            <wp:extent cx="188595"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-1480185</wp:posOffset>
            </wp:positionV>
            <wp:extent cx="188595"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-1480185</wp:posOffset>
            </wp:positionV>
            <wp:extent cx="171450"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-1480185</wp:posOffset>
            </wp:positionV>
            <wp:extent cx="171450"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-948690</wp:posOffset>
            </wp:positionV>
            <wp:extent cx="188595"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-948690</wp:posOffset>
            </wp:positionV>
            <wp:extent cx="17145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-532130</wp:posOffset>
            </wp:positionV>
            <wp:extent cx="18859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-514985</wp:posOffset>
            </wp:positionV>
            <wp:extent cx="18859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-532130</wp:posOffset>
            </wp:positionV>
            <wp:extent cx="17145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-514985</wp:posOffset>
            </wp:positionV>
            <wp:extent cx="17145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95" w:lineRule="exact"/>
        <w:rPr>
          <w:sz w:val="20"/>
          <w:szCs w:val="20"/>
          <w:color w:val="auto"/>
        </w:rPr>
      </w:pPr>
    </w:p>
    <w:p>
      <w:pPr>
        <w:ind w:left="980" w:right="100" w:hanging="409"/>
        <w:spacing w:after="0" w:line="264" w:lineRule="auto"/>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tax equivalent (TE) adjustments utilizing federal statutory rates of 21% in effect for the three months ended September 30, 2021 and 2020. The non TE rates for tax-advantaged AFS investment securities were 2.45% and 2.24% for the three months ended September 30, 2021 and 2020 respectively. The non TE rates for total AFS investment securities were 1.52% and 1.93% for the three months ended September 30, 2021 and 2020, respectively.</w:t>
      </w:r>
    </w:p>
    <w:p>
      <w:pPr>
        <w:spacing w:after="0" w:line="1" w:lineRule="exact"/>
        <w:rPr>
          <w:rFonts w:ascii="Arial" w:cs="Arial" w:eastAsia="Arial" w:hAnsi="Arial"/>
          <w:sz w:val="14"/>
          <w:szCs w:val="14"/>
          <w:color w:val="auto"/>
        </w:rPr>
      </w:pPr>
    </w:p>
    <w:p>
      <w:pPr>
        <w:ind w:left="980" w:right="340" w:hanging="403"/>
        <w:spacing w:after="0" w:line="261" w:lineRule="auto"/>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loan fees of $7.5 million and $7.4 million for the three months ended September 30, 2021 and 2020, respectively. Prepayment penalty fees of $2.0 million and $1.8 million are included in interest income for the three months ended September 30, 2021 and 2020, respectively.</w:t>
      </w:r>
    </w:p>
    <w:p>
      <w:pPr>
        <w:ind w:left="980" w:hanging="409"/>
        <w:spacing w:after="0"/>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interest-bearing demand and money market accounts.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208"/>
        </w:trPr>
        <w:tc>
          <w:tcPr>
            <w:tcW w:w="4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4"/>
          </w:tcPr>
          <w:p>
            <w:pPr>
              <w:jc w:val="right"/>
              <w:ind w:right="588"/>
              <w:spacing w:after="0"/>
              <w:rPr>
                <w:sz w:val="20"/>
                <w:szCs w:val="20"/>
                <w:color w:val="auto"/>
              </w:rPr>
            </w:pPr>
            <w:r>
              <w:rPr>
                <w:rFonts w:ascii="Arial" w:cs="Arial" w:eastAsia="Arial" w:hAnsi="Arial"/>
                <w:sz w:val="14"/>
                <w:szCs w:val="14"/>
                <w:i w:val="1"/>
                <w:iCs w:val="1"/>
                <w:color w:val="auto"/>
                <w:w w:val="99"/>
              </w:rPr>
              <w:t>(Dollars in thousands)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INTEREST-EARNING ASSETS</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20" w:type="dxa"/>
            <w:vAlign w:val="bottom"/>
          </w:tcPr>
          <w:p>
            <w:pPr>
              <w:ind w:left="200"/>
              <w:spacing w:after="0"/>
              <w:rPr>
                <w:sz w:val="20"/>
                <w:szCs w:val="20"/>
                <w:color w:val="auto"/>
              </w:rPr>
            </w:pPr>
            <w:r>
              <w:rPr>
                <w:rFonts w:ascii="Arial" w:cs="Arial" w:eastAsia="Arial" w:hAnsi="Arial"/>
                <w:sz w:val="14"/>
                <w:szCs w:val="14"/>
                <w:color w:val="auto"/>
              </w:rPr>
              <w:t>Investment securities (1)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Available-for-sale securities:</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20" w:type="dxa"/>
            <w:vAlign w:val="bottom"/>
          </w:tcPr>
          <w:p>
            <w:pPr>
              <w:ind w:left="560"/>
              <w:spacing w:after="0"/>
              <w:rPr>
                <w:sz w:val="20"/>
                <w:szCs w:val="20"/>
                <w:color w:val="auto"/>
              </w:rPr>
            </w:pPr>
            <w:r>
              <w:rPr>
                <w:rFonts w:ascii="Arial" w:cs="Arial" w:eastAsia="Arial" w:hAnsi="Arial"/>
                <w:sz w:val="14"/>
                <w:szCs w:val="14"/>
                <w:color w:val="auto"/>
              </w:rPr>
              <w:t>Taxable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2,757,685</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27,824</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1.38 %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1,737,723</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26,313</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208"/>
        </w:trPr>
        <w:tc>
          <w:tcPr>
            <w:tcW w:w="42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Tax-advantaged</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29,932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w:t>
            </w: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2.98 %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36,897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3.30 %</w:t>
            </w:r>
          </w:p>
        </w:tc>
        <w:tc>
          <w:tcPr>
            <w:tcW w:w="0" w:type="dxa"/>
            <w:vAlign w:val="bottom"/>
          </w:tcPr>
          <w:p>
            <w:pPr>
              <w:spacing w:after="0"/>
              <w:rPr>
                <w:sz w:val="1"/>
                <w:szCs w:val="1"/>
                <w:color w:val="auto"/>
              </w:rPr>
            </w:pPr>
          </w:p>
        </w:tc>
      </w:tr>
      <w:tr>
        <w:trPr>
          <w:trHeight w:val="197"/>
        </w:trPr>
        <w:tc>
          <w:tcPr>
            <w:tcW w:w="4220" w:type="dxa"/>
            <w:vAlign w:val="bottom"/>
          </w:tcPr>
          <w:p>
            <w:pPr>
              <w:ind w:left="380"/>
              <w:spacing w:after="0"/>
              <w:rPr>
                <w:sz w:val="20"/>
                <w:szCs w:val="20"/>
                <w:color w:val="auto"/>
              </w:rPr>
            </w:pPr>
            <w:r>
              <w:rPr>
                <w:rFonts w:ascii="Arial" w:cs="Arial" w:eastAsia="Arial" w:hAnsi="Arial"/>
                <w:sz w:val="14"/>
                <w:szCs w:val="14"/>
                <w:color w:val="auto"/>
              </w:rPr>
              <w:t>Held-to-maturity securities: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Taxable</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804,869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10,917</w:t>
            </w: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1.90 %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449,230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7,410</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2.20 %</w:t>
            </w:r>
          </w:p>
        </w:tc>
        <w:tc>
          <w:tcPr>
            <w:tcW w:w="0" w:type="dxa"/>
            <w:vAlign w:val="bottom"/>
          </w:tcPr>
          <w:p>
            <w:pPr>
              <w:spacing w:after="0"/>
              <w:rPr>
                <w:sz w:val="1"/>
                <w:szCs w:val="1"/>
                <w:color w:val="auto"/>
              </w:rPr>
            </w:pPr>
          </w:p>
        </w:tc>
      </w:tr>
      <w:tr>
        <w:trPr>
          <w:trHeight w:val="197"/>
        </w:trPr>
        <w:tc>
          <w:tcPr>
            <w:tcW w:w="4220" w:type="dxa"/>
            <w:vAlign w:val="bottom"/>
          </w:tcPr>
          <w:p>
            <w:pPr>
              <w:ind w:left="560"/>
              <w:spacing w:after="0"/>
              <w:rPr>
                <w:sz w:val="20"/>
                <w:szCs w:val="20"/>
                <w:color w:val="auto"/>
              </w:rPr>
            </w:pPr>
            <w:r>
              <w:rPr>
                <w:rFonts w:ascii="Arial" w:cs="Arial" w:eastAsia="Arial" w:hAnsi="Arial"/>
                <w:sz w:val="14"/>
                <w:szCs w:val="14"/>
                <w:color w:val="auto"/>
              </w:rPr>
              <w:t>Tax-advantaged</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200,744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3,341</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2.68 %</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177,364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3,623</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3.29 %</w:t>
            </w:r>
          </w:p>
        </w:tc>
        <w:tc>
          <w:tcPr>
            <w:tcW w:w="0" w:type="dxa"/>
            <w:vAlign w:val="bottom"/>
          </w:tcPr>
          <w:p>
            <w:pPr>
              <w:spacing w:after="0"/>
              <w:rPr>
                <w:sz w:val="1"/>
                <w:szCs w:val="1"/>
                <w:color w:val="auto"/>
              </w:rPr>
            </w:pPr>
          </w:p>
        </w:tc>
      </w:tr>
      <w:tr>
        <w:trPr>
          <w:trHeight w:val="208"/>
        </w:trPr>
        <w:tc>
          <w:tcPr>
            <w:tcW w:w="4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in FHLB stock</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w:t>
            </w: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5.73 %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5.75 %</w:t>
            </w:r>
          </w:p>
        </w:tc>
        <w:tc>
          <w:tcPr>
            <w:tcW w:w="0" w:type="dxa"/>
            <w:vAlign w:val="bottom"/>
          </w:tcPr>
          <w:p>
            <w:pPr>
              <w:spacing w:after="0"/>
              <w:rPr>
                <w:sz w:val="1"/>
                <w:szCs w:val="1"/>
                <w:color w:val="auto"/>
              </w:rPr>
            </w:pPr>
          </w:p>
        </w:tc>
      </w:tr>
      <w:tr>
        <w:trPr>
          <w:trHeight w:val="197"/>
        </w:trPr>
        <w:tc>
          <w:tcPr>
            <w:tcW w:w="4220" w:type="dxa"/>
            <w:vAlign w:val="bottom"/>
          </w:tcPr>
          <w:p>
            <w:pPr>
              <w:ind w:left="200"/>
              <w:spacing w:after="0"/>
              <w:rPr>
                <w:sz w:val="20"/>
                <w:szCs w:val="20"/>
                <w:color w:val="auto"/>
              </w:rPr>
            </w:pPr>
            <w:r>
              <w:rPr>
                <w:rFonts w:ascii="Arial" w:cs="Arial" w:eastAsia="Arial" w:hAnsi="Arial"/>
                <w:sz w:val="14"/>
                <w:szCs w:val="14"/>
                <w:color w:val="auto"/>
              </w:rPr>
              <w:t>Interest-earning deposits with other institutions</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1,922,234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1,790</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0.12 %</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947,211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1,285</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0.18 %</w:t>
            </w:r>
          </w:p>
        </w:tc>
        <w:tc>
          <w:tcPr>
            <w:tcW w:w="0" w:type="dxa"/>
            <w:vAlign w:val="bottom"/>
          </w:tcPr>
          <w:p>
            <w:pPr>
              <w:spacing w:after="0"/>
              <w:rPr>
                <w:sz w:val="1"/>
                <w:szCs w:val="1"/>
                <w:color w:val="auto"/>
              </w:rPr>
            </w:pPr>
          </w:p>
        </w:tc>
      </w:tr>
      <w:tr>
        <w:trPr>
          <w:trHeight w:val="208"/>
        </w:trPr>
        <w:tc>
          <w:tcPr>
            <w:tcW w:w="4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Loans (2)</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8,144,105</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271,911</w:t>
            </w:r>
          </w:p>
        </w:tc>
        <w:tc>
          <w:tcPr>
            <w:tcW w:w="1240" w:type="dxa"/>
            <w:vAlign w:val="bottom"/>
            <w:tcBorders>
              <w:bottom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4.46 %</w:t>
            </w: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7,972,208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281,669</w:t>
            </w:r>
          </w:p>
        </w:tc>
        <w:tc>
          <w:tcPr>
            <w:tcW w:w="10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4.72 %</w:t>
            </w:r>
          </w:p>
        </w:tc>
        <w:tc>
          <w:tcPr>
            <w:tcW w:w="0" w:type="dxa"/>
            <w:vAlign w:val="bottom"/>
          </w:tcPr>
          <w:p>
            <w:pPr>
              <w:spacing w:after="0"/>
              <w:rPr>
                <w:sz w:val="1"/>
                <w:szCs w:val="1"/>
                <w:color w:val="auto"/>
              </w:rPr>
            </w:pPr>
          </w:p>
        </w:tc>
      </w:tr>
      <w:tr>
        <w:trPr>
          <w:trHeight w:val="190"/>
        </w:trPr>
        <w:tc>
          <w:tcPr>
            <w:tcW w:w="4220" w:type="dxa"/>
            <w:vAlign w:val="bottom"/>
          </w:tcPr>
          <w:p>
            <w:pPr>
              <w:ind w:left="200"/>
              <w:spacing w:after="0"/>
              <w:rPr>
                <w:sz w:val="20"/>
                <w:szCs w:val="20"/>
                <w:color w:val="auto"/>
              </w:rPr>
            </w:pPr>
            <w:r>
              <w:rPr>
                <w:rFonts w:ascii="Arial" w:cs="Arial" w:eastAsia="Arial" w:hAnsi="Arial"/>
                <w:sz w:val="14"/>
                <w:szCs w:val="14"/>
                <w:color w:val="auto"/>
              </w:rPr>
              <w:t>Total interest-earning assets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13,877,257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317,099</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3.09 %</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11,338,321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321,693</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3.82 %</w:t>
            </w:r>
          </w:p>
        </w:tc>
        <w:tc>
          <w:tcPr>
            <w:tcW w:w="0" w:type="dxa"/>
            <w:vAlign w:val="bottom"/>
          </w:tcPr>
          <w:p>
            <w:pPr>
              <w:spacing w:after="0"/>
              <w:rPr>
                <w:sz w:val="1"/>
                <w:szCs w:val="1"/>
                <w:color w:val="auto"/>
              </w:rPr>
            </w:pPr>
          </w:p>
        </w:tc>
      </w:tr>
      <w:tr>
        <w:trPr>
          <w:trHeight w:val="208"/>
        </w:trPr>
        <w:tc>
          <w:tcPr>
            <w:tcW w:w="4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noninterest-earning assets</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1,250,370</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1,237,241</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15,127,627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12,575,562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INTEREST-BEARING LIABILITIES</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20" w:type="dxa"/>
            <w:vAlign w:val="bottom"/>
          </w:tcPr>
          <w:p>
            <w:pPr>
              <w:ind w:left="200"/>
              <w:spacing w:after="0"/>
              <w:rPr>
                <w:sz w:val="20"/>
                <w:szCs w:val="20"/>
                <w:color w:val="auto"/>
              </w:rPr>
            </w:pPr>
            <w:r>
              <w:rPr>
                <w:rFonts w:ascii="Arial" w:cs="Arial" w:eastAsia="Arial" w:hAnsi="Arial"/>
                <w:sz w:val="14"/>
                <w:szCs w:val="14"/>
                <w:color w:val="auto"/>
              </w:rPr>
              <w:t>Savings deposits (3)</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4,203,684</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3,263</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0.10 %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3,396,259</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7,131</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0.28 %</w:t>
            </w:r>
          </w:p>
        </w:tc>
        <w:tc>
          <w:tcPr>
            <w:tcW w:w="0" w:type="dxa"/>
            <w:vAlign w:val="bottom"/>
          </w:tcPr>
          <w:p>
            <w:pPr>
              <w:spacing w:after="0"/>
              <w:rPr>
                <w:sz w:val="1"/>
                <w:szCs w:val="1"/>
                <w:color w:val="auto"/>
              </w:rPr>
            </w:pPr>
          </w:p>
        </w:tc>
      </w:tr>
      <w:tr>
        <w:trPr>
          <w:trHeight w:val="208"/>
        </w:trPr>
        <w:tc>
          <w:tcPr>
            <w:tcW w:w="4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Time deposits</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388,095</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1,087</w:t>
            </w:r>
          </w:p>
        </w:tc>
        <w:tc>
          <w:tcPr>
            <w:tcW w:w="1240" w:type="dxa"/>
            <w:vAlign w:val="bottom"/>
            <w:tcBorders>
              <w:bottom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0.37 %</w:t>
            </w: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448,615</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2,946</w:t>
            </w:r>
          </w:p>
        </w:tc>
        <w:tc>
          <w:tcPr>
            <w:tcW w:w="10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0.88 %</w:t>
            </w:r>
          </w:p>
        </w:tc>
        <w:tc>
          <w:tcPr>
            <w:tcW w:w="0" w:type="dxa"/>
            <w:vAlign w:val="bottom"/>
          </w:tcPr>
          <w:p>
            <w:pPr>
              <w:spacing w:after="0"/>
              <w:rPr>
                <w:sz w:val="1"/>
                <w:szCs w:val="1"/>
                <w:color w:val="auto"/>
              </w:rPr>
            </w:pPr>
          </w:p>
        </w:tc>
      </w:tr>
      <w:tr>
        <w:trPr>
          <w:trHeight w:val="190"/>
        </w:trPr>
        <w:tc>
          <w:tcPr>
            <w:tcW w:w="4220" w:type="dxa"/>
            <w:vAlign w:val="bottom"/>
          </w:tcPr>
          <w:p>
            <w:pPr>
              <w:ind w:left="380"/>
              <w:spacing w:after="0"/>
              <w:rPr>
                <w:sz w:val="20"/>
                <w:szCs w:val="20"/>
                <w:color w:val="auto"/>
              </w:rPr>
            </w:pPr>
            <w:r>
              <w:rPr>
                <w:rFonts w:ascii="Arial" w:cs="Arial" w:eastAsia="Arial" w:hAnsi="Arial"/>
                <w:sz w:val="14"/>
                <w:szCs w:val="14"/>
                <w:color w:val="auto"/>
              </w:rPr>
              <w:t>Total interest-bearing deposits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4,591,779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4,350</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0.13 %</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3,844,874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10,077</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0.35 %</w:t>
            </w:r>
          </w:p>
        </w:tc>
        <w:tc>
          <w:tcPr>
            <w:tcW w:w="0" w:type="dxa"/>
            <w:vAlign w:val="bottom"/>
          </w:tcPr>
          <w:p>
            <w:pPr>
              <w:spacing w:after="0"/>
              <w:rPr>
                <w:sz w:val="1"/>
                <w:szCs w:val="1"/>
                <w:color w:val="auto"/>
              </w:rPr>
            </w:pPr>
          </w:p>
        </w:tc>
      </w:tr>
      <w:tr>
        <w:trPr>
          <w:trHeight w:val="190"/>
        </w:trPr>
        <w:tc>
          <w:tcPr>
            <w:tcW w:w="4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FHLB advances, other borrowings, and customer</w:t>
            </w:r>
          </w:p>
        </w:tc>
        <w:tc>
          <w:tcPr>
            <w:tcW w:w="18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611,684</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594</w:t>
            </w: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505,710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1,416</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repurchase agreements</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vMerge w:val="continue"/>
            <w:shd w:val="clear" w:color="auto" w:fill="CFF0FC"/>
          </w:tcPr>
          <w:p>
            <w:pPr>
              <w:spacing w:after="0"/>
              <w:rPr>
                <w:sz w:val="15"/>
                <w:szCs w:val="15"/>
                <w:color w:val="auto"/>
              </w:rPr>
            </w:pPr>
          </w:p>
        </w:tc>
        <w:tc>
          <w:tcPr>
            <w:tcW w:w="1240" w:type="dxa"/>
            <w:vAlign w:val="bottom"/>
            <w:tcBorders>
              <w:bottom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0.13 %</w:t>
            </w:r>
          </w:p>
        </w:tc>
        <w:tc>
          <w:tcPr>
            <w:tcW w:w="1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vMerge w:val="continue"/>
            <w:shd w:val="clear" w:color="auto" w:fill="CFF0FC"/>
          </w:tcPr>
          <w:p>
            <w:pPr>
              <w:spacing w:after="0"/>
              <w:rPr>
                <w:sz w:val="15"/>
                <w:szCs w:val="15"/>
                <w:color w:val="auto"/>
              </w:rPr>
            </w:pPr>
          </w:p>
        </w:tc>
        <w:tc>
          <w:tcPr>
            <w:tcW w:w="10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0.37 %</w:t>
            </w:r>
          </w:p>
        </w:tc>
        <w:tc>
          <w:tcPr>
            <w:tcW w:w="0" w:type="dxa"/>
            <w:vAlign w:val="bottom"/>
          </w:tcPr>
          <w:p>
            <w:pPr>
              <w:spacing w:after="0"/>
              <w:rPr>
                <w:sz w:val="1"/>
                <w:szCs w:val="1"/>
                <w:color w:val="auto"/>
              </w:rPr>
            </w:pPr>
          </w:p>
        </w:tc>
      </w:tr>
      <w:tr>
        <w:trPr>
          <w:trHeight w:val="196"/>
        </w:trPr>
        <w:tc>
          <w:tcPr>
            <w:tcW w:w="4220" w:type="dxa"/>
            <w:vAlign w:val="bottom"/>
          </w:tcPr>
          <w:p>
            <w:pPr>
              <w:ind w:left="200"/>
              <w:spacing w:after="0"/>
              <w:rPr>
                <w:sz w:val="20"/>
                <w:szCs w:val="20"/>
                <w:color w:val="auto"/>
              </w:rPr>
            </w:pPr>
            <w:r>
              <w:rPr>
                <w:rFonts w:ascii="Arial" w:cs="Arial" w:eastAsia="Arial" w:hAnsi="Arial"/>
                <w:sz w:val="14"/>
                <w:szCs w:val="14"/>
                <w:color w:val="auto"/>
              </w:rPr>
              <w:t>Interest-bearing liabilities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5,203,463</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4,944</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0.13 %</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4,350,584</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11,493</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0.35 %</w:t>
            </w: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Noninterest-bearing deposits</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7,646,283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6,063,469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20" w:type="dxa"/>
            <w:vAlign w:val="bottom"/>
          </w:tcPr>
          <w:p>
            <w:pPr>
              <w:ind w:left="20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223,749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175,209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Stockholders' equity</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2,054,132</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1,986,300</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Pr>
          <w:p>
            <w:pPr>
              <w:ind w:left="2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15,127,627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12,575,562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312,155</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310,200</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4220" w:type="dxa"/>
            <w:vAlign w:val="bottom"/>
            <w:tcBorders>
              <w:top w:val="single" w:sz="8" w:color="CFF0FC"/>
            </w:tcBorders>
          </w:tcPr>
          <w:p>
            <w:pPr>
              <w:ind w:left="300"/>
              <w:spacing w:after="0"/>
              <w:rPr>
                <w:sz w:val="20"/>
                <w:szCs w:val="20"/>
                <w:color w:val="auto"/>
              </w:rPr>
            </w:pPr>
            <w:r>
              <w:rPr>
                <w:rFonts w:ascii="Arial" w:cs="Arial" w:eastAsia="Arial" w:hAnsi="Arial"/>
                <w:sz w:val="14"/>
                <w:szCs w:val="14"/>
                <w:color w:val="auto"/>
              </w:rPr>
              <w:t>Net interest spread - tax equivalent</w:t>
            </w:r>
          </w:p>
        </w:tc>
        <w:tc>
          <w:tcPr>
            <w:tcW w:w="18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40" w:type="dxa"/>
            <w:vAlign w:val="bottom"/>
            <w:tcBorders>
              <w:top w:val="single" w:sz="8" w:color="CFF0FC"/>
            </w:tcBorders>
            <w:gridSpan w:val="3"/>
          </w:tcPr>
          <w:p>
            <w:pPr>
              <w:jc w:val="right"/>
              <w:ind w:right="260"/>
              <w:spacing w:after="0"/>
              <w:rPr>
                <w:sz w:val="20"/>
                <w:szCs w:val="20"/>
                <w:color w:val="auto"/>
              </w:rPr>
            </w:pPr>
            <w:r>
              <w:rPr>
                <w:rFonts w:ascii="Arial" w:cs="Arial" w:eastAsia="Arial" w:hAnsi="Arial"/>
                <w:sz w:val="14"/>
                <w:szCs w:val="14"/>
                <w:color w:val="auto"/>
              </w:rPr>
              <w:t>2.96 %</w:t>
            </w:r>
          </w:p>
        </w:tc>
        <w:tc>
          <w:tcPr>
            <w:tcW w:w="18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20" w:type="dxa"/>
            <w:vAlign w:val="bottom"/>
            <w:tcBorders>
              <w:top w:val="single" w:sz="8" w:color="CFF0FC"/>
            </w:tcBorders>
            <w:gridSpan w:val="3"/>
          </w:tcPr>
          <w:p>
            <w:pPr>
              <w:jc w:val="right"/>
              <w:ind w:right="80"/>
              <w:spacing w:after="0"/>
              <w:rPr>
                <w:sz w:val="20"/>
                <w:szCs w:val="20"/>
                <w:color w:val="auto"/>
              </w:rPr>
            </w:pPr>
            <w:r>
              <w:rPr>
                <w:rFonts w:ascii="Arial" w:cs="Arial" w:eastAsia="Arial" w:hAnsi="Arial"/>
                <w:sz w:val="14"/>
                <w:szCs w:val="14"/>
                <w:color w:val="auto"/>
              </w:rPr>
              <w:t>3.47 %</w:t>
            </w: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interest margin</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3.03 %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3.67 %</w:t>
            </w:r>
          </w:p>
        </w:tc>
        <w:tc>
          <w:tcPr>
            <w:tcW w:w="0" w:type="dxa"/>
            <w:vAlign w:val="bottom"/>
          </w:tcPr>
          <w:p>
            <w:pPr>
              <w:spacing w:after="0"/>
              <w:rPr>
                <w:sz w:val="1"/>
                <w:szCs w:val="1"/>
                <w:color w:val="auto"/>
              </w:rPr>
            </w:pPr>
          </w:p>
        </w:tc>
      </w:tr>
      <w:tr>
        <w:trPr>
          <w:trHeight w:val="190"/>
        </w:trPr>
        <w:tc>
          <w:tcPr>
            <w:tcW w:w="4220" w:type="dxa"/>
            <w:vAlign w:val="bottom"/>
          </w:tcPr>
          <w:p>
            <w:pPr>
              <w:ind w:left="300"/>
              <w:spacing w:after="0"/>
              <w:rPr>
                <w:sz w:val="20"/>
                <w:szCs w:val="20"/>
                <w:color w:val="auto"/>
              </w:rPr>
            </w:pPr>
            <w:r>
              <w:rPr>
                <w:rFonts w:ascii="Arial" w:cs="Arial" w:eastAsia="Arial" w:hAnsi="Arial"/>
                <w:sz w:val="14"/>
                <w:szCs w:val="14"/>
                <w:color w:val="auto"/>
              </w:rPr>
              <w:t>Net interest margin - tax equivalent</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3.04 %</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3.68 %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-2792095</wp:posOffset>
            </wp:positionV>
            <wp:extent cx="179705"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-2792095</wp:posOffset>
            </wp:positionV>
            <wp:extent cx="179705"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-2792095</wp:posOffset>
            </wp:positionV>
            <wp:extent cx="171450"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-2792095</wp:posOffset>
            </wp:positionV>
            <wp:extent cx="163195"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-2526030</wp:posOffset>
            </wp:positionV>
            <wp:extent cx="179705"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-2526030</wp:posOffset>
            </wp:positionV>
            <wp:extent cx="171450"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-1849120</wp:posOffset>
            </wp:positionV>
            <wp:extent cx="179705"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-1849120</wp:posOffset>
            </wp:positionV>
            <wp:extent cx="179705"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-1849120</wp:posOffset>
            </wp:positionV>
            <wp:extent cx="17145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-1849120</wp:posOffset>
            </wp:positionV>
            <wp:extent cx="163195"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-1480185</wp:posOffset>
            </wp:positionV>
            <wp:extent cx="179705"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-1480185</wp:posOffset>
            </wp:positionV>
            <wp:extent cx="179705"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-1480185</wp:posOffset>
            </wp:positionV>
            <wp:extent cx="17145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-1480185</wp:posOffset>
            </wp:positionV>
            <wp:extent cx="163195"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-948690</wp:posOffset>
            </wp:positionV>
            <wp:extent cx="179705"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-948690</wp:posOffset>
            </wp:positionV>
            <wp:extent cx="171450"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-531495</wp:posOffset>
            </wp:positionV>
            <wp:extent cx="17970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-514985</wp:posOffset>
            </wp:positionV>
            <wp:extent cx="17970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-531495</wp:posOffset>
            </wp:positionV>
            <wp:extent cx="16319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-514985</wp:posOffset>
            </wp:positionV>
            <wp:extent cx="16319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162" w:lineRule="exact"/>
        <w:rPr>
          <w:sz w:val="20"/>
          <w:szCs w:val="20"/>
          <w:color w:val="auto"/>
        </w:rPr>
      </w:pPr>
    </w:p>
    <w:p>
      <w:pPr>
        <w:ind w:left="980" w:right="140" w:hanging="409"/>
        <w:spacing w:after="0" w:line="264"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tax equivalent (TE) adjustments utilizing federal statutory rates of 21% in effect for the nine months ended September 30, 2021 and 2020. The non TE rates for tax-advantaged AFS investment securities were 2.49% and 2.28% for the nine months ended September 30, 2021 and 2020 respectively. The non TE rates for total AFS investment securities were 1.55% and 2.16% for the nine months ended September 30, 2021 and 2020, respectively.</w:t>
      </w:r>
    </w:p>
    <w:p>
      <w:pPr>
        <w:spacing w:after="0" w:line="1" w:lineRule="exact"/>
        <w:rPr>
          <w:rFonts w:ascii="Arial" w:cs="Arial" w:eastAsia="Arial" w:hAnsi="Arial"/>
          <w:sz w:val="14"/>
          <w:szCs w:val="14"/>
          <w:color w:val="auto"/>
        </w:rPr>
      </w:pPr>
    </w:p>
    <w:p>
      <w:pPr>
        <w:ind w:left="980" w:right="440" w:hanging="403"/>
        <w:spacing w:after="0" w:line="261"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loan fees of $23.2 million and $15.3 million for nine months ended September 30, 2021 and 2020, respectively. Prepayment penalty fees of $7.1 million and $5.4 million are included in interest income for the nine months ended September 30, 2021 and 2020, respectively.</w:t>
      </w:r>
    </w:p>
    <w:p>
      <w:pPr>
        <w:ind w:left="980" w:hanging="409"/>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interest-bearing demand and money market accounts.</w:t>
      </w:r>
    </w:p>
    <w:p>
      <w:pPr>
        <w:spacing w:after="0" w:line="215" w:lineRule="exact"/>
        <w:rPr>
          <w:sz w:val="20"/>
          <w:szCs w:val="20"/>
          <w:color w:val="auto"/>
        </w:rPr>
      </w:pPr>
    </w:p>
    <w:p>
      <w:pPr>
        <w:ind w:right="360" w:firstLine="562"/>
        <w:spacing w:after="0" w:line="314" w:lineRule="auto"/>
        <w:rPr>
          <w:sz w:val="20"/>
          <w:szCs w:val="20"/>
          <w:color w:val="auto"/>
        </w:rPr>
      </w:pPr>
      <w:r>
        <w:rPr>
          <w:rFonts w:ascii="Arial" w:cs="Arial" w:eastAsia="Arial" w:hAnsi="Arial"/>
          <w:sz w:val="16"/>
          <w:szCs w:val="16"/>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non TE interest rate. The change in interest income or expense attributable to changes in interest rates is calculated by multiplying the change in non TE interest rate by the initial volume. The changes attributable to interest rate and volume changes are calculated by multiplying the change in rate times the change in volume.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Rate and Volume Analysis for Changes in Interest Income, Interest Expense and Net Interest Income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9"/>
          </w:tcPr>
          <w:p>
            <w:pPr>
              <w:jc w:val="center"/>
              <w:ind w:left="619"/>
              <w:spacing w:after="0"/>
              <w:rPr>
                <w:sz w:val="20"/>
                <w:szCs w:val="20"/>
                <w:color w:val="auto"/>
              </w:rPr>
            </w:pPr>
            <w:r>
              <w:rPr>
                <w:rFonts w:ascii="Arial" w:cs="Arial" w:eastAsia="Arial" w:hAnsi="Arial"/>
                <w:sz w:val="16"/>
                <w:szCs w:val="16"/>
                <w:b w:val="1"/>
                <w:bCs w:val="1"/>
                <w:color w:val="auto"/>
                <w:w w:val="91"/>
              </w:rPr>
              <w:t>Comparison of Three Months Ended September 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0"/>
              </w:rPr>
              <w:t>2021 Compared to 2020</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w w:val="90"/>
              </w:rPr>
              <w:t>Increase (Decrease) Due to</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Rate/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Volume</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Rate</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Volume</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5"/>
          </w:tcPr>
          <w:p>
            <w:pPr>
              <w:jc w:val="center"/>
              <w:ind w:right="560"/>
              <w:spacing w:after="0"/>
              <w:rPr>
                <w:sz w:val="20"/>
                <w:szCs w:val="20"/>
                <w:color w:val="auto"/>
              </w:rPr>
            </w:pPr>
            <w:r>
              <w:rPr>
                <w:rFonts w:ascii="Arial" w:cs="Arial" w:eastAsia="Arial" w:hAnsi="Arial"/>
                <w:sz w:val="16"/>
                <w:szCs w:val="16"/>
                <w:i w:val="1"/>
                <w:iCs w:val="1"/>
                <w:color w:val="auto"/>
                <w:w w:val="93"/>
              </w:rPr>
              <w:t>(Dollars in thousands)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Arial" w:cs="Arial" w:eastAsia="Arial" w:hAnsi="Arial"/>
                <w:sz w:val="16"/>
                <w:szCs w:val="16"/>
                <w:color w:val="auto"/>
              </w:rPr>
              <w:t>Available-for-sale securities: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Taxable investment securities</w:t>
            </w:r>
          </w:p>
        </w:tc>
        <w:tc>
          <w:tcPr>
            <w:tcW w:w="220" w:type="dxa"/>
            <w:vAlign w:val="bottom"/>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4,821</w:t>
            </w: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(2,173 )</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(1,262 )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380"/>
              <w:spacing w:after="0"/>
              <w:rPr>
                <w:sz w:val="20"/>
                <w:szCs w:val="20"/>
                <w:color w:val="auto"/>
              </w:rPr>
            </w:pPr>
            <w:r>
              <w:rPr>
                <w:rFonts w:ascii="Arial" w:cs="Arial" w:eastAsia="Arial" w:hAnsi="Arial"/>
                <w:sz w:val="16"/>
                <w:szCs w:val="16"/>
                <w:color w:val="auto"/>
              </w:rPr>
              <w:t>Tax-advantaged investment securities</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(36 )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(3 )</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Held-to-maturity securities: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380"/>
              <w:spacing w:after="0"/>
              <w:rPr>
                <w:sz w:val="20"/>
                <w:szCs w:val="20"/>
                <w:color w:val="auto"/>
              </w:rPr>
            </w:pPr>
            <w:r>
              <w:rPr>
                <w:rFonts w:ascii="Arial" w:cs="Arial" w:eastAsia="Arial" w:hAnsi="Arial"/>
                <w:sz w:val="16"/>
                <w:szCs w:val="16"/>
                <w:color w:val="auto"/>
              </w:rPr>
              <w:t>Taxable investment securities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(229 )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(232 )</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Tax-advantaged investment securities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(210 )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(44 )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Arial" w:cs="Arial" w:eastAsia="Arial" w:hAnsi="Arial"/>
                <w:sz w:val="16"/>
                <w:szCs w:val="16"/>
                <w:color w:val="auto"/>
              </w:rPr>
              <w:t>Investment in FHLB stock</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Interest-earning deposits with other institutions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Arial" w:cs="Arial" w:eastAsia="Arial" w:hAnsi="Arial"/>
                <w:sz w:val="16"/>
                <w:szCs w:val="16"/>
                <w:color w:val="auto"/>
              </w:rPr>
              <w:t>Loans</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(4,838 )</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(796 )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(176 )</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(5,810 )</w:t>
            </w:r>
          </w:p>
        </w:tc>
        <w:tc>
          <w:tcPr>
            <w:tcW w:w="0" w:type="dxa"/>
            <w:vAlign w:val="bottom"/>
          </w:tcPr>
          <w:p>
            <w:pPr>
              <w:spacing w:after="0"/>
              <w:rPr>
                <w:sz w:val="1"/>
                <w:szCs w:val="1"/>
                <w:color w:val="auto"/>
              </w:rPr>
            </w:pPr>
          </w:p>
        </w:tc>
      </w:tr>
      <w:tr>
        <w:trPr>
          <w:trHeight w:val="23"/>
        </w:trPr>
        <w:tc>
          <w:tcPr>
            <w:tcW w:w="54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interest income</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2,701</w:t>
            </w:r>
          </w:p>
        </w:tc>
        <w:tc>
          <w:tcPr>
            <w:tcW w:w="280" w:type="dxa"/>
            <w:vAlign w:val="bottom"/>
            <w:tcBorders>
              <w:lef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(3,166 )</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(1,614 )</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(2,079 )</w:t>
            </w:r>
          </w:p>
        </w:tc>
        <w:tc>
          <w:tcPr>
            <w:tcW w:w="0" w:type="dxa"/>
            <w:vAlign w:val="bottom"/>
          </w:tcPr>
          <w:p>
            <w:pPr>
              <w:spacing w:after="0"/>
              <w:rPr>
                <w:sz w:val="1"/>
                <w:szCs w:val="1"/>
                <w:color w:val="auto"/>
              </w:rPr>
            </w:pPr>
          </w:p>
        </w:tc>
      </w:tr>
      <w:tr>
        <w:trPr>
          <w:trHeight w:val="449"/>
        </w:trPr>
        <w:tc>
          <w:tcPr>
            <w:tcW w:w="54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Savings deposits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(1,181 )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(194 )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(1,043 )</w:t>
            </w: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(100 )</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(384 )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(318 )</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(802 )</w:t>
            </w:r>
          </w:p>
        </w:tc>
        <w:tc>
          <w:tcPr>
            <w:tcW w:w="0" w:type="dxa"/>
            <w:vAlign w:val="bottom"/>
          </w:tcPr>
          <w:p>
            <w:pPr>
              <w:spacing w:after="0"/>
              <w:rPr>
                <w:sz w:val="1"/>
                <w:szCs w:val="1"/>
                <w:color w:val="auto"/>
              </w:rPr>
            </w:pPr>
          </w:p>
        </w:tc>
      </w:tr>
      <w:tr>
        <w:trPr>
          <w:trHeight w:val="216"/>
        </w:trPr>
        <w:tc>
          <w:tcPr>
            <w:tcW w:w="5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FHLB advances, other borrowings, and</w:t>
            </w:r>
          </w:p>
        </w:tc>
        <w:tc>
          <w:tcPr>
            <w:tcW w:w="2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8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(228 )</w:t>
            </w:r>
          </w:p>
        </w:tc>
        <w:tc>
          <w:tcPr>
            <w:tcW w:w="2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(41 )</w:t>
            </w:r>
          </w:p>
        </w:tc>
        <w:tc>
          <w:tcPr>
            <w:tcW w:w="30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98"/>
        </w:trPr>
        <w:tc>
          <w:tcPr>
            <w:tcW w:w="5420" w:type="dxa"/>
            <w:vAlign w:val="bottom"/>
            <w:tcBorders>
              <w:right w:val="single" w:sz="8" w:color="CFF0FC"/>
            </w:tcBorders>
            <w:vMerge w:val="restart"/>
            <w:shd w:val="clear" w:color="auto" w:fill="CFF0FC"/>
          </w:tcPr>
          <w:p>
            <w:pPr>
              <w:ind w:left="320"/>
              <w:spacing w:after="0"/>
              <w:rPr>
                <w:sz w:val="20"/>
                <w:szCs w:val="20"/>
                <w:color w:val="auto"/>
              </w:rPr>
            </w:pPr>
            <w:r>
              <w:rPr>
                <w:rFonts w:ascii="Arial" w:cs="Arial" w:eastAsia="Arial" w:hAnsi="Arial"/>
                <w:sz w:val="16"/>
                <w:szCs w:val="16"/>
                <w:color w:val="auto"/>
              </w:rPr>
              <w:t>customer repurchase agreements</w:t>
            </w:r>
          </w:p>
        </w:tc>
        <w:tc>
          <w:tcPr>
            <w:tcW w:w="220" w:type="dxa"/>
            <w:vAlign w:val="bottom"/>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280" w:type="dxa"/>
            <w:vAlign w:val="bottom"/>
            <w:tcBorders>
              <w:left w:val="single" w:sz="8" w:color="CFF0FC"/>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0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420" w:type="dxa"/>
            <w:vAlign w:val="bottom"/>
            <w:tcBorders>
              <w:bottom w:val="single" w:sz="8" w:color="CFF0FC"/>
              <w:right w:val="single" w:sz="8" w:color="CFF0FC"/>
            </w:tcBorders>
            <w:vMerge w:val="continue"/>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80" w:type="dxa"/>
            <w:vAlign w:val="bottom"/>
            <w:tcBorders>
              <w:left w:val="single" w:sz="8" w:color="CFF0FC"/>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80"/>
              <w:spacing w:after="0"/>
              <w:rPr>
                <w:sz w:val="20"/>
                <w:szCs w:val="20"/>
                <w:color w:val="auto"/>
              </w:rPr>
            </w:pPr>
            <w:r>
              <w:rPr>
                <w:rFonts w:ascii="Arial" w:cs="Arial" w:eastAsia="Arial" w:hAnsi="Arial"/>
                <w:sz w:val="16"/>
                <w:szCs w:val="16"/>
                <w:color w:val="auto"/>
              </w:rPr>
              <w:t>Total interest expense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(1,793 )</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(553 )</w:t>
            </w: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(2,053 )</w:t>
            </w:r>
          </w:p>
        </w:tc>
        <w:tc>
          <w:tcPr>
            <w:tcW w:w="0" w:type="dxa"/>
            <w:vAlign w:val="bottom"/>
          </w:tcPr>
          <w:p>
            <w:pPr>
              <w:spacing w:after="0"/>
              <w:rPr>
                <w:sz w:val="1"/>
                <w:szCs w:val="1"/>
                <w:color w:val="auto"/>
              </w:rPr>
            </w:pPr>
          </w:p>
        </w:tc>
      </w:tr>
      <w:tr>
        <w:trPr>
          <w:trHeight w:val="23"/>
        </w:trPr>
        <w:tc>
          <w:tcPr>
            <w:tcW w:w="54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5420" w:type="dxa"/>
            <w:vAlign w:val="bottom"/>
            <w:tcBorders>
              <w:right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interest income</w:t>
            </w:r>
          </w:p>
        </w:tc>
        <w:tc>
          <w:tcPr>
            <w:tcW w:w="220" w:type="dxa"/>
            <w:vAlign w:val="bottom"/>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2,408</w:t>
            </w:r>
          </w:p>
        </w:tc>
        <w:tc>
          <w:tcPr>
            <w:tcW w:w="280" w:type="dxa"/>
            <w:vAlign w:val="bottom"/>
            <w:tcBorders>
              <w:left w:val="single" w:sz="8" w:color="CFF0FC"/>
            </w:tcBorders>
            <w:shd w:val="clear" w:color="auto" w:fill="CFF0FC"/>
          </w:tcPr>
          <w:p>
            <w:pPr>
              <w:spacing w:after="0"/>
              <w:rPr>
                <w:sz w:val="21"/>
                <w:szCs w:val="21"/>
                <w:color w:val="auto"/>
              </w:rPr>
            </w:pPr>
          </w:p>
        </w:tc>
        <w:tc>
          <w:tcPr>
            <w:tcW w:w="260" w:type="dxa"/>
            <w:vAlign w:val="bottom"/>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(1,373 )</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(1,061 )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9"/>
          </w:tcPr>
          <w:p>
            <w:pPr>
              <w:jc w:val="center"/>
              <w:ind w:left="639"/>
              <w:spacing w:after="0"/>
              <w:rPr>
                <w:sz w:val="20"/>
                <w:szCs w:val="20"/>
                <w:color w:val="auto"/>
              </w:rPr>
            </w:pPr>
            <w:r>
              <w:rPr>
                <w:rFonts w:ascii="Arial" w:cs="Arial" w:eastAsia="Arial" w:hAnsi="Arial"/>
                <w:sz w:val="16"/>
                <w:szCs w:val="16"/>
                <w:b w:val="1"/>
                <w:bCs w:val="1"/>
                <w:color w:val="auto"/>
                <w:w w:val="91"/>
              </w:rPr>
              <w:t>Comparison of Nine Months Ended September 30,</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1"/>
              </w:rPr>
              <w:t>2021 Compared to 2020</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6"/>
                <w:szCs w:val="16"/>
                <w:b w:val="1"/>
                <w:bCs w:val="1"/>
                <w:color w:val="auto"/>
                <w:w w:val="89"/>
              </w:rPr>
              <w:t>Increase (Decrease) Due to</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Rate/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Volume</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Rate</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Volume</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5"/>
          </w:tcPr>
          <w:p>
            <w:pPr>
              <w:jc w:val="center"/>
              <w:ind w:right="540"/>
              <w:spacing w:after="0"/>
              <w:rPr>
                <w:sz w:val="20"/>
                <w:szCs w:val="20"/>
                <w:color w:val="auto"/>
              </w:rPr>
            </w:pPr>
            <w:r>
              <w:rPr>
                <w:rFonts w:ascii="Arial" w:cs="Arial" w:eastAsia="Arial" w:hAnsi="Arial"/>
                <w:sz w:val="16"/>
                <w:szCs w:val="16"/>
                <w:i w:val="1"/>
                <w:iCs w:val="1"/>
                <w:color w:val="auto"/>
                <w:w w:val="95"/>
              </w:rPr>
              <w:t>(Dollars in thousands)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Arial" w:cs="Arial" w:eastAsia="Arial" w:hAnsi="Arial"/>
                <w:sz w:val="16"/>
                <w:szCs w:val="16"/>
                <w:color w:val="auto"/>
              </w:rPr>
              <w:t>Available-for-sale securities: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Taxable investment securities</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15,575</w:t>
            </w: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(8,834 )</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(5,230 )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380"/>
              <w:spacing w:after="0"/>
              <w:rPr>
                <w:sz w:val="20"/>
                <w:szCs w:val="20"/>
                <w:color w:val="auto"/>
              </w:rPr>
            </w:pPr>
            <w:r>
              <w:rPr>
                <w:rFonts w:ascii="Arial" w:cs="Arial" w:eastAsia="Arial" w:hAnsi="Arial"/>
                <w:sz w:val="16"/>
                <w:szCs w:val="16"/>
                <w:color w:val="auto"/>
              </w:rPr>
              <w:t>Tax-advantaged investment securities</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(119 )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(10 )</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Held-to-maturity securities: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380"/>
              <w:spacing w:after="0"/>
              <w:rPr>
                <w:sz w:val="20"/>
                <w:szCs w:val="20"/>
                <w:color w:val="auto"/>
              </w:rPr>
            </w:pPr>
            <w:r>
              <w:rPr>
                <w:rFonts w:ascii="Arial" w:cs="Arial" w:eastAsia="Arial" w:hAnsi="Arial"/>
                <w:sz w:val="16"/>
                <w:szCs w:val="16"/>
                <w:color w:val="auto"/>
              </w:rPr>
              <w:t>Taxable investment securities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(889 )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(704 )</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Tax-advantaged investment securities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(669 )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(88 )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(282 )</w:t>
            </w: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Arial" w:cs="Arial" w:eastAsia="Arial" w:hAnsi="Arial"/>
                <w:sz w:val="16"/>
                <w:szCs w:val="16"/>
                <w:color w:val="auto"/>
              </w:rPr>
              <w:t>Investment in FHLB stock</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(3 )</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Interest-earning deposits with other institutions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w:t>
            </w: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(401 )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(413 )</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Arial" w:cs="Arial" w:eastAsia="Arial" w:hAnsi="Arial"/>
                <w:sz w:val="16"/>
                <w:szCs w:val="16"/>
                <w:color w:val="auto"/>
              </w:rPr>
              <w:t>Loans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6,231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(15,652 )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(337 )</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(9,758 )</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interest income</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28,581</w:t>
            </w:r>
          </w:p>
        </w:tc>
        <w:tc>
          <w:tcPr>
            <w:tcW w:w="280" w:type="dxa"/>
            <w:vAlign w:val="bottom"/>
            <w:tcBorders>
              <w:lef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(26,393 )</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(6,782 )</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(4,594 )</w:t>
            </w:r>
          </w:p>
        </w:tc>
        <w:tc>
          <w:tcPr>
            <w:tcW w:w="0" w:type="dxa"/>
            <w:vAlign w:val="bottom"/>
          </w:tcPr>
          <w:p>
            <w:pPr>
              <w:spacing w:after="0"/>
              <w:rPr>
                <w:sz w:val="1"/>
                <w:szCs w:val="1"/>
                <w:color w:val="auto"/>
              </w:rPr>
            </w:pPr>
          </w:p>
        </w:tc>
      </w:tr>
      <w:tr>
        <w:trPr>
          <w:trHeight w:val="449"/>
        </w:trPr>
        <w:tc>
          <w:tcPr>
            <w:tcW w:w="54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Savings deposits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1,697</w:t>
            </w:r>
          </w:p>
        </w:tc>
        <w:tc>
          <w:tcPr>
            <w:tcW w:w="28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(4,496 )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(1,069 )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(3,868 )</w:t>
            </w:r>
          </w:p>
        </w:tc>
        <w:tc>
          <w:tcPr>
            <w:tcW w:w="0" w:type="dxa"/>
            <w:vAlign w:val="bottom"/>
          </w:tcPr>
          <w:p>
            <w:pPr>
              <w:spacing w:after="0"/>
              <w:rPr>
                <w:sz w:val="1"/>
                <w:szCs w:val="1"/>
                <w:color w:val="auto"/>
              </w:rPr>
            </w:pPr>
          </w:p>
        </w:tc>
      </w:tr>
      <w:tr>
        <w:trPr>
          <w:trHeight w:val="220"/>
        </w:trPr>
        <w:tc>
          <w:tcPr>
            <w:tcW w:w="5420" w:type="dxa"/>
            <w:vAlign w:val="bottom"/>
          </w:tcPr>
          <w:p>
            <w:pPr>
              <w:ind w:left="20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(398 )</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(1,689 )</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(1,859 )</w:t>
            </w:r>
          </w:p>
        </w:tc>
        <w:tc>
          <w:tcPr>
            <w:tcW w:w="0" w:type="dxa"/>
            <w:vAlign w:val="bottom"/>
          </w:tcPr>
          <w:p>
            <w:pPr>
              <w:spacing w:after="0"/>
              <w:rPr>
                <w:sz w:val="1"/>
                <w:szCs w:val="1"/>
                <w:color w:val="auto"/>
              </w:rPr>
            </w:pPr>
          </w:p>
        </w:tc>
      </w:tr>
      <w:tr>
        <w:trPr>
          <w:trHeight w:val="216"/>
        </w:trPr>
        <w:tc>
          <w:tcPr>
            <w:tcW w:w="54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FHLB advances, other borrowings, and</w:t>
            </w:r>
          </w:p>
        </w:tc>
        <w:tc>
          <w:tcPr>
            <w:tcW w:w="2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297</w:t>
            </w:r>
          </w:p>
        </w:tc>
        <w:tc>
          <w:tcPr>
            <w:tcW w:w="28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(925 )</w:t>
            </w:r>
          </w:p>
        </w:tc>
        <w:tc>
          <w:tcPr>
            <w:tcW w:w="2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(194 )</w:t>
            </w:r>
          </w:p>
        </w:tc>
        <w:tc>
          <w:tcPr>
            <w:tcW w:w="30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(822 )</w:t>
            </w:r>
          </w:p>
        </w:tc>
        <w:tc>
          <w:tcPr>
            <w:tcW w:w="0" w:type="dxa"/>
            <w:vAlign w:val="bottom"/>
          </w:tcPr>
          <w:p>
            <w:pPr>
              <w:spacing w:after="0"/>
              <w:rPr>
                <w:sz w:val="1"/>
                <w:szCs w:val="1"/>
                <w:color w:val="auto"/>
              </w:rPr>
            </w:pPr>
          </w:p>
        </w:tc>
      </w:tr>
      <w:tr>
        <w:trPr>
          <w:trHeight w:val="98"/>
        </w:trPr>
        <w:tc>
          <w:tcPr>
            <w:tcW w:w="5420" w:type="dxa"/>
            <w:vAlign w:val="bottom"/>
            <w:tcBorders>
              <w:right w:val="single" w:sz="8" w:color="CFF0FC"/>
            </w:tcBorders>
            <w:vMerge w:val="restart"/>
            <w:shd w:val="clear" w:color="auto" w:fill="CFF0FC"/>
          </w:tcPr>
          <w:p>
            <w:pPr>
              <w:ind w:left="320"/>
              <w:spacing w:after="0"/>
              <w:rPr>
                <w:sz w:val="20"/>
                <w:szCs w:val="20"/>
                <w:color w:val="auto"/>
              </w:rPr>
            </w:pPr>
            <w:r>
              <w:rPr>
                <w:rFonts w:ascii="Arial" w:cs="Arial" w:eastAsia="Arial" w:hAnsi="Arial"/>
                <w:sz w:val="16"/>
                <w:szCs w:val="16"/>
                <w:color w:val="auto"/>
              </w:rPr>
              <w:t>customer repurchase agreements</w:t>
            </w:r>
          </w:p>
        </w:tc>
        <w:tc>
          <w:tcPr>
            <w:tcW w:w="220" w:type="dxa"/>
            <w:vAlign w:val="bottom"/>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280" w:type="dxa"/>
            <w:vAlign w:val="bottom"/>
            <w:tcBorders>
              <w:left w:val="single" w:sz="8" w:color="CFF0FC"/>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0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420" w:type="dxa"/>
            <w:vAlign w:val="bottom"/>
            <w:tcBorders>
              <w:bottom w:val="single" w:sz="8" w:color="CFF0FC"/>
              <w:right w:val="single" w:sz="8" w:color="CFF0FC"/>
            </w:tcBorders>
            <w:vMerge w:val="continue"/>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80" w:type="dxa"/>
            <w:vAlign w:val="bottom"/>
            <w:tcBorders>
              <w:left w:val="single" w:sz="8" w:color="CFF0FC"/>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80"/>
              <w:spacing w:after="0"/>
              <w:rPr>
                <w:sz w:val="20"/>
                <w:szCs w:val="20"/>
                <w:color w:val="auto"/>
              </w:rPr>
            </w:pPr>
            <w:r>
              <w:rPr>
                <w:rFonts w:ascii="Arial" w:cs="Arial" w:eastAsia="Arial" w:hAnsi="Arial"/>
                <w:sz w:val="16"/>
                <w:szCs w:val="16"/>
                <w:color w:val="auto"/>
              </w:rPr>
              <w:t>Total interest expense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(7,110 )</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(1,035 )</w:t>
            </w: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(6,549 )</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5420" w:type="dxa"/>
            <w:vAlign w:val="bottom"/>
            <w:tcBorders>
              <w:right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interest income</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26,985</w:t>
            </w:r>
          </w:p>
        </w:tc>
        <w:tc>
          <w:tcPr>
            <w:tcW w:w="280" w:type="dxa"/>
            <w:vAlign w:val="bottom"/>
            <w:tcBorders>
              <w:left w:val="single" w:sz="8" w:color="CFF0FC"/>
            </w:tcBorders>
            <w:shd w:val="clear" w:color="auto" w:fill="CFF0FC"/>
          </w:tcPr>
          <w:p>
            <w:pPr>
              <w:spacing w:after="0"/>
              <w:rPr>
                <w:sz w:val="21"/>
                <w:szCs w:val="21"/>
                <w:color w:val="auto"/>
              </w:rPr>
            </w:pP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(19,283 )</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(5,747 )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-5019675</wp:posOffset>
            </wp:positionV>
            <wp:extent cx="171450" cy="57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-5019675</wp:posOffset>
            </wp:positionV>
            <wp:extent cx="154305"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-5019675</wp:posOffset>
            </wp:positionV>
            <wp:extent cx="154305"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-5019675</wp:posOffset>
            </wp:positionV>
            <wp:extent cx="68580"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-4162425</wp:posOffset>
            </wp:positionV>
            <wp:extent cx="171450"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-4162425</wp:posOffset>
            </wp:positionV>
            <wp:extent cx="154305"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-4162425</wp:posOffset>
            </wp:positionV>
            <wp:extent cx="154305"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-4162425</wp:posOffset>
            </wp:positionV>
            <wp:extent cx="68580"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-3856990</wp:posOffset>
            </wp:positionV>
            <wp:extent cx="17145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-3839845</wp:posOffset>
            </wp:positionV>
            <wp:extent cx="17145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-3856990</wp:posOffset>
            </wp:positionV>
            <wp:extent cx="15430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-3839845</wp:posOffset>
            </wp:positionV>
            <wp:extent cx="15430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-3856990</wp:posOffset>
            </wp:positionV>
            <wp:extent cx="15430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-3839845</wp:posOffset>
            </wp:positionV>
            <wp:extent cx="15430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-1188085</wp:posOffset>
            </wp:positionV>
            <wp:extent cx="171450"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-1188085</wp:posOffset>
            </wp:positionV>
            <wp:extent cx="154305"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-1188085</wp:posOffset>
            </wp:positionV>
            <wp:extent cx="154305"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-1188085</wp:posOffset>
            </wp:positionV>
            <wp:extent cx="68580"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-330835</wp:posOffset>
            </wp:positionV>
            <wp:extent cx="171450"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-330835</wp:posOffset>
            </wp:positionV>
            <wp:extent cx="154305" cy="5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-330835</wp:posOffset>
            </wp:positionV>
            <wp:extent cx="154305"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wp:posOffset>
            </wp:positionV>
            <wp:extent cx="68580"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17145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17145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15430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15430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15430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15430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4" w:name="page45"/>
    <w:bookmarkEnd w:id="44"/>
    <w:p>
      <w:pPr>
        <w:ind w:left="480"/>
        <w:spacing w:after="0"/>
        <w:rPr>
          <w:sz w:val="20"/>
          <w:szCs w:val="20"/>
          <w:color w:val="auto"/>
        </w:rPr>
      </w:pPr>
      <w:r>
        <w:rPr>
          <w:rFonts w:ascii="Arial" w:cs="Arial" w:eastAsia="Arial" w:hAnsi="Arial"/>
          <w:sz w:val="18"/>
          <w:szCs w:val="18"/>
          <w:i w:val="1"/>
          <w:iCs w:val="1"/>
          <w:color w:val="auto"/>
        </w:rPr>
        <w:t>Third Quarter of 2021 Compared to the Third Quarter of 2020</w:t>
      </w:r>
    </w:p>
    <w:p>
      <w:pPr>
        <w:spacing w:after="0" w:line="212" w:lineRule="exact"/>
        <w:rPr>
          <w:sz w:val="20"/>
          <w:szCs w:val="20"/>
          <w:color w:val="auto"/>
        </w:rPr>
      </w:pPr>
    </w:p>
    <w:p>
      <w:pPr>
        <w:ind w:firstLine="469"/>
        <w:spacing w:after="0" w:line="275" w:lineRule="auto"/>
        <w:rPr>
          <w:sz w:val="20"/>
          <w:szCs w:val="20"/>
          <w:color w:val="auto"/>
        </w:rPr>
      </w:pPr>
      <w:r>
        <w:rPr>
          <w:rFonts w:ascii="Arial" w:cs="Arial" w:eastAsia="Arial" w:hAnsi="Arial"/>
          <w:sz w:val="18"/>
          <w:szCs w:val="18"/>
          <w:color w:val="auto"/>
        </w:rPr>
        <w:t>Net interest income, before recapture of provision for credit losses, of $103.3 million in the third quarter of 2021 was essentially the same as the third quarter of 2020, as the growth in interest-earning assets was offset by a decline in our net interest margin. Interest-earning assets increased on average by $1.91 billion, or 15.26%, from $12.50 billion for the third quarter of 2020 to $14.40 billion for the third quarter of 2021. Our net interest margin (TE) was 2.89% for the third quarter of 2021, compared to 3.34% for the third quarter of 2020.</w:t>
      </w:r>
    </w:p>
    <w:p>
      <w:pPr>
        <w:spacing w:after="0" w:line="199" w:lineRule="exact"/>
        <w:rPr>
          <w:sz w:val="20"/>
          <w:szCs w:val="20"/>
          <w:color w:val="auto"/>
        </w:rPr>
      </w:pPr>
    </w:p>
    <w:p>
      <w:pPr>
        <w:ind w:firstLine="469"/>
        <w:spacing w:after="0" w:line="306" w:lineRule="auto"/>
        <w:rPr>
          <w:sz w:val="20"/>
          <w:szCs w:val="20"/>
          <w:color w:val="auto"/>
        </w:rPr>
      </w:pPr>
      <w:r>
        <w:rPr>
          <w:rFonts w:ascii="Arial" w:cs="Arial" w:eastAsia="Arial" w:hAnsi="Arial"/>
          <w:sz w:val="16"/>
          <w:szCs w:val="16"/>
          <w:color w:val="auto"/>
        </w:rPr>
        <w:t>Interest income for the third quarter of 2021 was $104.5 million, which represented a $2.1 million, or 1.95%, decrease when compared to the same period of 2020. Average interest-earning assets increased to $14.40 billion and the average interest-earning asset yield was 2.92% for the third quarter of 2021, compared to 3.45% for the third quarter of 2020. The 53 basis point decrease in the average interest-earning asset yield compared to the third quarter of 2020, was primarily due to a combination of a 41 basis point decrease in the non-tax equivalent investment yields, a 4 basis point decrease in loan yields, and a change in mix of average earning assets, with loan balances declining to 54.97% of earning assets on average for the third quarter of 2021, compared to 67.08% for the third quarter of 2020. Average balances at the Federal Reserve grew to 16.17% of earning assets for the third quarter of 2021, compared to 11.62% for the third quarter of 2020. The increase in balances at the Federal Reserve was impacted by $1.78 billion in average deposit growth compared to the third quarter of 2020. The net interest margin for the third quarter of 2021 would have been approximately 19 basis points higher without the $876.6 million year-over-year increase in average deposits at the Federal Reserve, earning 15 basis points.</w:t>
      </w:r>
    </w:p>
    <w:p>
      <w:pPr>
        <w:spacing w:after="0" w:line="184" w:lineRule="exact"/>
        <w:rPr>
          <w:sz w:val="20"/>
          <w:szCs w:val="20"/>
          <w:color w:val="auto"/>
        </w:rPr>
      </w:pPr>
    </w:p>
    <w:p>
      <w:pPr>
        <w:ind w:right="40" w:firstLine="469"/>
        <w:spacing w:after="0" w:line="270" w:lineRule="auto"/>
        <w:rPr>
          <w:sz w:val="20"/>
          <w:szCs w:val="20"/>
          <w:color w:val="auto"/>
        </w:rPr>
      </w:pPr>
      <w:r>
        <w:rPr>
          <w:rFonts w:ascii="Arial" w:cs="Arial" w:eastAsia="Arial" w:hAnsi="Arial"/>
          <w:sz w:val="18"/>
          <w:szCs w:val="18"/>
          <w:color w:val="auto"/>
        </w:rPr>
        <w:t>Interest income and fees on loans for the third quarter of 2021 of $88.4 million decreased $5.8 million, or 6.17%, when compared to the third quarter of 2020. Average loans decreased $465.8 million for the third quarter of 2021 when compared with the same period of 2020. The decrease in average loans included a $336.7 million decrease in average PPP loans. PPP loans generated approximately $6.6 million in amortized loan fee income and $1.3 million in loan interest during the third quarter of 2021. This compares to $9.5 million in loan fee and interest income in the third quarter of 2020. Discount accretion on acquired loans decreased by $1.6 million compared to the third quarter of 2020. The significant decline in interest rates since the start of the pandemic has had a negative impact on loan yields, which after excluding the impact from PPP loans, discount accretion and nonaccrual interest income, declined by 23 basis points from the third quarter of 2020.</w:t>
      </w:r>
    </w:p>
    <w:p>
      <w:pPr>
        <w:spacing w:after="0" w:line="206" w:lineRule="exact"/>
        <w:rPr>
          <w:sz w:val="20"/>
          <w:szCs w:val="20"/>
          <w:color w:val="auto"/>
        </w:rPr>
      </w:pPr>
    </w:p>
    <w:p>
      <w:pPr>
        <w:ind w:right="20" w:firstLine="469"/>
        <w:spacing w:after="0" w:line="271" w:lineRule="auto"/>
        <w:rPr>
          <w:sz w:val="20"/>
          <w:szCs w:val="20"/>
          <w:color w:val="auto"/>
        </w:rPr>
      </w:pPr>
      <w:r>
        <w:rPr>
          <w:rFonts w:ascii="Arial" w:cs="Arial" w:eastAsia="Arial" w:hAnsi="Arial"/>
          <w:sz w:val="18"/>
          <w:szCs w:val="18"/>
          <w:color w:val="auto"/>
        </w:rPr>
        <w:t>Interest income from investment securities was $15.0 million for the third quarter of 2021, a $3.2 million, or 26.89%, increase from $11.8 million for the third quarter of 2020. This increase was primarily the result of a $1.51 billion increase in average investment securities, when compared to the same period of 2020, as a result of purchases of investment securities funded by the growth in the Bank's deposits. Partially offsetting the increase in interest revenue from higher levels of investment securities was a 41 basis point decline in the non-tax equivalent yield on investments. The significant decline in interest rates over the past four quarters decreased yields on investment securities due to higher levels of premium amortization, as well as lower yields on investments purchased during the past four quarters.</w:t>
      </w:r>
    </w:p>
    <w:p>
      <w:pPr>
        <w:spacing w:after="0" w:line="204" w:lineRule="exact"/>
        <w:rPr>
          <w:sz w:val="20"/>
          <w:szCs w:val="20"/>
          <w:color w:val="auto"/>
        </w:rPr>
      </w:pPr>
    </w:p>
    <w:p>
      <w:pPr>
        <w:ind w:right="100" w:firstLine="469"/>
        <w:spacing w:after="0" w:line="288" w:lineRule="auto"/>
        <w:rPr>
          <w:sz w:val="20"/>
          <w:szCs w:val="20"/>
          <w:color w:val="auto"/>
        </w:rPr>
      </w:pPr>
      <w:r>
        <w:rPr>
          <w:rFonts w:ascii="Arial" w:cs="Arial" w:eastAsia="Arial" w:hAnsi="Arial"/>
          <w:sz w:val="17"/>
          <w:szCs w:val="17"/>
          <w:color w:val="auto"/>
        </w:rPr>
        <w:t>Interest expense of $1.2 million for the third quarter of 2021, decreased $2.1 million, or 62.19%, compared to the third quarter of 2020. The average rate paid on interest-bearing liabilities decreased by 19 basis points, to 0.09% for the third quarter of 2021 from 0.28% for the third quarter of 2020. Average interest-bearing liabilities were $616.9 million higher for the third quarter of 2021 when compared to the third quarter of 2020. On average, noninterest-bearing deposits were 62.94% of our total deposits for the third quarter of 2021, compared to 61.67% for the third quarter of 2020. In comparison to the third quarter of 2020, our overall cost of funds decreased by 7 basis points, partially due to growth in average noninterest-bearing deposits of $1.26 billion, compared to the increase in average interest-bearing deposits of $652.6 million. In addition, the cost of interest-bearing deposits decreased by 19 basis points for the third quarter of 2021 compared to the third quarter of 2020.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5" w:name="page46"/>
    <w:bookmarkEnd w:id="45"/>
    <w:p>
      <w:pPr>
        <w:ind w:left="480"/>
        <w:spacing w:after="0"/>
        <w:rPr>
          <w:sz w:val="20"/>
          <w:szCs w:val="20"/>
          <w:color w:val="auto"/>
        </w:rPr>
      </w:pPr>
      <w:r>
        <w:rPr>
          <w:rFonts w:ascii="Arial" w:cs="Arial" w:eastAsia="Arial" w:hAnsi="Arial"/>
          <w:sz w:val="18"/>
          <w:szCs w:val="18"/>
          <w:i w:val="1"/>
          <w:iCs w:val="1"/>
          <w:color w:val="auto"/>
        </w:rPr>
        <w:t>Nine Months of 2021 Compared to Nine Months of 2020</w:t>
      </w:r>
    </w:p>
    <w:p>
      <w:pPr>
        <w:spacing w:after="0" w:line="212" w:lineRule="exact"/>
        <w:rPr>
          <w:sz w:val="20"/>
          <w:szCs w:val="20"/>
          <w:color w:val="auto"/>
        </w:rPr>
      </w:pPr>
    </w:p>
    <w:p>
      <w:pPr>
        <w:ind w:right="20" w:firstLine="469"/>
        <w:spacing w:after="0" w:line="275" w:lineRule="auto"/>
        <w:rPr>
          <w:sz w:val="20"/>
          <w:szCs w:val="20"/>
          <w:color w:val="auto"/>
        </w:rPr>
      </w:pPr>
      <w:r>
        <w:rPr>
          <w:rFonts w:ascii="Arial" w:cs="Arial" w:eastAsia="Arial" w:hAnsi="Arial"/>
          <w:sz w:val="18"/>
          <w:szCs w:val="18"/>
          <w:color w:val="auto"/>
        </w:rPr>
        <w:t>Net interest income, before recapture of provision for credit losses, was $312.2 million for the nine months ended September 30, 2021, an increase of $2.0 million, or 0.63%, compared to $310.2 million for the same period of 2020. Interest-earning assets increased on average by $2.54 billion, or 22.39%, from $11.34 billion for the nine months ended September 30, 2020 to $13.88 billion for the current year. Our net interest margin (TE) was 3.04% for the first nine months of 2021, compared to 3.68% for the same period of 2020.</w:t>
      </w:r>
    </w:p>
    <w:p>
      <w:pPr>
        <w:spacing w:after="0" w:line="199" w:lineRule="exact"/>
        <w:rPr>
          <w:sz w:val="20"/>
          <w:szCs w:val="20"/>
          <w:color w:val="auto"/>
        </w:rPr>
      </w:pPr>
    </w:p>
    <w:p>
      <w:pPr>
        <w:ind w:firstLine="469"/>
        <w:spacing w:after="0" w:line="269" w:lineRule="auto"/>
        <w:rPr>
          <w:sz w:val="20"/>
          <w:szCs w:val="20"/>
          <w:color w:val="auto"/>
        </w:rPr>
      </w:pPr>
      <w:r>
        <w:rPr>
          <w:rFonts w:ascii="Arial" w:cs="Arial" w:eastAsia="Arial" w:hAnsi="Arial"/>
          <w:sz w:val="18"/>
          <w:szCs w:val="18"/>
          <w:color w:val="auto"/>
        </w:rPr>
        <w:t>Interest income for the nine months ended September 30, 2021 was $317.1 million, which represented a $4.6 million, or 1.43%, decrease when compared to the same period of 2020. Compared to the first nine months of 2020, average interest-earning assets increased by $2.54 billion, and the yield on interest-earning assets decreased by 73 basis points. The 73 basis point decrease in the earning asset yield over the first nine months of 2020, resulted from a 26 basis point decrease in loan yields from 4.72% for first nine months of 2020 to 4.46% for the same period of 2021, and a 65 basis point decline in tax-equivalent investment yields, as well as a change in the mix of earning assets resulting from a $973.3 million increase in average balances at the Federal Reserve. Average loans as a percentage of earning assets declined from 70.31% for the first nine months of 2020 to 58.69% for the first nine months of 2021. Conversely, average balances at the Federal Reserve grew as a percentage of earning assets from 8.09% in the prior year to 13.62% for the first nine months of 2021.</w:t>
      </w:r>
    </w:p>
    <w:p>
      <w:pPr>
        <w:spacing w:after="0" w:line="210" w:lineRule="exact"/>
        <w:rPr>
          <w:sz w:val="20"/>
          <w:szCs w:val="20"/>
          <w:color w:val="auto"/>
        </w:rPr>
      </w:pPr>
    </w:p>
    <w:p>
      <w:pPr>
        <w:ind w:right="20" w:firstLine="469"/>
        <w:spacing w:after="0" w:line="308" w:lineRule="auto"/>
        <w:rPr>
          <w:sz w:val="20"/>
          <w:szCs w:val="20"/>
          <w:color w:val="auto"/>
        </w:rPr>
      </w:pPr>
      <w:r>
        <w:rPr>
          <w:rFonts w:ascii="Arial" w:cs="Arial" w:eastAsia="Arial" w:hAnsi="Arial"/>
          <w:sz w:val="16"/>
          <w:szCs w:val="16"/>
          <w:color w:val="auto"/>
        </w:rPr>
        <w:t>Interest income and fees on loans for the first nine months of 2021 of $271.9 million decreased $9.8 million, or 3.46%, when compared to the same period of 2020. Average loans increased $171.9 million for the first nine months of 2021 when compared with the same period of 2020, primarily due to a $147.5 million increase in average PPP loans. The PPP loans generated approximately $26.4 million in loan fee and interest income during the first nine months of 2021, compared to $18.0 million for the same period in 2020. The first nine months of 2021 reflected a $2.9 million decrease in discount accretion on acquired loans and nonaccrual interest income when compared to the first nine months of 2020. Loan yields decreased by 26 basis points from the prior nine month period. Excluding the impact of PPP loans, interest income related to purchase discount accretion and nonaccrual interest income, loan yields were 29 basis points lower than the first nine months of 2020. The decline in loan yields was primarily due to lower rates on loans indexed to variable interest rates such as the Bank’s prime rate and lower yields on new loans in the low rate environment experienced for the past 12 months.</w:t>
      </w:r>
    </w:p>
    <w:p>
      <w:pPr>
        <w:spacing w:after="0" w:line="177" w:lineRule="exact"/>
        <w:rPr>
          <w:sz w:val="20"/>
          <w:szCs w:val="20"/>
          <w:color w:val="auto"/>
        </w:rPr>
      </w:pPr>
    </w:p>
    <w:p>
      <w:pPr>
        <w:ind w:firstLine="469"/>
        <w:spacing w:after="0" w:line="279" w:lineRule="auto"/>
        <w:rPr>
          <w:sz w:val="20"/>
          <w:szCs w:val="20"/>
          <w:color w:val="auto"/>
        </w:rPr>
      </w:pPr>
      <w:r>
        <w:rPr>
          <w:rFonts w:ascii="Arial" w:cs="Arial" w:eastAsia="Arial" w:hAnsi="Arial"/>
          <w:sz w:val="18"/>
          <w:szCs w:val="18"/>
          <w:color w:val="auto"/>
        </w:rPr>
        <w:t>Interest income from investment securities was $42.6 million for the nine months ended September 30, 2021, a $4.6 million increase from $38.0 million for the first nine months of 2020. This increase was the net result of a $1.39 billion increase in average investment securities, partially offset by a 61 basis point decline in the non tax-equivalent yield on securities, compared to the first nine months of 2020.</w:t>
      </w:r>
    </w:p>
    <w:p>
      <w:pPr>
        <w:spacing w:after="0" w:line="196" w:lineRule="exact"/>
        <w:rPr>
          <w:sz w:val="20"/>
          <w:szCs w:val="20"/>
          <w:color w:val="auto"/>
        </w:rPr>
      </w:pPr>
    </w:p>
    <w:p>
      <w:pPr>
        <w:ind w:right="80" w:firstLine="469"/>
        <w:spacing w:after="0" w:line="288" w:lineRule="auto"/>
        <w:rPr>
          <w:sz w:val="20"/>
          <w:szCs w:val="20"/>
          <w:color w:val="auto"/>
        </w:rPr>
      </w:pPr>
      <w:r>
        <w:rPr>
          <w:rFonts w:ascii="Arial" w:cs="Arial" w:eastAsia="Arial" w:hAnsi="Arial"/>
          <w:sz w:val="17"/>
          <w:szCs w:val="17"/>
          <w:color w:val="auto"/>
        </w:rPr>
        <w:t>Interest expense of $4.9 million for the nine months ended September 30, 2021, decreased by $6.5 million from the same period of 2020. The average rate paid on interest-bearing liabilities decreased by 22 basis points, to 0.13% for the first nine months of 2021, from 0.35% for the same period of 2020. The rate on interest-bearing deposits for the first nine months of 2021 decreased by 22 basis points from the same period in 2020. Average interest-bearing liabilities were $853.0 million higher for the first nine months of 2021 when compared with the same period of 2020. Average interest-bearing deposits grew by $746.9 million when compared to the first nine months of 2020. Average noninterest-bearing deposits represented 62.48% of our total deposits for the nine months ended September 30, 2021, compared to 61.20% for the same period of 2020. Total cost of funds for the first nine months of 2021 was 0.05%, compared with 0.15% for the same period of 2020.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Provision for (Recapture of) Credit Losses</w:t>
      </w:r>
    </w:p>
    <w:p>
      <w:pPr>
        <w:spacing w:after="0" w:line="252" w:lineRule="exact"/>
        <w:rPr>
          <w:sz w:val="20"/>
          <w:szCs w:val="20"/>
          <w:color w:val="auto"/>
        </w:rPr>
      </w:pPr>
    </w:p>
    <w:p>
      <w:pPr>
        <w:ind w:right="980" w:firstLine="469"/>
        <w:spacing w:after="0" w:line="293" w:lineRule="auto"/>
        <w:rPr>
          <w:sz w:val="20"/>
          <w:szCs w:val="20"/>
          <w:color w:val="auto"/>
        </w:rPr>
      </w:pPr>
      <w:r>
        <w:rPr>
          <w:rFonts w:ascii="Arial" w:cs="Arial" w:eastAsia="Arial" w:hAnsi="Arial"/>
          <w:sz w:val="18"/>
          <w:szCs w:val="18"/>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83" w:lineRule="exact"/>
        <w:rPr>
          <w:sz w:val="20"/>
          <w:szCs w:val="20"/>
          <w:color w:val="auto"/>
        </w:rPr>
      </w:pPr>
    </w:p>
    <w:p>
      <w:pPr>
        <w:ind w:right="80" w:firstLine="469"/>
        <w:spacing w:after="0" w:line="285" w:lineRule="auto"/>
        <w:rPr>
          <w:sz w:val="20"/>
          <w:szCs w:val="20"/>
          <w:color w:val="auto"/>
        </w:rPr>
      </w:pPr>
      <w:r>
        <w:rPr>
          <w:rFonts w:ascii="Arial" w:cs="Arial" w:eastAsia="Arial" w:hAnsi="Arial"/>
          <w:sz w:val="17"/>
          <w:szCs w:val="17"/>
          <w:color w:val="auto"/>
        </w:rPr>
        <w:t xml:space="preserve">The allowance for credit losses on loans totaled $65.4 million at September 30, 2021, compared to $93.7 million at December 31, 2020 and $93.9 million as of September 30, 2020. For the nine months ended September 30, 2021, we recaptured $25.5 million in provision for credit losses, due to the improved outlook in our forecast of certain macroeconomic variables that were influenced by the economic impact of the pandemic and government stimulus. For the nine months ended September 30, 2021, we experienced credit charge-offs of $3.0 million and total recoveries of $168,000, resulting in net charge-offs of $2.8 million. This compares to a $23.5 million credit loss provision and net charge-offs of $131,000 for the same period of 2020. The provision for credit losses during the first nine months of 2020 was primarily the result of the forecast of a significant decline in economic activity due to the impact of the COVID-19 pandemic. The ratio of the allowance for credit losses to total loans and leases outstanding, net of deferred fees and discount, as of September 30, 2021, was 0.83%. This compares to 1.12% and 1.12%, as of December 31, 2020 and September 30, 2020, respectively. When PPP loans are excluded, allowance for credit losses as a percentage of total adjusted loans and leases outstanding was 0.87% at September 30, 2021, compared to 1.25% at December 31, 2020 and 1.28% at September 30, 2020. As of September 30, 2021, remaining discounts on acquired loans were $20.7 million. Refer to the discussion of “Allowance for Credit Losses” in Item 2 –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w:t>
      </w:r>
      <w:r>
        <w:rPr>
          <w:rFonts w:ascii="Arial" w:cs="Arial" w:eastAsia="Arial" w:hAnsi="Arial"/>
          <w:sz w:val="17"/>
          <w:szCs w:val="17"/>
          <w:color w:val="auto"/>
        </w:rPr>
        <w:t>contained herein for discussion concerning observed changes in the credit quality of various components of our loan portfolio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and refinements to our methodology.</w:t>
      </w:r>
    </w:p>
    <w:p>
      <w:pPr>
        <w:spacing w:after="0" w:line="195" w:lineRule="exact"/>
        <w:rPr>
          <w:sz w:val="20"/>
          <w:szCs w:val="20"/>
          <w:color w:val="auto"/>
        </w:rPr>
      </w:pPr>
    </w:p>
    <w:p>
      <w:pPr>
        <w:jc w:val="both"/>
        <w:ind w:right="80" w:firstLine="469"/>
        <w:spacing w:after="0" w:line="319" w:lineRule="auto"/>
        <w:rPr>
          <w:sz w:val="20"/>
          <w:szCs w:val="20"/>
          <w:color w:val="auto"/>
        </w:rPr>
      </w:pPr>
      <w:r>
        <w:rPr>
          <w:rFonts w:ascii="Arial" w:cs="Arial" w:eastAsia="Arial" w:hAnsi="Arial"/>
          <w:sz w:val="16"/>
          <w:szCs w:val="16"/>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of the pandemic on our business and customers. See “Allowance for Credit Losses” under </w:t>
      </w:r>
      <w:r>
        <w:rPr>
          <w:rFonts w:ascii="Arial" w:cs="Arial" w:eastAsia="Arial" w:hAnsi="Arial"/>
          <w:sz w:val="16"/>
          <w:szCs w:val="16"/>
          <w:i w:val="1"/>
          <w:iCs w:val="1"/>
          <w:color w:val="auto"/>
        </w:rPr>
        <w:t>Analysis of Financial Condition</w:t>
      </w:r>
      <w:r>
        <w:rPr>
          <w:rFonts w:ascii="Arial" w:cs="Arial" w:eastAsia="Arial" w:hAnsi="Arial"/>
          <w:sz w:val="16"/>
          <w:szCs w:val="16"/>
          <w:color w:val="auto"/>
        </w:rPr>
        <w:t xml:space="preserve">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52" w:lineRule="exact"/>
        <w:rPr>
          <w:sz w:val="20"/>
          <w:szCs w:val="20"/>
          <w:color w:val="auto"/>
        </w:rPr>
      </w:pPr>
    </w:p>
    <w:p>
      <w:pPr>
        <w:ind w:right="40" w:firstLine="469"/>
        <w:spacing w:after="0" w:line="275" w:lineRule="auto"/>
        <w:rPr>
          <w:sz w:val="20"/>
          <w:szCs w:val="20"/>
          <w:color w:val="auto"/>
        </w:rPr>
      </w:pPr>
      <w:r>
        <w:rPr>
          <w:rFonts w:ascii="Arial" w:cs="Arial" w:eastAsia="Arial" w:hAnsi="Arial"/>
          <w:sz w:val="18"/>
          <w:szCs w:val="18"/>
          <w:color w:val="auto"/>
        </w:rPr>
        <w:t>Noninterest income includes income derived from financial services offered to our customers,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various components of noninterest income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8"/>
        </w:trPr>
        <w:tc>
          <w:tcPr>
            <w:tcW w:w="2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2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r>
      <w:tr>
        <w:trPr>
          <w:trHeight w:val="196"/>
        </w:trPr>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4"/>
          </w:tcPr>
          <w:p>
            <w:pPr>
              <w:jc w:val="right"/>
              <w:ind w:right="308"/>
              <w:spacing w:after="0"/>
              <w:rPr>
                <w:sz w:val="20"/>
                <w:szCs w:val="20"/>
                <w:color w:val="auto"/>
              </w:rPr>
            </w:pPr>
            <w:r>
              <w:rPr>
                <w:rFonts w:ascii="Arial" w:cs="Arial" w:eastAsia="Arial" w:hAnsi="Arial"/>
                <w:sz w:val="14"/>
                <w:szCs w:val="14"/>
                <w:i w:val="1"/>
                <w:iCs w:val="1"/>
                <w:color w:val="auto"/>
                <w:w w:val="99"/>
              </w:rPr>
              <w:t>(Dollars in thousands)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income:</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184"/>
        </w:trPr>
        <w:tc>
          <w:tcPr>
            <w:tcW w:w="2840" w:type="dxa"/>
            <w:vAlign w:val="bottom"/>
          </w:tcPr>
          <w:p>
            <w:pPr>
              <w:ind w:left="200"/>
              <w:spacing w:after="0"/>
              <w:rPr>
                <w:sz w:val="20"/>
                <w:szCs w:val="20"/>
                <w:color w:val="auto"/>
              </w:rPr>
            </w:pPr>
            <w:r>
              <w:rPr>
                <w:rFonts w:ascii="Arial" w:cs="Arial" w:eastAsia="Arial" w:hAnsi="Arial"/>
                <w:sz w:val="14"/>
                <w:szCs w:val="14"/>
                <w:color w:val="auto"/>
              </w:rPr>
              <w:t>Service charges on deposit</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8"/>
        </w:trPr>
        <w:tc>
          <w:tcPr>
            <w:tcW w:w="2840" w:type="dxa"/>
            <w:vAlign w:val="bottom"/>
          </w:tcPr>
          <w:p>
            <w:pPr>
              <w:ind w:left="240"/>
              <w:spacing w:after="0"/>
              <w:rPr>
                <w:sz w:val="20"/>
                <w:szCs w:val="20"/>
                <w:color w:val="auto"/>
              </w:rPr>
            </w:pPr>
            <w:r>
              <w:rPr>
                <w:rFonts w:ascii="Arial" w:cs="Arial" w:eastAsia="Arial" w:hAnsi="Arial"/>
                <w:sz w:val="14"/>
                <w:szCs w:val="14"/>
                <w:color w:val="auto"/>
              </w:rPr>
              <w:t>accounts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4,513</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3,970</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543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13.68 %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12,667</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12,555</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0.89 %</w:t>
            </w:r>
          </w:p>
        </w:tc>
      </w:tr>
      <w:tr>
        <w:trPr>
          <w:trHeight w:val="208"/>
        </w:trPr>
        <w:tc>
          <w:tcPr>
            <w:tcW w:w="2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Trust and investment services</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11.48 %</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15.84 %</w:t>
            </w:r>
          </w:p>
        </w:tc>
      </w:tr>
      <w:tr>
        <w:trPr>
          <w:trHeight w:val="197"/>
        </w:trPr>
        <w:tc>
          <w:tcPr>
            <w:tcW w:w="2840" w:type="dxa"/>
            <w:vAlign w:val="bottom"/>
          </w:tcPr>
          <w:p>
            <w:pPr>
              <w:ind w:left="200"/>
              <w:spacing w:after="0"/>
              <w:rPr>
                <w:sz w:val="20"/>
                <w:szCs w:val="20"/>
                <w:color w:val="auto"/>
              </w:rPr>
            </w:pPr>
            <w:r>
              <w:rPr>
                <w:rFonts w:ascii="Arial" w:cs="Arial" w:eastAsia="Arial" w:hAnsi="Arial"/>
                <w:sz w:val="14"/>
                <w:szCs w:val="14"/>
                <w:color w:val="auto"/>
              </w:rPr>
              <w:t>Bankcard services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5.04 %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1,362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1,438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(76 )</w:t>
            </w:r>
          </w:p>
        </w:tc>
        <w:tc>
          <w:tcPr>
            <w:tcW w:w="2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-5.29 %</w:t>
            </w:r>
          </w:p>
        </w:tc>
      </w:tr>
      <w:tr>
        <w:trPr>
          <w:trHeight w:val="208"/>
        </w:trPr>
        <w:tc>
          <w:tcPr>
            <w:tcW w:w="2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BOLI income</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(240 )</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-16.34 %</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36.12 %</w:t>
            </w:r>
          </w:p>
        </w:tc>
      </w:tr>
      <w:tr>
        <w:trPr>
          <w:trHeight w:val="197"/>
        </w:trPr>
        <w:tc>
          <w:tcPr>
            <w:tcW w:w="2840" w:type="dxa"/>
            <w:vAlign w:val="bottom"/>
          </w:tcPr>
          <w:p>
            <w:pPr>
              <w:ind w:left="200"/>
              <w:spacing w:after="0"/>
              <w:rPr>
                <w:sz w:val="20"/>
                <w:szCs w:val="20"/>
                <w:color w:val="auto"/>
              </w:rPr>
            </w:pPr>
            <w:r>
              <w:rPr>
                <w:rFonts w:ascii="Arial" w:cs="Arial" w:eastAsia="Arial" w:hAnsi="Arial"/>
                <w:sz w:val="14"/>
                <w:szCs w:val="14"/>
                <w:color w:val="auto"/>
              </w:rPr>
              <w:t>Swap fee income</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1,591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(1,424 )</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-89.50 %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(3,767 )</w:t>
            </w:r>
          </w:p>
        </w:tc>
        <w:tc>
          <w:tcPr>
            <w:tcW w:w="2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-90.79 %</w:t>
            </w:r>
          </w:p>
        </w:tc>
      </w:tr>
      <w:tr>
        <w:trPr>
          <w:trHeight w:val="208"/>
        </w:trPr>
        <w:tc>
          <w:tcPr>
            <w:tcW w:w="2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on OREO, net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(13 )</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-100.00 %</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1973.91 %</w:t>
            </w:r>
          </w:p>
        </w:tc>
      </w:tr>
      <w:tr>
        <w:trPr>
          <w:trHeight w:val="197"/>
        </w:trPr>
        <w:tc>
          <w:tcPr>
            <w:tcW w:w="2840" w:type="dxa"/>
            <w:vAlign w:val="bottom"/>
          </w:tcPr>
          <w:p>
            <w:pPr>
              <w:ind w:left="200"/>
              <w:spacing w:after="0"/>
              <w:rPr>
                <w:sz w:val="20"/>
                <w:szCs w:val="20"/>
                <w:color w:val="auto"/>
              </w:rPr>
            </w:pPr>
            <w:r>
              <w:rPr>
                <w:rFonts w:ascii="Arial" w:cs="Arial" w:eastAsia="Arial" w:hAnsi="Arial"/>
                <w:sz w:val="14"/>
                <w:szCs w:val="14"/>
                <w:color w:val="auto"/>
              </w:rPr>
              <w:t>Gain on sale of building, net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1,680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(1,680 )</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-100.00 %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1,680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(1,491 )</w:t>
            </w:r>
          </w:p>
        </w:tc>
        <w:tc>
          <w:tcPr>
            <w:tcW w:w="2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-88.75 %</w:t>
            </w:r>
          </w:p>
        </w:tc>
      </w:tr>
      <w:tr>
        <w:trPr>
          <w:trHeight w:val="208"/>
        </w:trPr>
        <w:tc>
          <w:tcPr>
            <w:tcW w:w="2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(155 )</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-9.88 %</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(216 )</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-4.71 %</w:t>
            </w:r>
          </w:p>
        </w:tc>
      </w:tr>
      <w:tr>
        <w:trPr>
          <w:trHeight w:val="20"/>
        </w:trPr>
        <w:tc>
          <w:tcPr>
            <w:tcW w:w="2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840" w:type="dxa"/>
            <w:vAlign w:val="bottom"/>
          </w:tcPr>
          <w:p>
            <w:pPr>
              <w:ind w:left="380"/>
              <w:spacing w:after="0"/>
              <w:rPr>
                <w:sz w:val="20"/>
                <w:szCs w:val="20"/>
                <w:color w:val="auto"/>
              </w:rPr>
            </w:pPr>
            <w:r>
              <w:rPr>
                <w:rFonts w:ascii="Arial" w:cs="Arial" w:eastAsia="Arial" w:hAnsi="Arial"/>
                <w:sz w:val="14"/>
                <w:szCs w:val="14"/>
                <w:color w:val="auto"/>
              </w:rPr>
              <w:t>Total noninterest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10,483</w:t>
            </w:r>
          </w:p>
        </w:tc>
        <w:tc>
          <w:tcPr>
            <w:tcW w:w="2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13,153</w:t>
            </w:r>
          </w:p>
        </w:tc>
        <w:tc>
          <w:tcPr>
            <w:tcW w:w="24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(2,670 )</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-20.30 %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35,000</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36,945</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(1,945 )</w:t>
            </w:r>
          </w:p>
        </w:tc>
        <w:tc>
          <w:tcPr>
            <w:tcW w:w="2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-5.26 %</w:t>
            </w:r>
          </w:p>
        </w:tc>
      </w:tr>
      <w:tr>
        <w:trPr>
          <w:trHeight w:val="20"/>
        </w:trPr>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-159385</wp:posOffset>
            </wp:positionV>
            <wp:extent cx="154305"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-159385</wp:posOffset>
            </wp:positionV>
            <wp:extent cx="154305"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-159385</wp:posOffset>
            </wp:positionV>
            <wp:extent cx="163195"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-159385</wp:posOffset>
            </wp:positionV>
            <wp:extent cx="240030"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-159385</wp:posOffset>
            </wp:positionV>
            <wp:extent cx="137160"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-159385</wp:posOffset>
            </wp:positionV>
            <wp:extent cx="137160" cy="57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145415" cy="57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-159385</wp:posOffset>
            </wp:positionV>
            <wp:extent cx="128905"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Third Quarter of 2021 Compared to the Third Quarter of 2020</w:t>
      </w:r>
    </w:p>
    <w:p>
      <w:pPr>
        <w:spacing w:after="0" w:line="252" w:lineRule="exact"/>
        <w:rPr>
          <w:sz w:val="20"/>
          <w:szCs w:val="20"/>
          <w:color w:val="auto"/>
        </w:rPr>
      </w:pPr>
    </w:p>
    <w:p>
      <w:pPr>
        <w:jc w:val="both"/>
        <w:ind w:right="20" w:firstLine="469"/>
        <w:spacing w:after="0" w:line="359" w:lineRule="auto"/>
        <w:rPr>
          <w:sz w:val="20"/>
          <w:szCs w:val="20"/>
          <w:color w:val="auto"/>
        </w:rPr>
      </w:pPr>
      <w:r>
        <w:rPr>
          <w:rFonts w:ascii="Arial" w:cs="Arial" w:eastAsia="Arial" w:hAnsi="Arial"/>
          <w:sz w:val="16"/>
          <w:szCs w:val="16"/>
          <w:color w:val="auto"/>
        </w:rPr>
        <w:t>The $2.7 million decrease in noninterest income was primarily due to a $1.7 million gain on sale of a bank owned building during the third quarter of 2020 and a $1.4 million decrease in swap fee income. Partially offsetting those decreases was a $543,000 increase in service charges on deposit accounts.</w:t>
      </w:r>
    </w:p>
    <w:p>
      <w:pPr>
        <w:spacing w:after="0" w:line="138" w:lineRule="exact"/>
        <w:rPr>
          <w:sz w:val="20"/>
          <w:szCs w:val="20"/>
          <w:color w:val="auto"/>
        </w:rPr>
      </w:pPr>
    </w:p>
    <w:p>
      <w:pPr>
        <w:ind w:right="40" w:firstLine="464"/>
        <w:spacing w:after="0" w:line="266" w:lineRule="auto"/>
        <w:rPr>
          <w:sz w:val="20"/>
          <w:szCs w:val="20"/>
          <w:color w:val="auto"/>
        </w:rPr>
      </w:pPr>
      <w:r>
        <w:rPr>
          <w:rFonts w:ascii="Arial" w:cs="Arial" w:eastAsia="Arial" w:hAnsi="Arial"/>
          <w:sz w:val="18"/>
          <w:szCs w:val="18"/>
          <w:color w:val="auto"/>
        </w:rPr>
        <w:t xml:space="preserve">The Bank enters into interest rate swap agreements with our customers to manage our interest rate risk and enters into identical offsetting swaps with a counterparty. The changes in the fair value of the swaps primarily offset each other resulting in swap fee income (refer to Note 8 – </w:t>
      </w:r>
      <w:r>
        <w:rPr>
          <w:rFonts w:ascii="Arial" w:cs="Arial" w:eastAsia="Arial" w:hAnsi="Arial"/>
          <w:sz w:val="18"/>
          <w:szCs w:val="18"/>
          <w:i w:val="1"/>
          <w:iCs w:val="1"/>
          <w:color w:val="auto"/>
        </w:rPr>
        <w:t>Derivative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of the notes to the unaudited condensed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7" w:name="page48"/>
    <w:bookmarkEnd w:id="47"/>
    <w:p>
      <w:pPr>
        <w:ind w:right="300"/>
        <w:spacing w:after="0" w:line="275" w:lineRule="auto"/>
        <w:rPr>
          <w:sz w:val="20"/>
          <w:szCs w:val="20"/>
          <w:color w:val="auto"/>
        </w:rPr>
      </w:pPr>
      <w:r>
        <w:rPr>
          <w:rFonts w:ascii="Arial" w:cs="Arial" w:eastAsia="Arial" w:hAnsi="Arial"/>
          <w:sz w:val="18"/>
          <w:szCs w:val="18"/>
          <w:color w:val="auto"/>
        </w:rPr>
        <w:t>consolidated financial statements of this report for additional information). Fees from interest rate swaps decreased $1.4 million compared to the third quarter of 2020, due to lower volume of swap transactions. We executed swap agreements related to new loan originations for the third quarter of 2021 with a notional amount of $9.8 million, compared to executed swap agreements related to new loan originations with a notional amount totaling $73.2 million for the third quarter of 2020.</w:t>
      </w:r>
    </w:p>
    <w:p>
      <w:pPr>
        <w:spacing w:after="0" w:line="199" w:lineRule="exact"/>
        <w:rPr>
          <w:sz w:val="20"/>
          <w:szCs w:val="20"/>
          <w:color w:val="auto"/>
        </w:rPr>
      </w:pPr>
    </w:p>
    <w:p>
      <w:pPr>
        <w:ind w:right="20" w:firstLine="469"/>
        <w:spacing w:after="0" w:line="271" w:lineRule="auto"/>
        <w:rPr>
          <w:sz w:val="20"/>
          <w:szCs w:val="20"/>
          <w:color w:val="auto"/>
        </w:rPr>
      </w:pPr>
      <w:r>
        <w:rPr>
          <w:rFonts w:ascii="Arial" w:cs="Arial" w:eastAsia="Arial" w:hAnsi="Arial"/>
          <w:sz w:val="18"/>
          <w:szCs w:val="18"/>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September 30, 2021, CitizensTrust had approximately $3.28 billion in assets under management and administration, including $2.39 billion in assets under management. CitizensTrust generated fees of $2.7 million for the third quarter of 2021, compared to $2.4 million for the third quarter of 2020, due to the growth in assets under management and higher investment services fees.</w:t>
      </w:r>
    </w:p>
    <w:p>
      <w:pPr>
        <w:spacing w:after="0" w:line="204" w:lineRule="exact"/>
        <w:rPr>
          <w:sz w:val="20"/>
          <w:szCs w:val="20"/>
          <w:color w:val="auto"/>
        </w:rPr>
      </w:pPr>
    </w:p>
    <w:p>
      <w:pPr>
        <w:ind w:firstLine="469"/>
        <w:spacing w:after="0" w:line="272" w:lineRule="auto"/>
        <w:rPr>
          <w:sz w:val="20"/>
          <w:szCs w:val="20"/>
          <w:color w:val="auto"/>
        </w:rPr>
      </w:pPr>
      <w:r>
        <w:rPr>
          <w:rFonts w:ascii="Arial" w:cs="Arial" w:eastAsia="Arial" w:hAnsi="Arial"/>
          <w:sz w:val="18"/>
          <w:szCs w:val="18"/>
          <w:color w:val="auto"/>
        </w:rPr>
        <w:t>The Bank’s investment in BOLI includes life insurance policies acquired through acquisitions and the purchase of life insurance by the Bank on a select group of employees.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There were no death benefits from our BOLI policies for the third quarters of 2021 and 2020. Income from BOLI declined by $240,000 compared to the third quarter of 2020.</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Nine Months of 2021 Compared to Nine Months of 2020</w:t>
      </w:r>
    </w:p>
    <w:p>
      <w:pPr>
        <w:spacing w:after="0" w:line="252" w:lineRule="exact"/>
        <w:rPr>
          <w:sz w:val="20"/>
          <w:szCs w:val="20"/>
          <w:color w:val="auto"/>
        </w:rPr>
      </w:pPr>
    </w:p>
    <w:p>
      <w:pPr>
        <w:ind w:right="60" w:firstLine="469"/>
        <w:spacing w:after="0" w:line="271" w:lineRule="auto"/>
        <w:rPr>
          <w:sz w:val="20"/>
          <w:szCs w:val="20"/>
          <w:color w:val="auto"/>
        </w:rPr>
      </w:pPr>
      <w:r>
        <w:rPr>
          <w:rFonts w:ascii="Arial" w:cs="Arial" w:eastAsia="Arial" w:hAnsi="Arial"/>
          <w:sz w:val="18"/>
          <w:szCs w:val="18"/>
          <w:color w:val="auto"/>
        </w:rPr>
        <w:t>The $1.9 million decrease in noninterest income was primarily due to a $3.8 million decrease in swap fee income from the first nine months of 2020 due to lower volume of swap transactions. The third quarter of 2020 also included a $1.7 million net gain on the sale of one of our bank owned buildings. Partially offsetting the overall decrease in noninterest income was a $1.9 million increase in BOLI income primarily due to $2.3 million in higher death benefits that result from life insurance proceeds exceeding the asset value of certain BOLI policies</w:t>
      </w:r>
      <w:r>
        <w:rPr>
          <w:rFonts w:ascii="Arial" w:cs="Arial" w:eastAsia="Arial" w:hAnsi="Arial"/>
          <w:sz w:val="18"/>
          <w:szCs w:val="18"/>
          <w:color w:val="CC0000"/>
        </w:rPr>
        <w:t>.</w:t>
      </w:r>
      <w:r>
        <w:rPr>
          <w:rFonts w:ascii="Arial" w:cs="Arial" w:eastAsia="Arial" w:hAnsi="Arial"/>
          <w:sz w:val="18"/>
          <w:szCs w:val="18"/>
          <w:color w:val="auto"/>
        </w:rPr>
        <w:t xml:space="preserve"> Trust and investment services income increased $1.2 million, or 15.84%, compared with the first nine months of 2020. Growth in assets under management and higher investment services fees equally contributed to this growth in fee income.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various components of noninterest expense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8"/>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8"/>
                <w:szCs w:val="18"/>
                <w:color w:val="auto"/>
              </w:rPr>
            </w:pPr>
          </w:p>
        </w:tc>
        <w:tc>
          <w:tcPr>
            <w:tcW w:w="1020" w:type="dxa"/>
            <w:vAlign w:val="bottom"/>
            <w:gridSpan w:val="3"/>
          </w:tcPr>
          <w:p>
            <w:pPr>
              <w:ind w:left="42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8"/>
                <w:szCs w:val="18"/>
                <w:color w:val="auto"/>
              </w:rPr>
            </w:pPr>
          </w:p>
        </w:tc>
        <w:tc>
          <w:tcPr>
            <w:tcW w:w="1020" w:type="dxa"/>
            <w:vAlign w:val="bottom"/>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27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r>
      <w:tr>
        <w:trPr>
          <w:trHeight w:val="196"/>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i w:val="1"/>
                <w:iCs w:val="1"/>
                <w:color w:val="auto"/>
                <w:w w:val="96"/>
              </w:rPr>
              <w:t>(Dollars in thousands)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196"/>
        </w:trPr>
        <w:tc>
          <w:tcPr>
            <w:tcW w:w="2740" w:type="dxa"/>
            <w:vAlign w:val="bottom"/>
          </w:tcPr>
          <w:p>
            <w:pPr>
              <w:ind w:left="200"/>
              <w:spacing w:after="0"/>
              <w:rPr>
                <w:sz w:val="20"/>
                <w:szCs w:val="20"/>
                <w:color w:val="auto"/>
              </w:rPr>
            </w:pPr>
            <w:r>
              <w:rPr>
                <w:rFonts w:ascii="Arial" w:cs="Arial" w:eastAsia="Arial" w:hAnsi="Arial"/>
                <w:sz w:val="14"/>
                <w:szCs w:val="14"/>
                <w:color w:val="auto"/>
              </w:rPr>
              <w:t>Salaries and employee benefits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29,741</w:t>
            </w:r>
          </w:p>
        </w:tc>
        <w:tc>
          <w:tcPr>
            <w:tcW w:w="36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31,034</w:t>
            </w:r>
          </w:p>
        </w:tc>
        <w:tc>
          <w:tcPr>
            <w:tcW w:w="36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(1,293 )</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-4.17 %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88,283</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90,617</w:t>
            </w:r>
          </w:p>
        </w:tc>
        <w:tc>
          <w:tcPr>
            <w:tcW w:w="3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(2,334 )</w:t>
            </w: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-2.58 %</w:t>
            </w:r>
          </w:p>
        </w:tc>
      </w:tr>
      <w:tr>
        <w:trPr>
          <w:trHeight w:val="209"/>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Occupancy</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4,292</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0.05 %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12,655</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12,171</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3.98 %</w:t>
            </w:r>
          </w:p>
        </w:tc>
      </w:tr>
      <w:tr>
        <w:trPr>
          <w:trHeight w:val="196"/>
        </w:trPr>
        <w:tc>
          <w:tcPr>
            <w:tcW w:w="2740" w:type="dxa"/>
            <w:vAlign w:val="bottom"/>
          </w:tcPr>
          <w:p>
            <w:pPr>
              <w:ind w:left="200"/>
              <w:spacing w:after="0"/>
              <w:rPr>
                <w:sz w:val="20"/>
                <w:szCs w:val="20"/>
                <w:color w:val="auto"/>
              </w:rPr>
            </w:pPr>
            <w:r>
              <w:rPr>
                <w:rFonts w:ascii="Arial" w:cs="Arial" w:eastAsia="Arial" w:hAnsi="Arial"/>
                <w:sz w:val="14"/>
                <w:szCs w:val="14"/>
                <w:color w:val="auto"/>
              </w:rPr>
              <w:t>Equipment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985</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(155 )</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-15.74 %</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2,279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2,972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(693 )</w:t>
            </w: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-23.32 %</w:t>
            </w:r>
          </w:p>
        </w:tc>
      </w:tr>
      <w:tr>
        <w:trPr>
          <w:trHeight w:val="209"/>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Professional services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1,626</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(393 )</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-19.47 %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6,042</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6,643</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(601 )</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-9.05 %</w:t>
            </w:r>
          </w:p>
        </w:tc>
      </w:tr>
      <w:tr>
        <w:trPr>
          <w:trHeight w:val="196"/>
        </w:trPr>
        <w:tc>
          <w:tcPr>
            <w:tcW w:w="2740" w:type="dxa"/>
            <w:vAlign w:val="bottom"/>
          </w:tcPr>
          <w:p>
            <w:pPr>
              <w:ind w:left="200"/>
              <w:spacing w:after="0"/>
              <w:rPr>
                <w:sz w:val="20"/>
                <w:szCs w:val="20"/>
                <w:color w:val="auto"/>
              </w:rPr>
            </w:pPr>
            <w:r>
              <w:rPr>
                <w:rFonts w:ascii="Arial" w:cs="Arial" w:eastAsia="Arial" w:hAnsi="Arial"/>
                <w:sz w:val="14"/>
                <w:szCs w:val="14"/>
                <w:color w:val="auto"/>
              </w:rPr>
              <w:t>Computer software expense</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2,837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6.45 %</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8,521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8,407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1.36 %</w:t>
            </w:r>
          </w:p>
        </w:tc>
      </w:tr>
      <w:tr>
        <w:trPr>
          <w:trHeight w:val="209"/>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Marketing and promotion</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857</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17.72 %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3,381</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3,538</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(157 )</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-4.44 %</w:t>
            </w:r>
          </w:p>
        </w:tc>
      </w:tr>
      <w:tr>
        <w:trPr>
          <w:trHeight w:val="184"/>
        </w:trPr>
        <w:tc>
          <w:tcPr>
            <w:tcW w:w="2740" w:type="dxa"/>
            <w:vAlign w:val="bottom"/>
          </w:tcPr>
          <w:p>
            <w:pPr>
              <w:ind w:left="200"/>
              <w:spacing w:after="0"/>
              <w:rPr>
                <w:sz w:val="20"/>
                <w:szCs w:val="20"/>
                <w:color w:val="auto"/>
              </w:rPr>
            </w:pPr>
            <w:r>
              <w:rPr>
                <w:rFonts w:ascii="Arial" w:cs="Arial" w:eastAsia="Arial" w:hAnsi="Arial"/>
                <w:sz w:val="14"/>
                <w:szCs w:val="14"/>
                <w:color w:val="auto"/>
              </w:rPr>
              <w:t>Amortization of intangible</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8"/>
        </w:trPr>
        <w:tc>
          <w:tcPr>
            <w:tcW w:w="2740" w:type="dxa"/>
            <w:vAlign w:val="bottom"/>
          </w:tcPr>
          <w:p>
            <w:pPr>
              <w:ind w:left="30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2,014</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2,292</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(278 )</w:t>
            </w: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-12.13 %</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6,348</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7,182</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(834 )</w:t>
            </w:r>
          </w:p>
        </w:tc>
        <w:tc>
          <w:tcPr>
            <w:tcW w:w="2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-11.61 %</w:t>
            </w:r>
          </w:p>
        </w:tc>
      </w:tr>
      <w:tr>
        <w:trPr>
          <w:trHeight w:val="208"/>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Telecommunications expense</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(129 )</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-20.06 %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1,592</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1,929</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(337 )</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-17.47 %</w:t>
            </w:r>
          </w:p>
        </w:tc>
      </w:tr>
      <w:tr>
        <w:trPr>
          <w:trHeight w:val="197"/>
        </w:trPr>
        <w:tc>
          <w:tcPr>
            <w:tcW w:w="2740" w:type="dxa"/>
            <w:vAlign w:val="bottom"/>
          </w:tcPr>
          <w:p>
            <w:pPr>
              <w:ind w:left="200"/>
              <w:spacing w:after="0"/>
              <w:rPr>
                <w:sz w:val="20"/>
                <w:szCs w:val="20"/>
                <w:color w:val="auto"/>
              </w:rPr>
            </w:pPr>
            <w:r>
              <w:rPr>
                <w:rFonts w:ascii="Arial" w:cs="Arial" w:eastAsia="Arial" w:hAnsi="Arial"/>
                <w:sz w:val="14"/>
                <w:szCs w:val="14"/>
                <w:color w:val="auto"/>
              </w:rPr>
              <w:t>Regulatory assessments</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1,226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998</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22.85 %</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3,424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1,313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2,111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160.78 %</w:t>
            </w:r>
          </w:p>
        </w:tc>
      </w:tr>
      <w:tr>
        <w:trPr>
          <w:trHeight w:val="208"/>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Insurance</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13.00 %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1,360</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14.09 %</w:t>
            </w:r>
          </w:p>
        </w:tc>
      </w:tr>
      <w:tr>
        <w:trPr>
          <w:trHeight w:val="197"/>
        </w:trPr>
        <w:tc>
          <w:tcPr>
            <w:tcW w:w="2740" w:type="dxa"/>
            <w:vAlign w:val="bottom"/>
          </w:tcPr>
          <w:p>
            <w:pPr>
              <w:ind w:left="200"/>
              <w:spacing w:after="0"/>
              <w:rPr>
                <w:sz w:val="20"/>
                <w:szCs w:val="20"/>
                <w:color w:val="auto"/>
              </w:rPr>
            </w:pPr>
            <w:r>
              <w:rPr>
                <w:rFonts w:ascii="Arial" w:cs="Arial" w:eastAsia="Arial" w:hAnsi="Arial"/>
                <w:sz w:val="14"/>
                <w:szCs w:val="14"/>
                <w:color w:val="auto"/>
              </w:rPr>
              <w:t>Loan expense</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33.33 %</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825</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(8 )</w:t>
            </w: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-0.96 %</w:t>
            </w:r>
          </w:p>
        </w:tc>
      </w:tr>
      <w:tr>
        <w:trPr>
          <w:trHeight w:val="208"/>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OREO expense</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(830 )</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-100.00 %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(1,158 )</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-96.50 %</w:t>
            </w:r>
          </w:p>
        </w:tc>
      </w:tr>
      <w:tr>
        <w:trPr>
          <w:trHeight w:val="184"/>
        </w:trPr>
        <w:tc>
          <w:tcPr>
            <w:tcW w:w="2740" w:type="dxa"/>
            <w:vAlign w:val="bottom"/>
          </w:tcPr>
          <w:p>
            <w:pPr>
              <w:ind w:left="200"/>
              <w:spacing w:after="0"/>
              <w:rPr>
                <w:sz w:val="20"/>
                <w:szCs w:val="20"/>
                <w:color w:val="auto"/>
              </w:rPr>
            </w:pPr>
            <w:r>
              <w:rPr>
                <w:rFonts w:ascii="Arial" w:cs="Arial" w:eastAsia="Arial" w:hAnsi="Arial"/>
                <w:sz w:val="14"/>
                <w:szCs w:val="14"/>
                <w:color w:val="auto"/>
              </w:rPr>
              <w:t>(Recapture of) provision for</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8"/>
        </w:trPr>
        <w:tc>
          <w:tcPr>
            <w:tcW w:w="2740" w:type="dxa"/>
            <w:vAlign w:val="bottom"/>
          </w:tcPr>
          <w:p>
            <w:pPr>
              <w:ind w:left="300"/>
              <w:spacing w:after="0"/>
              <w:rPr>
                <w:sz w:val="20"/>
                <w:szCs w:val="20"/>
                <w:color w:val="auto"/>
              </w:rPr>
            </w:pPr>
            <w:r>
              <w:rPr>
                <w:rFonts w:ascii="Arial" w:cs="Arial" w:eastAsia="Arial" w:hAnsi="Arial"/>
                <w:sz w:val="14"/>
                <w:szCs w:val="14"/>
                <w:color w:val="auto"/>
              </w:rPr>
              <w:t>unfunded loan commitments</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(1,000 )</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(1,000 )</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r>
      <w:tr>
        <w:trPr>
          <w:trHeight w:val="208"/>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Directors' expenses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8.38 %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8.34 %</w:t>
            </w:r>
          </w:p>
        </w:tc>
      </w:tr>
      <w:tr>
        <w:trPr>
          <w:trHeight w:val="197"/>
        </w:trPr>
        <w:tc>
          <w:tcPr>
            <w:tcW w:w="2740" w:type="dxa"/>
            <w:vAlign w:val="bottom"/>
          </w:tcPr>
          <w:p>
            <w:pPr>
              <w:ind w:left="200"/>
              <w:spacing w:after="0"/>
              <w:rPr>
                <w:sz w:val="20"/>
                <w:szCs w:val="20"/>
                <w:color w:val="auto"/>
              </w:rPr>
            </w:pPr>
            <w:r>
              <w:rPr>
                <w:rFonts w:ascii="Arial" w:cs="Arial" w:eastAsia="Arial" w:hAnsi="Arial"/>
                <w:sz w:val="14"/>
                <w:szCs w:val="14"/>
                <w:color w:val="auto"/>
              </w:rPr>
              <w:t>Stationery and supplies</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11.89 %</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(155 )</w:t>
            </w: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-17.34 %</w:t>
            </w:r>
          </w:p>
        </w:tc>
      </w:tr>
      <w:tr>
        <w:trPr>
          <w:trHeight w:val="208"/>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 related expenses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r>
      <w:tr>
        <w:trPr>
          <w:trHeight w:val="203"/>
        </w:trPr>
        <w:tc>
          <w:tcPr>
            <w:tcW w:w="2740" w:type="dxa"/>
            <w:vAlign w:val="bottom"/>
          </w:tcPr>
          <w:p>
            <w:pPr>
              <w:ind w:left="20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1,800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3.45 %</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5,351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4,669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14.61 %</w:t>
            </w:r>
          </w:p>
        </w:tc>
      </w:tr>
      <w:tr>
        <w:trPr>
          <w:trHeight w:val="20"/>
        </w:trPr>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2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noninterest expense</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48,099</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49,588</w:t>
            </w: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(1,489 )</w:t>
            </w: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-3.00 %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141,807</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144,627</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(2,820 )</w:t>
            </w:r>
          </w:p>
        </w:tc>
        <w:tc>
          <w:tcPr>
            <w:tcW w:w="2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-1.95 %</w:t>
            </w:r>
          </w:p>
        </w:tc>
      </w:tr>
      <w:tr>
        <w:trPr>
          <w:trHeight w:val="367"/>
        </w:trPr>
        <w:tc>
          <w:tcPr>
            <w:tcW w:w="274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Noninterest expense to average</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r>
      <w:tr>
        <w:trPr>
          <w:trHeight w:val="188"/>
        </w:trPr>
        <w:tc>
          <w:tcPr>
            <w:tcW w:w="2740" w:type="dxa"/>
            <w:vAlign w:val="bottom"/>
          </w:tcPr>
          <w:p>
            <w:pPr>
              <w:ind w:left="30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1.22 %</w:t>
            </w: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1.44 %</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1.25 %</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1.54 %</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8"/>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Efficiency ratio (1)</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42.27 %</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42.57 %</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40.85 %</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41.66 %</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-521970</wp:posOffset>
            </wp:positionV>
            <wp:extent cx="23114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-505460</wp:posOffset>
            </wp:positionV>
            <wp:extent cx="23114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-521970</wp:posOffset>
            </wp:positionV>
            <wp:extent cx="23177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-505460</wp:posOffset>
            </wp:positionV>
            <wp:extent cx="23177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-521970</wp:posOffset>
            </wp:positionV>
            <wp:extent cx="15430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-505460</wp:posOffset>
            </wp:positionV>
            <wp:extent cx="15430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-521970</wp:posOffset>
            </wp:positionV>
            <wp:extent cx="23177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-505460</wp:posOffset>
            </wp:positionV>
            <wp:extent cx="23177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-521970</wp:posOffset>
            </wp:positionV>
            <wp:extent cx="21463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-505460</wp:posOffset>
            </wp:positionV>
            <wp:extent cx="21463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-521970</wp:posOffset>
            </wp:positionV>
            <wp:extent cx="21463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-505460</wp:posOffset>
            </wp:positionV>
            <wp:extent cx="21463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-521970</wp:posOffset>
            </wp:positionV>
            <wp:extent cx="13716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-505460</wp:posOffset>
            </wp:positionV>
            <wp:extent cx="13716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-521970</wp:posOffset>
            </wp:positionV>
            <wp:extent cx="12890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-505460</wp:posOffset>
            </wp:positionV>
            <wp:extent cx="12890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4" w:lineRule="exact"/>
        <w:rPr>
          <w:sz w:val="20"/>
          <w:szCs w:val="20"/>
          <w:color w:val="auto"/>
        </w:rPr>
      </w:pPr>
    </w:p>
    <w:p>
      <w:pPr>
        <w:ind w:left="1460" w:hanging="329"/>
        <w:spacing w:after="0"/>
        <w:tabs>
          <w:tab w:leader="none" w:pos="1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Noninterest expense divided by net interest income before provision for credit losses plus noninterest income.</w:t>
      </w:r>
    </w:p>
    <w:p>
      <w:pPr>
        <w:spacing w:after="0" w:line="221" w:lineRule="exact"/>
        <w:rPr>
          <w:sz w:val="20"/>
          <w:szCs w:val="20"/>
          <w:color w:val="auto"/>
        </w:rPr>
      </w:pPr>
    </w:p>
    <w:p>
      <w:pPr>
        <w:ind w:right="160" w:firstLine="469"/>
        <w:spacing w:after="0" w:line="275" w:lineRule="auto"/>
        <w:rPr>
          <w:sz w:val="20"/>
          <w:szCs w:val="20"/>
          <w:color w:val="auto"/>
        </w:rPr>
      </w:pPr>
      <w:r>
        <w:rPr>
          <w:rFonts w:ascii="Arial" w:cs="Arial" w:eastAsia="Arial" w:hAnsi="Arial"/>
          <w:sz w:val="18"/>
          <w:szCs w:val="18"/>
          <w:color w:val="auto"/>
        </w:rPr>
        <w:t>Our ability to control noninterest expenses in relation to asset growth can be measured in terms of total noninterest expenses as a percentage of average assets. Noninterest expense as a percentage of average assets was 1.22% for the third quarter of 2021, compared to 1.44% for the third quarter of 2020. The decline in this ratio for 2021 reflects the $2.55 billion growth in average assets that resulted primarily from $2.33 billion in average deposit growth.</w:t>
      </w:r>
    </w:p>
    <w:p>
      <w:pPr>
        <w:spacing w:after="0" w:line="199" w:lineRule="exact"/>
        <w:rPr>
          <w:sz w:val="20"/>
          <w:szCs w:val="20"/>
          <w:color w:val="auto"/>
        </w:rPr>
      </w:pPr>
    </w:p>
    <w:p>
      <w:pPr>
        <w:ind w:right="100" w:firstLine="469"/>
        <w:spacing w:after="0" w:line="275" w:lineRule="auto"/>
        <w:rPr>
          <w:sz w:val="20"/>
          <w:szCs w:val="20"/>
          <w:color w:val="auto"/>
        </w:rPr>
      </w:pPr>
      <w:r>
        <w:rPr>
          <w:rFonts w:ascii="Arial" w:cs="Arial" w:eastAsia="Arial" w:hAnsi="Arial"/>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42.27% for the third quarter of 2021, compared to 42.57% for the third quarter of 2020. For the nine months ending September 30, 2021, the efficiency ratio was 40.85%, compared to 41.66% for the same period in 2020.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9" w:name="page50"/>
    <w:bookmarkEnd w:id="49"/>
    <w:p>
      <w:pPr>
        <w:ind w:left="480"/>
        <w:spacing w:after="0"/>
        <w:rPr>
          <w:sz w:val="20"/>
          <w:szCs w:val="20"/>
          <w:color w:val="auto"/>
        </w:rPr>
      </w:pPr>
      <w:r>
        <w:rPr>
          <w:rFonts w:ascii="Arial" w:cs="Arial" w:eastAsia="Arial" w:hAnsi="Arial"/>
          <w:sz w:val="18"/>
          <w:szCs w:val="18"/>
          <w:i w:val="1"/>
          <w:iCs w:val="1"/>
          <w:color w:val="auto"/>
        </w:rPr>
        <w:t>Third Quarter of 2021 Compared to the Third Quarter of 2020</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Noninterest expense of $48.1 million for the third quarter of 2021 was $1.5 million, or 3.00%, lower than the third quarter of 2020. The year-over-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decrease of $1.5 million included a $1.3 million decrease in salaries and employee benefits, including $1.1 million in additional bonus expense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“Thank You Awards” paid to all Bank employees during the third quarter of 2020, and an $830,000 decrease in OREO expense, primarily due to a</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$700,000 write-down of one OREO property in the third quarter of 2020. Merger related expenses increased $809,000 in the third quarter of 2021,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pending acquisition of Suncrest Bank that was announced in July of 2021.</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Nine Months of 2021 Compared to Nine Months of 2020</w:t>
      </w:r>
    </w:p>
    <w:p>
      <w:pPr>
        <w:spacing w:after="0" w:line="252" w:lineRule="exact"/>
        <w:rPr>
          <w:sz w:val="20"/>
          <w:szCs w:val="20"/>
          <w:color w:val="auto"/>
        </w:rPr>
      </w:pPr>
    </w:p>
    <w:p>
      <w:pPr>
        <w:ind w:right="100" w:firstLine="464"/>
        <w:spacing w:after="0" w:line="311" w:lineRule="auto"/>
        <w:rPr>
          <w:sz w:val="20"/>
          <w:szCs w:val="20"/>
          <w:color w:val="auto"/>
        </w:rPr>
      </w:pPr>
      <w:r>
        <w:rPr>
          <w:rFonts w:ascii="Arial" w:cs="Arial" w:eastAsia="Arial" w:hAnsi="Arial"/>
          <w:sz w:val="16"/>
          <w:szCs w:val="16"/>
          <w:color w:val="auto"/>
        </w:rPr>
        <w:t>Noninterest expense of $141.8 million for the first nine months of 2021 was $2.8 million lower than the prior year period. Salaries and employee benefits declined by $2.3 million from the first nine months of 2020, due to lower employee benefit expense that was partially offset by higher bonus and profit sharing expense. The year-over-year decrease also included the $1.0 million recapture of provision for unfunded loan commitments in the second quarter of 2021 and an $834,000 year-over-year decrease in amortization of CDI. An increase of $2.1 million in regulatory assessment expense was the result of the final application of assessment credits provided by the FDIC at the end of the second quarter of 2020. As a percentage of average assets, noninterest expense was 1.25% for the nine months ended September 30, 2021, compared to 1.54% for the same period of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firstLine="469"/>
        <w:spacing w:after="0" w:line="279" w:lineRule="auto"/>
        <w:rPr>
          <w:sz w:val="20"/>
          <w:szCs w:val="20"/>
          <w:color w:val="auto"/>
        </w:rPr>
      </w:pPr>
      <w:r>
        <w:rPr>
          <w:rFonts w:ascii="Arial" w:cs="Arial" w:eastAsia="Arial" w:hAnsi="Arial"/>
          <w:sz w:val="18"/>
          <w:szCs w:val="18"/>
          <w:color w:val="auto"/>
        </w:rPr>
        <w:t>The Company’s effective tax rate for the three and nine months ended September 30, 2021 was 28.60%, compared to 29.00% for the three and nine months ended September 30, 2020, respectively. Our estimated annual effective tax rate varies depending upon the level of tax-advantaged income as well as available tax credits.</w:t>
      </w:r>
    </w:p>
    <w:p>
      <w:pPr>
        <w:spacing w:after="0" w:line="196" w:lineRule="exact"/>
        <w:rPr>
          <w:sz w:val="20"/>
          <w:szCs w:val="20"/>
          <w:color w:val="auto"/>
        </w:rPr>
      </w:pPr>
    </w:p>
    <w:p>
      <w:pPr>
        <w:ind w:right="160" w:firstLine="469"/>
        <w:spacing w:after="0" w:line="324" w:lineRule="auto"/>
        <w:rPr>
          <w:sz w:val="20"/>
          <w:szCs w:val="20"/>
          <w:color w:val="auto"/>
        </w:rPr>
      </w:pPr>
      <w:r>
        <w:rPr>
          <w:rFonts w:ascii="Arial" w:cs="Arial" w:eastAsia="Arial" w:hAnsi="Arial"/>
          <w:sz w:val="17"/>
          <w:szCs w:val="17"/>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9" w:right="41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ANALYSIS OF FINANCIAL CONDITION</w:t>
      </w:r>
    </w:p>
    <w:p>
      <w:pPr>
        <w:spacing w:after="0" w:line="256" w:lineRule="exact"/>
        <w:rPr>
          <w:sz w:val="20"/>
          <w:szCs w:val="20"/>
          <w:color w:val="auto"/>
        </w:rPr>
      </w:pPr>
    </w:p>
    <w:p>
      <w:pPr>
        <w:ind w:right="20" w:firstLine="469"/>
        <w:spacing w:after="0" w:line="271" w:lineRule="auto"/>
        <w:rPr>
          <w:sz w:val="20"/>
          <w:szCs w:val="20"/>
          <w:color w:val="auto"/>
        </w:rPr>
      </w:pPr>
      <w:r>
        <w:rPr>
          <w:rFonts w:ascii="Arial" w:cs="Arial" w:eastAsia="Arial" w:hAnsi="Arial"/>
          <w:sz w:val="18"/>
          <w:szCs w:val="18"/>
          <w:color w:val="auto"/>
        </w:rPr>
        <w:t>Total assets of $16.20 billion at September 30, 2021 increased $1.78 billion, or 12.36%, from total assets of $14.42 billion at December 31, 2020. Interest-earning assets totaled $14.93 billion at September 30, 2021 increased $1.71 billion, or 12.92%, when compared with $13.22 billion at December 31, 2020. The increase in interest-earning assets was primarily due to a $1.66 billion increase in investment securities and a $565.9 million increase in interest-earning balances due from the Federal Reserve, partially offset by a $499.3 million decrease in total loans which included a decrease in PPP loans of $552 million for the nine months ended September 30, 2021. Excluding PPP loans, total loans increased by $52.7 million, or 0.71%, from December 31, 2020.</w:t>
      </w:r>
    </w:p>
    <w:p>
      <w:pPr>
        <w:spacing w:after="0" w:line="204" w:lineRule="exact"/>
        <w:rPr>
          <w:sz w:val="20"/>
          <w:szCs w:val="20"/>
          <w:color w:val="auto"/>
        </w:rPr>
      </w:pPr>
    </w:p>
    <w:p>
      <w:pPr>
        <w:ind w:right="260" w:firstLine="469"/>
        <w:spacing w:after="0" w:line="292" w:lineRule="auto"/>
        <w:rPr>
          <w:sz w:val="20"/>
          <w:szCs w:val="20"/>
          <w:color w:val="auto"/>
        </w:rPr>
      </w:pPr>
      <w:r>
        <w:rPr>
          <w:rFonts w:ascii="Arial" w:cs="Arial" w:eastAsia="Arial" w:hAnsi="Arial"/>
          <w:sz w:val="17"/>
          <w:szCs w:val="17"/>
          <w:color w:val="auto"/>
        </w:rPr>
        <w:t>Total liabilities were $14.14 billion at September 30, 2021, an increase of $1.73 billion, or 13.91%, from total liabilities of $12.41 billion at December 31, 2020. Total deposits grew by $1.19 billion, or 10.17%. Total equity increased $55.9 million, or 2.79%, to $2.06 billion at September 30, 2021, compared to total equity of $2.01 billion at December 31, 2020. The $55.9 million increase in equity was primarily due to net earnings of $164.8 million for the first nine months of 2021, partially offset by a $32.3 million decrease in other comprehensive income from the tax-effected impact of the decrease in market value of available-for-sale securities and $73.4 million in cash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ind w:firstLine="469"/>
        <w:spacing w:after="0" w:line="284" w:lineRule="auto"/>
        <w:rPr>
          <w:sz w:val="20"/>
          <w:szCs w:val="20"/>
          <w:color w:val="auto"/>
        </w:rPr>
      </w:pPr>
      <w:r>
        <w:rPr>
          <w:rFonts w:ascii="Arial" w:cs="Arial" w:eastAsia="Arial" w:hAnsi="Arial"/>
          <w:sz w:val="17"/>
          <w:szCs w:val="17"/>
          <w:color w:val="auto"/>
        </w:rPr>
        <w:t>The Company maintains a portfolio of investment securities to provide interest income and to serve as a source of liquidity for its ongoing operations. At September 30, 2021, total investment securities were $4.64 billion. This represented an increase of $1.66 billion, or 55.70%, from total investment securities of $2.98 billion at December 31, 2020. The increase in investment securities was primarily due to new securities purchased exceeding cash outflow from the portfolio in the third quarter of 2021. At September 30, 2021, investment securities HTM totaled $1.71 billion. At September 30, 2021, our AFS investment securities totaled $2.93 billion, inclusive of a pre-tax net unrealized gain of $8.8 million. The after-tax unrealized gain reported in AOCI on AFS investment securities was $6.2 million. The changes in the net unrealized holding gain resulted primarily from fluctuations in market interest rates. For the nine months ended September 30, 2021 and 2020, repayments/maturities of investment securities totaled $712.3 million and $536.7 million, respectively. The Company purchased additional investment securities totaling $2.44 billion and $882.1 million for the nine months ended September 30, 2021 and 2020, respectively. During the third quarter of 2021, we purchased approximately $187.4 million of AFS securities with an average expected yield of approximately 1.49% and $705.1 million of HTM securities with an average expected yield of approximately 1.75%. The second quarter included purchases of $317.1 million of AFS securities with an average investment yield of approximately 1.69% and the first quarter included purchases of $1.23 billion of securities purchased in the first quarter of 2021, with an average expected yield of approximately 1.57%. The first quarter purchases included $682.9 million in AFS securities that were comprised of MBS with average lives of less than five years that are expected to yield approximately 1.37% and $545.7 million in HTM securities that were comprised of fixed rate agency and municipal bonds, with longer maturities that on average exceed 10 years that will generate a yield of approximately 1.81% on a non-tax equivalent basis. There were no investment securities sold during the first nine months of 2021 and 2020.</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51" w:name="page52"/>
    <w:bookmarkEnd w:id="51"/>
    <w:p>
      <w:pPr>
        <w:ind w:left="480"/>
        <w:spacing w:after="0"/>
        <w:rPr>
          <w:sz w:val="20"/>
          <w:szCs w:val="20"/>
          <w:color w:val="auto"/>
        </w:rPr>
      </w:pPr>
      <w:r>
        <w:rPr>
          <w:rFonts w:ascii="Arial" w:cs="Arial" w:eastAsia="Arial" w:hAnsi="Arial"/>
          <w:sz w:val="18"/>
          <w:szCs w:val="18"/>
          <w:color w:val="auto"/>
        </w:rPr>
        <w:t>The tables below set forth our investment securities AFS and HTM portfolio by type for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89"/>
              </w:rPr>
              <w:t>September 30, 2021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8"/>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9"/>
        </w:trPr>
        <w:tc>
          <w:tcPr>
            <w:tcW w:w="3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780" w:type="dxa"/>
            <w:vAlign w:val="bottom"/>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Amortized Cost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Holding Gain</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Holding Loss</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20"/>
                <w:szCs w:val="20"/>
                <w:color w:val="auto"/>
              </w:rPr>
            </w:pPr>
          </w:p>
        </w:tc>
      </w:tr>
      <w:tr>
        <w:trPr>
          <w:trHeight w:val="250"/>
        </w:trPr>
        <w:tc>
          <w:tcPr>
            <w:tcW w:w="3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5"/>
          </w:tcPr>
          <w:p>
            <w:pPr>
              <w:jc w:val="center"/>
              <w:ind w:left="670"/>
              <w:spacing w:after="0"/>
              <w:rPr>
                <w:sz w:val="20"/>
                <w:szCs w:val="20"/>
                <w:color w:val="auto"/>
              </w:rPr>
            </w:pPr>
            <w:r>
              <w:rPr>
                <w:rFonts w:ascii="Arial" w:cs="Arial" w:eastAsia="Arial" w:hAnsi="Arial"/>
                <w:sz w:val="18"/>
                <w:szCs w:val="18"/>
                <w:i w:val="1"/>
                <w:iCs w:val="1"/>
                <w:color w:val="auto"/>
                <w:w w:val="92"/>
              </w:rPr>
              <w:t>(Dollars in thousands)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2,256,252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(18,430 )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2,269,073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77.57 %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CMO/REMIC</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630,351</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(8,030 )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625,167</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21.37 %</w:t>
            </w: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28,697</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29,820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1.02 %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securities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0.04 %</w:t>
            </w:r>
          </w:p>
        </w:tc>
      </w:tr>
      <w:tr>
        <w:trPr>
          <w:trHeight w:val="20"/>
        </w:trPr>
        <w:tc>
          <w:tcPr>
            <w:tcW w:w="3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2,916,300</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35,220</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(26,460 )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2,925,060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100.00 %</w:t>
            </w:r>
          </w:p>
        </w:tc>
      </w:tr>
      <w:tr>
        <w:trPr>
          <w:trHeight w:val="20"/>
        </w:trPr>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Government agency/GSE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585,022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(8,112 )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583,695</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34.19 %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648,613</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(1,502 )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652,561</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37.91 %</w:t>
            </w: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264,324</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(1,118 )</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264,848</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15.45 %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212,979</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(1,614 )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216,126</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12.45 %</w:t>
            </w:r>
          </w:p>
        </w:tc>
      </w:tr>
      <w:tr>
        <w:trPr>
          <w:trHeight w:val="20"/>
        </w:trPr>
        <w:tc>
          <w:tcPr>
            <w:tcW w:w="3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380"/>
              <w:spacing w:after="0"/>
              <w:rPr>
                <w:sz w:val="20"/>
                <w:szCs w:val="20"/>
                <w:color w:val="auto"/>
              </w:rPr>
            </w:pPr>
            <w:r>
              <w:rPr>
                <w:rFonts w:ascii="Arial" w:cs="Arial" w:eastAsia="Arial" w:hAnsi="Arial"/>
                <w:sz w:val="18"/>
                <w:szCs w:val="18"/>
                <w:color w:val="auto"/>
              </w:rPr>
              <w:t>Total held-to-maturity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1,710,938</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18,638</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(12,346 )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1,717,230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100.00 %</w:t>
            </w:r>
          </w:p>
        </w:tc>
      </w:tr>
      <w:tr>
        <w:trPr>
          <w:trHeight w:val="20"/>
        </w:trPr>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60"/>
        </w:trPr>
        <w:tc>
          <w:tcPr>
            <w:tcW w:w="3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 2020</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38"/>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9"/>
        </w:trPr>
        <w:tc>
          <w:tcPr>
            <w:tcW w:w="3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780" w:type="dxa"/>
            <w:vAlign w:val="bottom"/>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Amortized Cost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Holding Gain</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Holding Loss</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20"/>
                <w:szCs w:val="20"/>
                <w:color w:val="auto"/>
              </w:rPr>
            </w:pPr>
          </w:p>
        </w:tc>
      </w:tr>
      <w:tr>
        <w:trPr>
          <w:trHeight w:val="250"/>
        </w:trPr>
        <w:tc>
          <w:tcPr>
            <w:tcW w:w="3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5"/>
          </w:tcPr>
          <w:p>
            <w:pPr>
              <w:jc w:val="center"/>
              <w:ind w:left="670"/>
              <w:spacing w:after="0"/>
              <w:rPr>
                <w:sz w:val="20"/>
                <w:szCs w:val="20"/>
                <w:color w:val="auto"/>
              </w:rPr>
            </w:pPr>
            <w:r>
              <w:rPr>
                <w:rFonts w:ascii="Arial" w:cs="Arial" w:eastAsia="Arial" w:hAnsi="Arial"/>
                <w:sz w:val="18"/>
                <w:szCs w:val="18"/>
                <w:i w:val="1"/>
                <w:iCs w:val="1"/>
                <w:color w:val="auto"/>
                <w:w w:val="92"/>
              </w:rPr>
              <w:t>(Dollars in thousands)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1,857,030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48,006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1,904,935</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79.41 %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CMO/REMIC</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457,548</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(249 )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462,814</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19.29 %</w:t>
            </w: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28,707</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30,285</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1.26 %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securities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0.04 %</w:t>
            </w:r>
          </w:p>
        </w:tc>
      </w:tr>
      <w:tr>
        <w:trPr>
          <w:trHeight w:val="20"/>
        </w:trPr>
        <w:tc>
          <w:tcPr>
            <w:tcW w:w="3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2,344,174</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55,099</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(350 )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2,398,923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100.00 %</w:t>
            </w:r>
          </w:p>
        </w:tc>
      </w:tr>
      <w:tr>
        <w:trPr>
          <w:trHeight w:val="20"/>
        </w:trPr>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Government agency/GSE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98,663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104,540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17.05 %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146,382</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153,994</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25.30 %</w:t>
            </w: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145,309</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150,511</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25.11 %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188,272</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6,980</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(74 )</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195,178</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32.54 %</w:t>
            </w:r>
          </w:p>
        </w:tc>
      </w:tr>
      <w:tr>
        <w:trPr>
          <w:trHeight w:val="20"/>
        </w:trPr>
        <w:tc>
          <w:tcPr>
            <w:tcW w:w="3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380"/>
              <w:spacing w:after="0"/>
              <w:rPr>
                <w:sz w:val="20"/>
                <w:szCs w:val="20"/>
                <w:color w:val="auto"/>
              </w:rPr>
            </w:pPr>
            <w:r>
              <w:rPr>
                <w:rFonts w:ascii="Arial" w:cs="Arial" w:eastAsia="Arial" w:hAnsi="Arial"/>
                <w:sz w:val="18"/>
                <w:szCs w:val="18"/>
                <w:color w:val="auto"/>
              </w:rPr>
              <w:t>Total held-to-maturity securities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578,626</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25,703</w:t>
            </w:r>
          </w:p>
        </w:tc>
        <w:tc>
          <w:tcPr>
            <w:tcW w:w="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604,223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100.00 %</w:t>
            </w:r>
          </w:p>
        </w:tc>
      </w:tr>
      <w:tr>
        <w:trPr>
          <w:trHeight w:val="20"/>
        </w:trPr>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-4171315</wp:posOffset>
            </wp:positionV>
            <wp:extent cx="197485"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-4171315</wp:posOffset>
            </wp:positionV>
            <wp:extent cx="196850"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-4171315</wp:posOffset>
            </wp:positionV>
            <wp:extent cx="197485" cy="57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-4171315</wp:posOffset>
            </wp:positionV>
            <wp:extent cx="179705" cy="57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-4171315</wp:posOffset>
            </wp:positionV>
            <wp:extent cx="171450" cy="57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-3159760</wp:posOffset>
            </wp:positionV>
            <wp:extent cx="197485" cy="571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-3159760</wp:posOffset>
            </wp:positionV>
            <wp:extent cx="196850" cy="57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-3159760</wp:posOffset>
            </wp:positionV>
            <wp:extent cx="197485" cy="571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-3159760</wp:posOffset>
            </wp:positionV>
            <wp:extent cx="179705" cy="571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-3159760</wp:posOffset>
            </wp:positionV>
            <wp:extent cx="171450" cy="571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-1205230</wp:posOffset>
            </wp:positionV>
            <wp:extent cx="197485" cy="57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-1205230</wp:posOffset>
            </wp:positionV>
            <wp:extent cx="196850" cy="571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-1205230</wp:posOffset>
            </wp:positionV>
            <wp:extent cx="197485" cy="57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-1205230</wp:posOffset>
            </wp:positionV>
            <wp:extent cx="179705" cy="571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-1205230</wp:posOffset>
            </wp:positionV>
            <wp:extent cx="171450" cy="57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-193675</wp:posOffset>
            </wp:positionV>
            <wp:extent cx="197485" cy="571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-193675</wp:posOffset>
            </wp:positionV>
            <wp:extent cx="196850" cy="57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-193675</wp:posOffset>
            </wp:positionV>
            <wp:extent cx="197485" cy="571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wp:posOffset>
            </wp:positionV>
            <wp:extent cx="179705" cy="57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-193675</wp:posOffset>
            </wp:positionV>
            <wp:extent cx="171450" cy="571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09" w:lineRule="exact"/>
        <w:rPr>
          <w:sz w:val="20"/>
          <w:szCs w:val="20"/>
          <w:color w:val="auto"/>
        </w:rPr>
      </w:pPr>
    </w:p>
    <w:p>
      <w:pPr>
        <w:jc w:val="both"/>
        <w:ind w:right="340" w:firstLine="469"/>
        <w:spacing w:after="0" w:line="279" w:lineRule="auto"/>
        <w:rPr>
          <w:sz w:val="20"/>
          <w:szCs w:val="20"/>
          <w:color w:val="auto"/>
        </w:rPr>
      </w:pPr>
      <w:r>
        <w:rPr>
          <w:rFonts w:ascii="Arial" w:cs="Arial" w:eastAsia="Arial" w:hAnsi="Arial"/>
          <w:sz w:val="18"/>
          <w:szCs w:val="18"/>
          <w:color w:val="auto"/>
        </w:rPr>
        <w:t>As of September 30, 2021, approximately $53.2 million in U.S. government agency bonds are callable. The Agency CMO/REMIC securities are backed by agency-pooled collateral. Municipal bonds, which represented approximately 6% of the total investment portfolio, are predominately AA or higher rated securities.</w:t>
      </w:r>
    </w:p>
    <w:p>
      <w:pPr>
        <w:spacing w:after="0" w:line="196" w:lineRule="exact"/>
        <w:rPr>
          <w:sz w:val="20"/>
          <w:szCs w:val="20"/>
          <w:color w:val="auto"/>
        </w:rPr>
      </w:pPr>
    </w:p>
    <w:p>
      <w:pPr>
        <w:ind w:right="40" w:firstLine="464"/>
        <w:spacing w:after="0" w:line="293" w:lineRule="auto"/>
        <w:rPr>
          <w:sz w:val="20"/>
          <w:szCs w:val="20"/>
          <w:color w:val="auto"/>
        </w:rPr>
      </w:pPr>
      <w:r>
        <w:rPr>
          <w:rFonts w:ascii="Arial" w:cs="Arial" w:eastAsia="Arial" w:hAnsi="Arial"/>
          <w:sz w:val="18"/>
          <w:szCs w:val="18"/>
          <w:color w:val="auto"/>
        </w:rPr>
        <w:t>The following table presents the Company’s available-for-sale investment securities, by investment category, in an unrealized loss position for which an allowance for credit losses has not been recorded as of September 30, 2021 and December 31,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securities available-for-sale:</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Mortgage-backed securities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CMO/REMIC</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Municipal bonds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Total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securities available-for-sale:</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Mortgage-backed securities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CMO/REMIC</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Municipal bonds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Total available-for-sale securities</w:t>
      </w:r>
    </w:p>
    <w:p>
      <w:pPr>
        <w:spacing w:after="0" w:line="20" w:lineRule="exact"/>
        <w:rPr>
          <w:sz w:val="20"/>
          <w:szCs w:val="20"/>
          <w:color w:val="auto"/>
        </w:rPr>
      </w:pPr>
      <w:r>
        <w:rPr>
          <w:sz w:val="20"/>
          <w:szCs w:val="20"/>
          <w:color w:val="auto"/>
        </w:rPr>
        <w:br w:type="column"/>
      </w:r>
    </w:p>
    <w:p>
      <w:pPr>
        <w:ind w:left="3200"/>
        <w:spacing w:after="0"/>
        <w:rPr>
          <w:sz w:val="20"/>
          <w:szCs w:val="20"/>
          <w:color w:val="auto"/>
        </w:rPr>
      </w:pPr>
      <w:r>
        <w:rPr>
          <w:rFonts w:ascii="Arial" w:cs="Arial" w:eastAsia="Arial" w:hAnsi="Arial"/>
          <w:sz w:val="16"/>
          <w:szCs w:val="16"/>
          <w:b w:val="1"/>
          <w:bCs w:val="1"/>
          <w:color w:val="auto"/>
        </w:rPr>
        <w:t>September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8"/>
          </w:tcPr>
          <w:p>
            <w:pPr>
              <w:jc w:val="right"/>
              <w:ind w:right="780"/>
              <w:spacing w:after="0"/>
              <w:rPr>
                <w:sz w:val="20"/>
                <w:szCs w:val="20"/>
                <w:color w:val="auto"/>
              </w:rPr>
            </w:pPr>
            <w:r>
              <w:rPr>
                <w:rFonts w:ascii="Arial" w:cs="Arial" w:eastAsia="Arial" w:hAnsi="Arial"/>
                <w:sz w:val="16"/>
                <w:szCs w:val="16"/>
                <w:b w:val="1"/>
                <w:bCs w:val="1"/>
                <w:color w:val="auto"/>
              </w:rPr>
              <w:t>Less Than 12 Months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gridSpan w:val="7"/>
          </w:tcPr>
          <w:p>
            <w:pPr>
              <w:jc w:val="right"/>
              <w:ind w:right="740"/>
              <w:spacing w:after="0"/>
              <w:rPr>
                <w:sz w:val="20"/>
                <w:szCs w:val="20"/>
                <w:color w:val="auto"/>
              </w:rPr>
            </w:pPr>
            <w:r>
              <w:rPr>
                <w:rFonts w:ascii="Arial" w:cs="Arial" w:eastAsia="Arial" w:hAnsi="Arial"/>
                <w:sz w:val="16"/>
                <w:szCs w:val="16"/>
                <w:b w:val="1"/>
                <w:bCs w:val="1"/>
                <w:color w:val="auto"/>
              </w:rPr>
              <w:t>12 Months or Longer</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Holding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Holding</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Fair Value</w:t>
            </w:r>
          </w:p>
        </w:tc>
        <w:tc>
          <w:tcPr>
            <w:tcW w:w="3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3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Fair Value</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7"/>
          </w:tcPr>
          <w:p>
            <w:pPr>
              <w:jc w:val="center"/>
              <w:ind w:right="520"/>
              <w:spacing w:after="0"/>
              <w:rPr>
                <w:sz w:val="20"/>
                <w:szCs w:val="20"/>
                <w:color w:val="auto"/>
              </w:rPr>
            </w:pPr>
            <w:r>
              <w:rPr>
                <w:rFonts w:ascii="Arial" w:cs="Arial" w:eastAsia="Arial" w:hAnsi="Arial"/>
                <w:sz w:val="16"/>
                <w:szCs w:val="16"/>
                <w:i w:val="1"/>
                <w:iCs w:val="1"/>
                <w:color w:val="auto"/>
                <w:w w:val="93"/>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59"/>
        </w:trPr>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1,349,856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(18,243 )</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21,273</w:t>
            </w:r>
          </w:p>
        </w:tc>
        <w:tc>
          <w:tcPr>
            <w:tcW w:w="3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(187 )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1,371,129</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(18,430 )</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510,308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(7,758 )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11,162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(272 )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521,470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(8,030 )</w:t>
            </w:r>
          </w:p>
        </w:tc>
      </w:tr>
      <w:tr>
        <w:trPr>
          <w:trHeight w:val="242"/>
        </w:trPr>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r>
      <w:tr>
        <w:trPr>
          <w:trHeight w:val="223"/>
        </w:trPr>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1,860,164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(26,001 )</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32,435</w:t>
            </w:r>
          </w:p>
        </w:tc>
        <w:tc>
          <w:tcPr>
            <w:tcW w:w="30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(459 )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1,892,599</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(26,460 )</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6"/>
                <w:szCs w:val="16"/>
                <w:b w:val="1"/>
                <w:bCs w:val="1"/>
                <w:color w:val="auto"/>
                <w:w w:val="91"/>
              </w:rPr>
              <w:t>December 31, 2020</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8"/>
          </w:tcPr>
          <w:p>
            <w:pPr>
              <w:jc w:val="right"/>
              <w:ind w:right="760"/>
              <w:spacing w:after="0"/>
              <w:rPr>
                <w:sz w:val="20"/>
                <w:szCs w:val="20"/>
                <w:color w:val="auto"/>
              </w:rPr>
            </w:pPr>
            <w:r>
              <w:rPr>
                <w:rFonts w:ascii="Arial" w:cs="Arial" w:eastAsia="Arial" w:hAnsi="Arial"/>
                <w:sz w:val="16"/>
                <w:szCs w:val="16"/>
                <w:b w:val="1"/>
                <w:bCs w:val="1"/>
                <w:color w:val="auto"/>
              </w:rPr>
              <w:t>Less Than 12 Months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7"/>
          </w:tcPr>
          <w:p>
            <w:pPr>
              <w:jc w:val="right"/>
              <w:ind w:right="720"/>
              <w:spacing w:after="0"/>
              <w:rPr>
                <w:sz w:val="20"/>
                <w:szCs w:val="20"/>
                <w:color w:val="auto"/>
              </w:rPr>
            </w:pPr>
            <w:r>
              <w:rPr>
                <w:rFonts w:ascii="Arial" w:cs="Arial" w:eastAsia="Arial" w:hAnsi="Arial"/>
                <w:sz w:val="16"/>
                <w:szCs w:val="16"/>
                <w:b w:val="1"/>
                <w:bCs w:val="1"/>
                <w:color w:val="auto"/>
              </w:rPr>
              <w:t>12 Months or Longer</w:t>
            </w:r>
          </w:p>
        </w:tc>
        <w:tc>
          <w:tcPr>
            <w:tcW w:w="12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6"/>
              </w:rPr>
              <w:t>Gross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6"/>
              </w:rPr>
              <w:t>Gross</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Holding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Holding</w:t>
            </w: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99"/>
              </w:rPr>
              <w:t>Fair Value</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Losses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Fair Value</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Losses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7"/>
          </w:tcPr>
          <w:p>
            <w:pPr>
              <w:jc w:val="center"/>
              <w:ind w:right="500"/>
              <w:spacing w:after="0"/>
              <w:rPr>
                <w:sz w:val="20"/>
                <w:szCs w:val="20"/>
                <w:color w:val="auto"/>
              </w:rPr>
            </w:pPr>
            <w:r>
              <w:rPr>
                <w:rFonts w:ascii="Arial" w:cs="Arial" w:eastAsia="Arial" w:hAnsi="Arial"/>
                <w:sz w:val="16"/>
                <w:szCs w:val="16"/>
                <w:i w:val="1"/>
                <w:iCs w:val="1"/>
                <w:color w:val="auto"/>
                <w:w w:val="95"/>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59"/>
        </w:trPr>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72,219</w:t>
            </w:r>
          </w:p>
        </w:tc>
        <w:tc>
          <w:tcPr>
            <w:tcW w:w="2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(101 )</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72,219</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(101 )</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96,974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(249 )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96,974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(249 )</w:t>
            </w:r>
          </w:p>
        </w:tc>
      </w:tr>
      <w:tr>
        <w:trPr>
          <w:trHeight w:val="242"/>
        </w:trPr>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r>
      <w:tr>
        <w:trPr>
          <w:trHeight w:val="223"/>
        </w:trPr>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169,193</w:t>
            </w:r>
          </w:p>
        </w:tc>
        <w:tc>
          <w:tcPr>
            <w:tcW w:w="2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(350 )</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169,193</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(350 )</w:t>
            </w: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-2665095</wp:posOffset>
            </wp:positionV>
            <wp:extent cx="7132320" cy="14541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-2373630</wp:posOffset>
            </wp:positionV>
            <wp:extent cx="7132320" cy="1460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-2073910</wp:posOffset>
            </wp:positionV>
            <wp:extent cx="7132320" cy="1714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-762000</wp:posOffset>
            </wp:positionV>
            <wp:extent cx="7132320" cy="14541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-471170</wp:posOffset>
            </wp:positionV>
            <wp:extent cx="7132320" cy="1460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-170815</wp:posOffset>
            </wp:positionV>
            <wp:extent cx="7132320" cy="1714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800"/>
          </w:cols>
          <w:pgMar w:left="320" w:top="409" w:right="379" w:bottom="1440" w:gutter="0" w:footer="0" w:header="0"/>
        </w:sectPr>
      </w:pPr>
    </w:p>
    <w:p>
      <w:pPr>
        <w:spacing w:after="0" w:line="29" w:lineRule="exact"/>
        <w:rPr>
          <w:sz w:val="20"/>
          <w:szCs w:val="20"/>
          <w:color w:val="auto"/>
        </w:rPr>
      </w:pPr>
    </w:p>
    <w:p>
      <w:pPr>
        <w:ind w:right="80" w:firstLine="469"/>
        <w:spacing w:after="0" w:line="279" w:lineRule="auto"/>
        <w:rPr>
          <w:sz w:val="20"/>
          <w:szCs w:val="20"/>
          <w:color w:val="auto"/>
        </w:rPr>
      </w:pPr>
      <w:r>
        <w:rPr>
          <w:rFonts w:ascii="Arial" w:cs="Arial" w:eastAsia="Arial" w:hAnsi="Arial"/>
          <w:sz w:val="18"/>
          <w:szCs w:val="18"/>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September 30, 2021 and December 31, 2020.</w:t>
      </w:r>
    </w:p>
    <w:p>
      <w:pPr>
        <w:spacing w:after="0" w:line="196" w:lineRule="exact"/>
        <w:rPr>
          <w:sz w:val="20"/>
          <w:szCs w:val="20"/>
          <w:color w:val="auto"/>
        </w:rPr>
      </w:pPr>
    </w:p>
    <w:p>
      <w:pPr>
        <w:ind w:right="660" w:firstLine="374"/>
        <w:spacing w:after="0" w:line="266" w:lineRule="auto"/>
        <w:rPr>
          <w:sz w:val="20"/>
          <w:szCs w:val="20"/>
          <w:color w:val="auto"/>
        </w:rPr>
      </w:pPr>
      <w:r>
        <w:rPr>
          <w:rFonts w:ascii="Arial" w:cs="Arial" w:eastAsia="Arial" w:hAnsi="Arial"/>
          <w:sz w:val="18"/>
          <w:szCs w:val="18"/>
          <w:color w:val="auto"/>
        </w:rPr>
        <w:t xml:space="preserve">Refer to Note 4 –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of the notes to the unaudited condensed consolidated financial statements of this report for additional information on our investment securities portfolio.</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loans and leases, at amortized cost, of $7.85 billion at September 30, 2021 decreased by $499.3 million, or 5.98%, from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$499.3 million decrease in total loans included decreases of $552.0 million in PPP loans, $81.6 million in dairy &amp; livestock and agribusiness loans due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seasonal pay downs, $42.1 million in commercial and industrial loans, $39.2 million in SFR mortgage loans, $7.7 million in construction loans, and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$13.5 million in consumer and other loans, partially offset by an increase of $233.2 million in commercial real estate loans and $3.6 million in SBA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After adjusting for seasonality and PPP loans, our loans grew by $134.3 million or at an annualized rate of approximately 3% from the end of the fourth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 of 2020.</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our loan portfolio by type as of the dates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5280" w:type="dxa"/>
            <w:vAlign w:val="bottom"/>
            <w:gridSpan w:val="4"/>
          </w:tcPr>
          <w:p>
            <w:pPr>
              <w:jc w:val="right"/>
              <w:ind w:right="2080"/>
              <w:spacing w:after="0"/>
              <w:rPr>
                <w:sz w:val="20"/>
                <w:szCs w:val="20"/>
                <w:color w:val="auto"/>
              </w:rPr>
            </w:pPr>
            <w:r>
              <w:rPr>
                <w:rFonts w:ascii="Arial" w:cs="Arial" w:eastAsia="Arial" w:hAnsi="Arial"/>
                <w:sz w:val="18"/>
                <w:szCs w:val="18"/>
                <w:b w:val="1"/>
                <w:bCs w:val="1"/>
                <w:color w:val="auto"/>
                <w:w w:val="98"/>
              </w:rPr>
              <w:t>Distribution of Loan Portfolio by Type</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39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September 30, 2021</w:t>
            </w: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100" w:type="dxa"/>
            <w:vAlign w:val="bottom"/>
          </w:tcPr>
          <w:p>
            <w:pPr>
              <w:spacing w:after="0"/>
              <w:rPr>
                <w:sz w:val="24"/>
                <w:szCs w:val="24"/>
                <w:color w:val="auto"/>
              </w:rPr>
            </w:pPr>
          </w:p>
        </w:tc>
      </w:tr>
      <w:tr>
        <w:trPr>
          <w:trHeight w:val="237"/>
        </w:trPr>
        <w:tc>
          <w:tcPr>
            <w:tcW w:w="39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60" w:type="dxa"/>
            <w:vAlign w:val="bottom"/>
            <w:gridSpan w:val="5"/>
          </w:tcPr>
          <w:p>
            <w:pPr>
              <w:jc w:val="right"/>
              <w:ind w:right="1540"/>
              <w:spacing w:after="0"/>
              <w:rPr>
                <w:sz w:val="20"/>
                <w:szCs w:val="20"/>
                <w:color w:val="auto"/>
              </w:rPr>
            </w:pPr>
            <w:r>
              <w:rPr>
                <w:rFonts w:ascii="Arial" w:cs="Arial" w:eastAsia="Arial" w:hAnsi="Arial"/>
                <w:sz w:val="16"/>
                <w:szCs w:val="16"/>
                <w:i w:val="1"/>
                <w:iCs w:val="1"/>
                <w:color w:val="auto"/>
              </w:rPr>
              <w:t>(Dollars in thousands)</w:t>
            </w:r>
          </w:p>
        </w:tc>
      </w:tr>
      <w:tr>
        <w:trPr>
          <w:trHeight w:val="276"/>
        </w:trPr>
        <w:tc>
          <w:tcPr>
            <w:tcW w:w="3900" w:type="dxa"/>
            <w:vAlign w:val="bottom"/>
          </w:tcPr>
          <w:p>
            <w:pPr>
              <w:spacing w:after="0"/>
              <w:rPr>
                <w:sz w:val="24"/>
                <w:szCs w:val="24"/>
                <w:color w:val="auto"/>
              </w:rPr>
            </w:pPr>
          </w:p>
        </w:tc>
        <w:tc>
          <w:tcPr>
            <w:tcW w:w="3080" w:type="dxa"/>
            <w:vAlign w:val="bottom"/>
            <w:gridSpan w:val="2"/>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3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5,734,699</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5,501,509</w:t>
            </w:r>
          </w:p>
        </w:tc>
        <w:tc>
          <w:tcPr>
            <w:tcW w:w="100" w:type="dxa"/>
            <w:vAlign w:val="bottom"/>
            <w:shd w:val="clear" w:color="auto" w:fill="CFF0FC"/>
          </w:tcPr>
          <w:p>
            <w:pPr>
              <w:spacing w:after="0"/>
              <w:rPr>
                <w:sz w:val="22"/>
                <w:szCs w:val="22"/>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2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77,398</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85,145</w:t>
            </w:r>
          </w:p>
        </w:tc>
        <w:tc>
          <w:tcPr>
            <w:tcW w:w="100" w:type="dxa"/>
            <w:vAlign w:val="bottom"/>
          </w:tcPr>
          <w:p>
            <w:pPr>
              <w:spacing w:after="0"/>
              <w:rPr>
                <w:sz w:val="21"/>
                <w:szCs w:val="21"/>
                <w:color w:val="auto"/>
              </w:rPr>
            </w:pPr>
          </w:p>
        </w:tc>
      </w:tr>
      <w:tr>
        <w:trPr>
          <w:trHeight w:val="26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2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307,533</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303,896</w:t>
            </w:r>
          </w:p>
        </w:tc>
        <w:tc>
          <w:tcPr>
            <w:tcW w:w="100" w:type="dxa"/>
            <w:vAlign w:val="bottom"/>
            <w:shd w:val="clear" w:color="auto" w:fill="CFF0FC"/>
          </w:tcPr>
          <w:p>
            <w:pPr>
              <w:spacing w:after="0"/>
              <w:rPr>
                <w:sz w:val="22"/>
                <w:szCs w:val="22"/>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SBA - Paycheck Protection Program (PPP)</w:t>
            </w:r>
          </w:p>
        </w:tc>
        <w:tc>
          <w:tcPr>
            <w:tcW w:w="2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330,960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882,986</w:t>
            </w:r>
          </w:p>
        </w:tc>
        <w:tc>
          <w:tcPr>
            <w:tcW w:w="100" w:type="dxa"/>
            <w:vAlign w:val="bottom"/>
          </w:tcPr>
          <w:p>
            <w:pPr>
              <w:spacing w:after="0"/>
              <w:rPr>
                <w:sz w:val="21"/>
                <w:szCs w:val="21"/>
                <w:color w:val="auto"/>
              </w:rPr>
            </w:pPr>
          </w:p>
        </w:tc>
      </w:tr>
      <w:tr>
        <w:trPr>
          <w:trHeight w:val="26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2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769,977</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812,062</w:t>
            </w:r>
          </w:p>
        </w:tc>
        <w:tc>
          <w:tcPr>
            <w:tcW w:w="100" w:type="dxa"/>
            <w:vAlign w:val="bottom"/>
            <w:shd w:val="clear" w:color="auto" w:fill="CFF0FC"/>
          </w:tcPr>
          <w:p>
            <w:pPr>
              <w:spacing w:after="0"/>
              <w:rPr>
                <w:sz w:val="22"/>
                <w:szCs w:val="22"/>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2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279,584</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361,146</w:t>
            </w:r>
          </w:p>
        </w:tc>
        <w:tc>
          <w:tcPr>
            <w:tcW w:w="100" w:type="dxa"/>
            <w:vAlign w:val="bottom"/>
          </w:tcPr>
          <w:p>
            <w:pPr>
              <w:spacing w:after="0"/>
              <w:rPr>
                <w:sz w:val="21"/>
                <w:szCs w:val="21"/>
                <w:color w:val="auto"/>
              </w:rPr>
            </w:pPr>
          </w:p>
        </w:tc>
      </w:tr>
      <w:tr>
        <w:trPr>
          <w:trHeight w:val="26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2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47,305</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shd w:val="clear" w:color="auto" w:fill="CFF0FC"/>
          </w:tcPr>
          <w:p>
            <w:pPr>
              <w:spacing w:after="0"/>
              <w:rPr>
                <w:sz w:val="22"/>
                <w:szCs w:val="22"/>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2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231,323</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270,511</w:t>
            </w:r>
          </w:p>
        </w:tc>
        <w:tc>
          <w:tcPr>
            <w:tcW w:w="100" w:type="dxa"/>
            <w:vAlign w:val="bottom"/>
          </w:tcPr>
          <w:p>
            <w:pPr>
              <w:spacing w:after="0"/>
              <w:rPr>
                <w:sz w:val="21"/>
                <w:szCs w:val="21"/>
                <w:color w:val="auto"/>
              </w:rPr>
            </w:pPr>
          </w:p>
        </w:tc>
      </w:tr>
      <w:tr>
        <w:trPr>
          <w:trHeight w:val="263"/>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29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70,741</w:t>
            </w:r>
          </w:p>
        </w:tc>
        <w:tc>
          <w:tcPr>
            <w:tcW w:w="4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3900" w:type="dxa"/>
            <w:vAlign w:val="bottom"/>
          </w:tcPr>
          <w:p>
            <w:pPr>
              <w:ind w:left="300"/>
              <w:spacing w:after="0"/>
              <w:rPr>
                <w:sz w:val="20"/>
                <w:szCs w:val="20"/>
                <w:color w:val="auto"/>
              </w:rPr>
            </w:pPr>
            <w:r>
              <w:rPr>
                <w:rFonts w:ascii="Arial" w:cs="Arial" w:eastAsia="Arial" w:hAnsi="Arial"/>
                <w:sz w:val="18"/>
                <w:szCs w:val="18"/>
                <w:color w:val="auto"/>
              </w:rPr>
              <w:t>Total loans, at amortized cost</w:t>
            </w:r>
          </w:p>
        </w:tc>
        <w:tc>
          <w:tcPr>
            <w:tcW w:w="2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7,849,520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8,348,808</w:t>
            </w:r>
          </w:p>
        </w:tc>
        <w:tc>
          <w:tcPr>
            <w:tcW w:w="100" w:type="dxa"/>
            <w:vAlign w:val="bottom"/>
          </w:tcPr>
          <w:p>
            <w:pPr>
              <w:spacing w:after="0"/>
              <w:rPr>
                <w:sz w:val="21"/>
                <w:szCs w:val="21"/>
                <w:color w:val="auto"/>
              </w:rPr>
            </w:pPr>
          </w:p>
        </w:tc>
      </w:tr>
      <w:tr>
        <w:trPr>
          <w:trHeight w:val="26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Allowance for credit losses</w:t>
            </w:r>
          </w:p>
        </w:tc>
        <w:tc>
          <w:tcPr>
            <w:tcW w:w="2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(65,364 )</w:t>
            </w:r>
          </w:p>
        </w:tc>
        <w:tc>
          <w:tcPr>
            <w:tcW w:w="18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(93,692 )</w:t>
            </w:r>
          </w:p>
        </w:tc>
      </w:tr>
      <w:tr>
        <w:trPr>
          <w:trHeight w:val="250"/>
        </w:trPr>
        <w:tc>
          <w:tcPr>
            <w:tcW w:w="3900" w:type="dxa"/>
            <w:vAlign w:val="bottom"/>
            <w:tcBorders>
              <w:top w:val="single" w:sz="8" w:color="CFF0FC"/>
            </w:tcBorders>
          </w:tcPr>
          <w:p>
            <w:pPr>
              <w:ind w:left="420"/>
              <w:spacing w:after="0"/>
              <w:rPr>
                <w:sz w:val="20"/>
                <w:szCs w:val="20"/>
                <w:color w:val="auto"/>
              </w:rPr>
            </w:pPr>
            <w:r>
              <w:rPr>
                <w:rFonts w:ascii="Arial" w:cs="Arial" w:eastAsia="Arial" w:hAnsi="Arial"/>
                <w:sz w:val="18"/>
                <w:szCs w:val="18"/>
                <w:color w:val="auto"/>
                <w:w w:val="94"/>
              </w:rPr>
              <w:t>Total loans and lease finance receivables, net</w:t>
            </w:r>
          </w:p>
        </w:tc>
        <w:tc>
          <w:tcPr>
            <w:tcW w:w="29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7,784,156</w:t>
            </w:r>
          </w:p>
        </w:tc>
        <w:tc>
          <w:tcPr>
            <w:tcW w:w="40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8,255,116</w:t>
            </w:r>
          </w:p>
        </w:tc>
        <w:tc>
          <w:tcPr>
            <w:tcW w:w="100" w:type="dxa"/>
            <w:vAlign w:val="bottom"/>
            <w:tcBorders>
              <w:top w:val="single" w:sz="8" w:color="CFF0FC"/>
            </w:tcBorders>
          </w:tcPr>
          <w:p>
            <w:pPr>
              <w:spacing w:after="0"/>
              <w:rPr>
                <w:sz w:val="21"/>
                <w:szCs w:val="21"/>
                <w:color w:val="auto"/>
              </w:rPr>
            </w:pPr>
          </w:p>
        </w:tc>
      </w:tr>
      <w:tr>
        <w:trPr>
          <w:trHeight w:val="20"/>
        </w:trPr>
        <w:tc>
          <w:tcPr>
            <w:tcW w:w="3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-527685</wp:posOffset>
            </wp:positionV>
            <wp:extent cx="257175" cy="571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-193675</wp:posOffset>
            </wp:positionV>
            <wp:extent cx="257175" cy="571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$354.3 million, or 6.18% of the total commercial real estate loans included loans secured by farmland,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$314.4 million, or 5.72%, at December 31, 2020. The loans secured by farmland included $125.1 million for loans secured by dairy &amp; livestock land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$229.2 million for loans secured by agricultural land at September 30, 2021, compared to $132.9 million for loans secured by dairy &amp; livestock land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$181.5 million for loans secured by agricultural land at December 31, 2020. As of September 30, 2021, dairy &amp; livestock and agribusiness loans of $279.6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were comprised of $242.0 million for dairy &amp; livestock loans and $37.6 million for agribusiness loans, compared to $320.1 million for dairy &amp;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livestock loans and $41.0 million for agribusiness loans at December 31, 2020.</w:t>
      </w:r>
    </w:p>
    <w:p>
      <w:pPr>
        <w:spacing w:after="0" w:line="251" w:lineRule="exact"/>
        <w:rPr>
          <w:sz w:val="20"/>
          <w:szCs w:val="20"/>
          <w:color w:val="auto"/>
        </w:rPr>
      </w:pPr>
    </w:p>
    <w:p>
      <w:pPr>
        <w:ind w:firstLine="469"/>
        <w:spacing w:after="0" w:line="314" w:lineRule="auto"/>
        <w:rPr>
          <w:sz w:val="20"/>
          <w:szCs w:val="20"/>
          <w:color w:val="auto"/>
        </w:rPr>
      </w:pPr>
      <w:r>
        <w:rPr>
          <w:rFonts w:ascii="Arial" w:cs="Arial" w:eastAsia="Arial" w:hAnsi="Arial"/>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73" w:lineRule="exact"/>
        <w:rPr>
          <w:sz w:val="20"/>
          <w:szCs w:val="20"/>
          <w:color w:val="auto"/>
        </w:rPr>
      </w:pPr>
    </w:p>
    <w:p>
      <w:pPr>
        <w:ind w:right="100" w:firstLine="469"/>
        <w:spacing w:after="0" w:line="287" w:lineRule="auto"/>
        <w:rPr>
          <w:sz w:val="20"/>
          <w:szCs w:val="20"/>
          <w:color w:val="auto"/>
        </w:rPr>
      </w:pPr>
      <w:r>
        <w:rPr>
          <w:rFonts w:ascii="Arial" w:cs="Arial" w:eastAsia="Arial" w:hAnsi="Arial"/>
          <w:sz w:val="17"/>
          <w:szCs w:val="17"/>
          <w:color w:val="auto"/>
        </w:rPr>
        <w:t>As of September 30, 2021, the Company had $209.7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September 30, 2021, the Company had $97.8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4" w:name="page55"/>
    <w:bookmarkEnd w:id="54"/>
    <w:p>
      <w:pPr>
        <w:ind w:right="120" w:firstLine="464"/>
        <w:spacing w:after="0" w:line="279" w:lineRule="auto"/>
        <w:rPr>
          <w:sz w:val="20"/>
          <w:szCs w:val="20"/>
          <w:color w:val="auto"/>
        </w:rPr>
      </w:pPr>
      <w:r>
        <w:rPr>
          <w:rFonts w:ascii="Arial" w:cs="Arial" w:eastAsia="Arial" w:hAnsi="Arial"/>
          <w:sz w:val="18"/>
          <w:szCs w:val="18"/>
          <w:color w:val="auto"/>
        </w:rPr>
        <w:t>As an active participant in the SBA’s Paycheck Protection Program, we originated approximately 4,100 PPP loans totaling $1.10 billion in round one, with a remaining outstanding balance of $52.4 million as of September 30, 2021. As of September 30, 2021, we have originated approximately 1,900 PPP loans in round two with a remaining outstanding balance of $278.6 million.</w:t>
      </w:r>
    </w:p>
    <w:p>
      <w:pPr>
        <w:spacing w:after="0" w:line="196" w:lineRule="exact"/>
        <w:rPr>
          <w:sz w:val="20"/>
          <w:szCs w:val="20"/>
          <w:color w:val="auto"/>
        </w:rPr>
      </w:pPr>
    </w:p>
    <w:p>
      <w:pPr>
        <w:ind w:right="660" w:firstLine="464"/>
        <w:spacing w:after="0" w:line="293" w:lineRule="auto"/>
        <w:rPr>
          <w:sz w:val="20"/>
          <w:szCs w:val="20"/>
          <w:color w:val="auto"/>
        </w:rPr>
      </w:pPr>
      <w:r>
        <w:rPr>
          <w:rFonts w:ascii="Arial" w:cs="Arial" w:eastAsia="Arial" w:hAnsi="Arial"/>
          <w:sz w:val="18"/>
          <w:szCs w:val="18"/>
          <w:color w:val="auto"/>
        </w:rPr>
        <w:t>Our loan portfolio is geographically disbursed throughout our marketplace. The following is the breakdown of our total held-for-investment commercial real estate loans, by region as of September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September 30, 2021</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2"/>
        </w:trPr>
        <w:tc>
          <w:tcPr>
            <w:tcW w:w="4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Commercial Real</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3"/>
        </w:trPr>
        <w:tc>
          <w:tcPr>
            <w:tcW w:w="49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Total Loans</w:t>
            </w:r>
          </w:p>
        </w:tc>
        <w:tc>
          <w:tcPr>
            <w:tcW w:w="9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0"/>
              </w:rPr>
              <w:t>Estate Loans</w:t>
            </w: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0"/>
        </w:trPr>
        <w:tc>
          <w:tcPr>
            <w:tcW w:w="4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(Dollars in thousands)</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 Angeles County</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3,272,657</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41.7 %</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2,201,389</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38.4 %</w:t>
            </w:r>
          </w:p>
        </w:tc>
      </w:tr>
      <w:tr>
        <w:trPr>
          <w:trHeight w:val="220"/>
        </w:trPr>
        <w:tc>
          <w:tcPr>
            <w:tcW w:w="4940" w:type="dxa"/>
            <w:vAlign w:val="bottom"/>
          </w:tcPr>
          <w:p>
            <w:pPr>
              <w:ind w:left="20"/>
              <w:spacing w:after="0"/>
              <w:rPr>
                <w:sz w:val="20"/>
                <w:szCs w:val="20"/>
                <w:color w:val="auto"/>
              </w:rPr>
            </w:pPr>
            <w:r>
              <w:rPr>
                <w:rFonts w:ascii="Arial" w:cs="Arial" w:eastAsia="Arial" w:hAnsi="Arial"/>
                <w:sz w:val="16"/>
                <w:szCs w:val="16"/>
                <w:color w:val="auto"/>
              </w:rPr>
              <w:t>Central Valley</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1,389,634</w:t>
            </w: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17.7 %</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1,088,972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19.0 %</w:t>
            </w:r>
          </w:p>
        </w:tc>
      </w:tr>
      <w:tr>
        <w:trPr>
          <w:trHeight w:val="23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Orange County</w:t>
            </w: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1,034,232</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13.2 %</w:t>
            </w:r>
          </w:p>
        </w:tc>
        <w:tc>
          <w:tcPr>
            <w:tcW w:w="6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674,864</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11.8 %</w:t>
            </w:r>
          </w:p>
        </w:tc>
      </w:tr>
      <w:tr>
        <w:trPr>
          <w:trHeight w:val="220"/>
        </w:trPr>
        <w:tc>
          <w:tcPr>
            <w:tcW w:w="4940" w:type="dxa"/>
            <w:vAlign w:val="bottom"/>
          </w:tcPr>
          <w:p>
            <w:pPr>
              <w:ind w:left="20"/>
              <w:spacing w:after="0"/>
              <w:rPr>
                <w:sz w:val="20"/>
                <w:szCs w:val="20"/>
                <w:color w:val="auto"/>
              </w:rPr>
            </w:pPr>
            <w:r>
              <w:rPr>
                <w:rFonts w:ascii="Arial" w:cs="Arial" w:eastAsia="Arial" w:hAnsi="Arial"/>
                <w:sz w:val="16"/>
                <w:szCs w:val="16"/>
                <w:color w:val="auto"/>
              </w:rPr>
              <w:t>Inland Empire</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1,009,682</w:t>
            </w: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12.9 %</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855,165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14.9 %</w:t>
            </w:r>
          </w:p>
        </w:tc>
      </w:tr>
      <w:tr>
        <w:trPr>
          <w:trHeight w:val="23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Central Coast</w:t>
            </w: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457,836</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5.8 %</w:t>
            </w:r>
          </w:p>
        </w:tc>
        <w:tc>
          <w:tcPr>
            <w:tcW w:w="6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386,436</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6.7 %</w:t>
            </w:r>
          </w:p>
        </w:tc>
      </w:tr>
      <w:tr>
        <w:trPr>
          <w:trHeight w:val="220"/>
        </w:trPr>
        <w:tc>
          <w:tcPr>
            <w:tcW w:w="4940" w:type="dxa"/>
            <w:vAlign w:val="bottom"/>
          </w:tcPr>
          <w:p>
            <w:pPr>
              <w:ind w:left="20"/>
              <w:spacing w:after="0"/>
              <w:rPr>
                <w:sz w:val="20"/>
                <w:szCs w:val="20"/>
                <w:color w:val="auto"/>
              </w:rPr>
            </w:pPr>
            <w:r>
              <w:rPr>
                <w:rFonts w:ascii="Arial" w:cs="Arial" w:eastAsia="Arial" w:hAnsi="Arial"/>
                <w:sz w:val="16"/>
                <w:szCs w:val="16"/>
                <w:color w:val="auto"/>
              </w:rPr>
              <w:t>San Diego</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248,478</w:t>
            </w: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3.2 %</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224,549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3.9 %</w:t>
            </w:r>
          </w:p>
        </w:tc>
      </w:tr>
      <w:tr>
        <w:trPr>
          <w:trHeight w:val="23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California</w:t>
            </w: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145,338</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1.8 %</w:t>
            </w:r>
          </w:p>
        </w:tc>
        <w:tc>
          <w:tcPr>
            <w:tcW w:w="6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92,624</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1.6 %</w:t>
            </w:r>
          </w:p>
        </w:tc>
      </w:tr>
      <w:tr>
        <w:trPr>
          <w:trHeight w:val="220"/>
        </w:trPr>
        <w:tc>
          <w:tcPr>
            <w:tcW w:w="4940" w:type="dxa"/>
            <w:vAlign w:val="bottom"/>
          </w:tcPr>
          <w:p>
            <w:pPr>
              <w:ind w:left="20"/>
              <w:spacing w:after="0"/>
              <w:rPr>
                <w:sz w:val="20"/>
                <w:szCs w:val="20"/>
                <w:color w:val="auto"/>
              </w:rPr>
            </w:pPr>
            <w:r>
              <w:rPr>
                <w:rFonts w:ascii="Arial" w:cs="Arial" w:eastAsia="Arial" w:hAnsi="Arial"/>
                <w:sz w:val="16"/>
                <w:szCs w:val="16"/>
                <w:color w:val="auto"/>
              </w:rPr>
              <w:t>Out of State</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291,663</w:t>
            </w: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3.7 %</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210,700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3.7 %</w:t>
            </w:r>
          </w:p>
        </w:tc>
      </w:tr>
      <w:tr>
        <w:trPr>
          <w:trHeight w:val="23"/>
        </w:trPr>
        <w:tc>
          <w:tcPr>
            <w:tcW w:w="4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43"/>
        </w:trPr>
        <w:tc>
          <w:tcPr>
            <w:tcW w:w="49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7,849,520</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100.0 %</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5,734,699</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100.0 %</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-25400</wp:posOffset>
            </wp:positionV>
            <wp:extent cx="22288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22288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30035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3003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21399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21399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breaks down our commercial real estate portfolio.</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13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1"/>
              </w:rPr>
              <w:t>Percent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Owner-</w:t>
            </w:r>
          </w:p>
        </w:tc>
        <w:tc>
          <w:tcPr>
            <w:tcW w:w="16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Average</w:t>
            </w:r>
          </w:p>
        </w:tc>
        <w:tc>
          <w:tcPr>
            <w:tcW w:w="100" w:type="dxa"/>
            <w:vAlign w:val="bottom"/>
          </w:tcPr>
          <w:p>
            <w:pPr>
              <w:spacing w:after="0"/>
              <w:rPr>
                <w:sz w:val="17"/>
                <w:szCs w:val="17"/>
                <w:color w:val="auto"/>
              </w:rPr>
            </w:pPr>
          </w:p>
        </w:tc>
      </w:tr>
      <w:tr>
        <w:trPr>
          <w:trHeight w:val="223"/>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Loan Balance</w:t>
            </w:r>
          </w:p>
        </w:tc>
        <w:tc>
          <w:tcPr>
            <w:tcW w:w="340" w:type="dxa"/>
            <w:vAlign w:val="bottom"/>
          </w:tcPr>
          <w:p>
            <w:pPr>
              <w:spacing w:after="0"/>
              <w:rPr>
                <w:sz w:val="19"/>
                <w:szCs w:val="19"/>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Percent</w:t>
            </w:r>
          </w:p>
        </w:tc>
        <w:tc>
          <w:tcPr>
            <w:tcW w:w="4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Occupied (1)</w:t>
            </w:r>
          </w:p>
        </w:tc>
        <w:tc>
          <w:tcPr>
            <w:tcW w:w="46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Loan Balance</w:t>
            </w:r>
          </w:p>
        </w:tc>
        <w:tc>
          <w:tcPr>
            <w:tcW w:w="100" w:type="dxa"/>
            <w:vAlign w:val="bottom"/>
          </w:tcPr>
          <w:p>
            <w:pPr>
              <w:spacing w:after="0"/>
              <w:rPr>
                <w:sz w:val="19"/>
                <w:szCs w:val="19"/>
                <w:color w:val="auto"/>
              </w:rPr>
            </w:pPr>
          </w:p>
        </w:tc>
      </w:tr>
      <w:tr>
        <w:trPr>
          <w:trHeight w:val="220"/>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gridSpan w:val="4"/>
          </w:tcPr>
          <w:p>
            <w:pPr>
              <w:jc w:val="right"/>
              <w:ind w:right="130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940" w:type="dxa"/>
            <w:vAlign w:val="bottom"/>
          </w:tcPr>
          <w:p>
            <w:pPr>
              <w:ind w:left="120"/>
              <w:spacing w:after="0"/>
              <w:rPr>
                <w:sz w:val="20"/>
                <w:szCs w:val="20"/>
                <w:color w:val="auto"/>
              </w:rPr>
            </w:pPr>
            <w:r>
              <w:rPr>
                <w:rFonts w:ascii="Arial" w:cs="Arial" w:eastAsia="Arial" w:hAnsi="Arial"/>
                <w:sz w:val="16"/>
                <w:szCs w:val="16"/>
                <w:color w:val="auto"/>
              </w:rPr>
              <w:t>Industrial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1,945,809</w:t>
            </w:r>
          </w:p>
        </w:tc>
        <w:tc>
          <w:tcPr>
            <w:tcW w:w="1720" w:type="dxa"/>
            <w:vAlign w:val="bottom"/>
            <w:gridSpan w:val="3"/>
          </w:tcPr>
          <w:p>
            <w:pPr>
              <w:jc w:val="right"/>
              <w:ind w:right="300"/>
              <w:spacing w:after="0"/>
              <w:rPr>
                <w:sz w:val="20"/>
                <w:szCs w:val="20"/>
                <w:color w:val="auto"/>
              </w:rPr>
            </w:pPr>
            <w:r>
              <w:rPr>
                <w:rFonts w:ascii="Arial" w:cs="Arial" w:eastAsia="Arial" w:hAnsi="Arial"/>
                <w:sz w:val="16"/>
                <w:szCs w:val="16"/>
                <w:color w:val="auto"/>
              </w:rPr>
              <w:t>33.9 %</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50.9 %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9"/>
                <w:szCs w:val="19"/>
                <w:color w:val="auto"/>
              </w:rPr>
            </w:pPr>
          </w:p>
        </w:tc>
      </w:tr>
      <w:tr>
        <w:trPr>
          <w:trHeight w:val="239"/>
        </w:trPr>
        <w:tc>
          <w:tcPr>
            <w:tcW w:w="4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Office</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1,045,711</w:t>
            </w:r>
          </w:p>
        </w:tc>
        <w:tc>
          <w:tcPr>
            <w:tcW w:w="17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18.2 %</w:t>
            </w: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23.3 %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FF0FC"/>
          </w:tcPr>
          <w:p>
            <w:pPr>
              <w:spacing w:after="0"/>
              <w:rPr>
                <w:sz w:val="20"/>
                <w:szCs w:val="20"/>
                <w:color w:val="auto"/>
              </w:rPr>
            </w:pPr>
          </w:p>
        </w:tc>
      </w:tr>
      <w:tr>
        <w:trPr>
          <w:trHeight w:val="220"/>
        </w:trPr>
        <w:tc>
          <w:tcPr>
            <w:tcW w:w="4940" w:type="dxa"/>
            <w:vAlign w:val="bottom"/>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809,686</w:t>
            </w:r>
          </w:p>
        </w:tc>
        <w:tc>
          <w:tcPr>
            <w:tcW w:w="1720" w:type="dxa"/>
            <w:vAlign w:val="bottom"/>
            <w:gridSpan w:val="3"/>
          </w:tcPr>
          <w:p>
            <w:pPr>
              <w:jc w:val="right"/>
              <w:ind w:right="300"/>
              <w:spacing w:after="0"/>
              <w:rPr>
                <w:sz w:val="20"/>
                <w:szCs w:val="20"/>
                <w:color w:val="auto"/>
              </w:rPr>
            </w:pPr>
            <w:r>
              <w:rPr>
                <w:rFonts w:ascii="Arial" w:cs="Arial" w:eastAsia="Arial" w:hAnsi="Arial"/>
                <w:sz w:val="16"/>
                <w:szCs w:val="16"/>
                <w:color w:val="auto"/>
              </w:rPr>
              <w:t>14.1 %</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10.5 %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Pr>
          <w:p>
            <w:pPr>
              <w:spacing w:after="0"/>
              <w:rPr>
                <w:sz w:val="19"/>
                <w:szCs w:val="19"/>
                <w:color w:val="auto"/>
              </w:rPr>
            </w:pPr>
          </w:p>
        </w:tc>
      </w:tr>
      <w:tr>
        <w:trPr>
          <w:trHeight w:val="239"/>
        </w:trPr>
        <w:tc>
          <w:tcPr>
            <w:tcW w:w="4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Multi-family</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646,004</w:t>
            </w:r>
          </w:p>
        </w:tc>
        <w:tc>
          <w:tcPr>
            <w:tcW w:w="17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11.3 %</w:t>
            </w: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1.9 %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FF0FC"/>
          </w:tcPr>
          <w:p>
            <w:pPr>
              <w:spacing w:after="0"/>
              <w:rPr>
                <w:sz w:val="20"/>
                <w:szCs w:val="20"/>
                <w:color w:val="auto"/>
              </w:rPr>
            </w:pPr>
          </w:p>
        </w:tc>
      </w:tr>
      <w:tr>
        <w:trPr>
          <w:trHeight w:val="220"/>
        </w:trPr>
        <w:tc>
          <w:tcPr>
            <w:tcW w:w="4940" w:type="dxa"/>
            <w:vAlign w:val="bottom"/>
          </w:tcPr>
          <w:p>
            <w:pPr>
              <w:ind w:left="120"/>
              <w:spacing w:after="0"/>
              <w:rPr>
                <w:sz w:val="20"/>
                <w:szCs w:val="20"/>
                <w:color w:val="auto"/>
              </w:rPr>
            </w:pPr>
            <w:r>
              <w:rPr>
                <w:rFonts w:ascii="Arial" w:cs="Arial" w:eastAsia="Arial" w:hAnsi="Arial"/>
                <w:sz w:val="16"/>
                <w:szCs w:val="16"/>
                <w:color w:val="auto"/>
              </w:rPr>
              <w:t>Secured by farmland (2)</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354,341</w:t>
            </w:r>
          </w:p>
        </w:tc>
        <w:tc>
          <w:tcPr>
            <w:tcW w:w="1720" w:type="dxa"/>
            <w:vAlign w:val="bottom"/>
            <w:gridSpan w:val="3"/>
          </w:tcPr>
          <w:p>
            <w:pPr>
              <w:jc w:val="right"/>
              <w:ind w:right="300"/>
              <w:spacing w:after="0"/>
              <w:rPr>
                <w:sz w:val="20"/>
                <w:szCs w:val="20"/>
                <w:color w:val="auto"/>
              </w:rPr>
            </w:pPr>
            <w:r>
              <w:rPr>
                <w:rFonts w:ascii="Arial" w:cs="Arial" w:eastAsia="Arial" w:hAnsi="Arial"/>
                <w:sz w:val="16"/>
                <w:szCs w:val="16"/>
                <w:color w:val="auto"/>
              </w:rPr>
              <w:t>6.2 %</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96.8 %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9"/>
                <w:szCs w:val="19"/>
                <w:color w:val="auto"/>
              </w:rPr>
            </w:pPr>
          </w:p>
        </w:tc>
      </w:tr>
      <w:tr>
        <w:trPr>
          <w:trHeight w:val="239"/>
        </w:trPr>
        <w:tc>
          <w:tcPr>
            <w:tcW w:w="4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Medical</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295,580</w:t>
            </w:r>
          </w:p>
        </w:tc>
        <w:tc>
          <w:tcPr>
            <w:tcW w:w="17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5.2 %</w:t>
            </w: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37.6 %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FF0FC"/>
          </w:tcPr>
          <w:p>
            <w:pPr>
              <w:spacing w:after="0"/>
              <w:rPr>
                <w:sz w:val="20"/>
                <w:szCs w:val="20"/>
                <w:color w:val="auto"/>
              </w:rPr>
            </w:pPr>
          </w:p>
        </w:tc>
      </w:tr>
      <w:tr>
        <w:trPr>
          <w:trHeight w:val="226"/>
        </w:trPr>
        <w:tc>
          <w:tcPr>
            <w:tcW w:w="4940" w:type="dxa"/>
            <w:vAlign w:val="bottom"/>
          </w:tcPr>
          <w:p>
            <w:pPr>
              <w:ind w:left="120"/>
              <w:spacing w:after="0"/>
              <w:rPr>
                <w:sz w:val="20"/>
                <w:szCs w:val="20"/>
                <w:color w:val="auto"/>
              </w:rPr>
            </w:pPr>
            <w:r>
              <w:rPr>
                <w:rFonts w:ascii="Arial" w:cs="Arial" w:eastAsia="Arial" w:hAnsi="Arial"/>
                <w:sz w:val="16"/>
                <w:szCs w:val="16"/>
                <w:color w:val="auto"/>
              </w:rPr>
              <w:t>Other (3)</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637,568</w:t>
            </w:r>
          </w:p>
        </w:tc>
        <w:tc>
          <w:tcPr>
            <w:tcW w:w="34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11.1 %</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52.3 %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commercial real estate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5,734,699</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100.0 %</w:t>
            </w: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37.0 %</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FF0FC"/>
          </w:tcPr>
          <w:p>
            <w:pPr>
              <w:spacing w:after="0"/>
              <w:rPr>
                <w:sz w:val="21"/>
                <w:szCs w:val="2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-25400</wp:posOffset>
            </wp:positionV>
            <wp:extent cx="22288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22288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29146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29146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4" w:lineRule="exact"/>
        <w:rPr>
          <w:sz w:val="20"/>
          <w:szCs w:val="20"/>
          <w:color w:val="auto"/>
        </w:rPr>
      </w:pPr>
    </w:p>
    <w:p>
      <w:pPr>
        <w:ind w:left="1240" w:hanging="393"/>
        <w:spacing w:after="0"/>
        <w:tabs>
          <w:tab w:leader="none" w:pos="1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percentage of reported owner-occupied at origination in each real estate loan category.</w:t>
      </w:r>
    </w:p>
    <w:p>
      <w:pPr>
        <w:spacing w:after="0" w:line="21" w:lineRule="exact"/>
        <w:rPr>
          <w:rFonts w:ascii="Arial" w:cs="Arial" w:eastAsia="Arial" w:hAnsi="Arial"/>
          <w:sz w:val="14"/>
          <w:szCs w:val="14"/>
          <w:color w:val="auto"/>
        </w:rPr>
      </w:pPr>
    </w:p>
    <w:p>
      <w:pPr>
        <w:ind w:left="1260" w:right="180" w:hanging="409"/>
        <w:spacing w:after="0" w:line="261" w:lineRule="auto"/>
        <w:tabs>
          <w:tab w:leader="none" w:pos="1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loans secured by farmland included $125.1 million for loans secured by dairy &amp; livestock land and $229.2 million for loans secured by agricultural land at September 30, 2021.</w:t>
      </w:r>
    </w:p>
    <w:p>
      <w:pPr>
        <w:ind w:left="1260" w:hanging="409"/>
        <w:spacing w:after="0"/>
        <w:tabs>
          <w:tab w:leader="none" w:pos="1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loans consist of a variety of loan types, none of which exceeds 2.0% of total commercial real estate loans at September 30, 2021.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information on nonperforming assets as of the dates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September 30, 2021</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December 31, 2020</w:t>
            </w:r>
          </w:p>
        </w:tc>
        <w:tc>
          <w:tcPr>
            <w:tcW w:w="240" w:type="dxa"/>
            <w:vAlign w:val="bottom"/>
          </w:tcPr>
          <w:p>
            <w:pPr>
              <w:spacing w:after="0"/>
              <w:rPr>
                <w:sz w:val="19"/>
                <w:szCs w:val="19"/>
                <w:color w:val="auto"/>
              </w:rPr>
            </w:pPr>
          </w:p>
        </w:tc>
      </w:tr>
      <w:tr>
        <w:trPr>
          <w:trHeight w:val="220"/>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40" w:type="dxa"/>
            <w:vAlign w:val="bottom"/>
            <w:gridSpan w:val="5"/>
          </w:tcPr>
          <w:p>
            <w:pPr>
              <w:jc w:val="right"/>
              <w:ind w:right="1480"/>
              <w:spacing w:after="0"/>
              <w:rPr>
                <w:sz w:val="20"/>
                <w:szCs w:val="20"/>
                <w:color w:val="auto"/>
              </w:rPr>
            </w:pPr>
            <w:r>
              <w:rPr>
                <w:rFonts w:ascii="Arial" w:cs="Arial" w:eastAsia="Arial" w:hAnsi="Arial"/>
                <w:sz w:val="16"/>
                <w:szCs w:val="16"/>
                <w:i w:val="1"/>
                <w:iCs w:val="1"/>
                <w:color w:val="auto"/>
              </w:rPr>
              <w:t>(Dollars in thousands)</w:t>
            </w:r>
          </w:p>
        </w:tc>
      </w:tr>
      <w:tr>
        <w:trPr>
          <w:trHeight w:val="239"/>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Nonaccrual loans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8,446</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14,347</w:t>
            </w:r>
          </w:p>
        </w:tc>
        <w:tc>
          <w:tcPr>
            <w:tcW w:w="240" w:type="dxa"/>
            <w:vAlign w:val="bottom"/>
            <w:shd w:val="clear" w:color="auto" w:fill="CFF0FC"/>
          </w:tcPr>
          <w:p>
            <w:pPr>
              <w:spacing w:after="0"/>
              <w:rPr>
                <w:sz w:val="20"/>
                <w:szCs w:val="20"/>
                <w:color w:val="auto"/>
              </w:rPr>
            </w:pPr>
          </w:p>
        </w:tc>
      </w:tr>
      <w:tr>
        <w:trPr>
          <w:trHeight w:val="220"/>
        </w:trPr>
        <w:tc>
          <w:tcPr>
            <w:tcW w:w="7060" w:type="dxa"/>
            <w:vAlign w:val="bottom"/>
          </w:tcPr>
          <w:p>
            <w:pPr>
              <w:ind w:left="20"/>
              <w:spacing w:after="0"/>
              <w:rPr>
                <w:sz w:val="20"/>
                <w:szCs w:val="20"/>
                <w:color w:val="auto"/>
              </w:rPr>
            </w:pPr>
            <w:r>
              <w:rPr>
                <w:rFonts w:ascii="Arial" w:cs="Arial" w:eastAsia="Arial" w:hAnsi="Arial"/>
                <w:sz w:val="16"/>
                <w:szCs w:val="16"/>
                <w:color w:val="auto"/>
              </w:rPr>
              <w:t>Loans past due 90 days or more and still accruing interest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r>
      <w:tr>
        <w:trPr>
          <w:trHeight w:val="236"/>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Nonperforming troubled debt restructured loans (TDRs)</w:t>
            </w:r>
          </w:p>
        </w:tc>
        <w:tc>
          <w:tcPr>
            <w:tcW w:w="14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r>
      <w:tr>
        <w:trPr>
          <w:trHeight w:val="216"/>
        </w:trPr>
        <w:tc>
          <w:tcPr>
            <w:tcW w:w="7060" w:type="dxa"/>
            <w:vAlign w:val="bottom"/>
          </w:tcPr>
          <w:p>
            <w:pPr>
              <w:ind w:left="140"/>
              <w:spacing w:after="0"/>
              <w:rPr>
                <w:sz w:val="20"/>
                <w:szCs w:val="20"/>
                <w:color w:val="auto"/>
              </w:rPr>
            </w:pPr>
            <w:r>
              <w:rPr>
                <w:rFonts w:ascii="Arial" w:cs="Arial" w:eastAsia="Arial" w:hAnsi="Arial"/>
                <w:sz w:val="16"/>
                <w:szCs w:val="16"/>
                <w:b w:val="1"/>
                <w:bCs w:val="1"/>
                <w:color w:val="auto"/>
              </w:rPr>
              <w:t>Total nonperforming loans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8,446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14,347</w:t>
            </w:r>
          </w:p>
        </w:tc>
        <w:tc>
          <w:tcPr>
            <w:tcW w:w="240" w:type="dxa"/>
            <w:vAlign w:val="bottom"/>
          </w:tcPr>
          <w:p>
            <w:pPr>
              <w:spacing w:after="0"/>
              <w:rPr>
                <w:sz w:val="18"/>
                <w:szCs w:val="18"/>
                <w:color w:val="auto"/>
              </w:rPr>
            </w:pPr>
          </w:p>
        </w:tc>
      </w:tr>
      <w:tr>
        <w:trPr>
          <w:trHeight w:val="236"/>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OREO, net</w:t>
            </w:r>
          </w:p>
        </w:tc>
        <w:tc>
          <w:tcPr>
            <w:tcW w:w="14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3,392</w:t>
            </w:r>
          </w:p>
        </w:tc>
        <w:tc>
          <w:tcPr>
            <w:tcW w:w="240" w:type="dxa"/>
            <w:vAlign w:val="bottom"/>
            <w:tcBorders>
              <w:bottom w:val="single" w:sz="8" w:color="CFF0FC"/>
            </w:tcBorders>
            <w:shd w:val="clear" w:color="auto" w:fill="CFF0FC"/>
          </w:tcPr>
          <w:p>
            <w:pPr>
              <w:spacing w:after="0"/>
              <w:rPr>
                <w:sz w:val="20"/>
                <w:szCs w:val="20"/>
                <w:color w:val="auto"/>
              </w:rPr>
            </w:pPr>
          </w:p>
        </w:tc>
      </w:tr>
      <w:tr>
        <w:trPr>
          <w:trHeight w:val="226"/>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nonperforming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8,446</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17,739</w:t>
            </w:r>
          </w:p>
        </w:tc>
        <w:tc>
          <w:tcPr>
            <w:tcW w:w="24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Performing TDRs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7,975</w:t>
            </w:r>
          </w:p>
        </w:tc>
        <w:tc>
          <w:tcPr>
            <w:tcW w:w="4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420"/>
        </w:trPr>
        <w:tc>
          <w:tcPr>
            <w:tcW w:w="7060" w:type="dxa"/>
            <w:vAlign w:val="bottom"/>
          </w:tcPr>
          <w:p>
            <w:pPr>
              <w:ind w:left="20"/>
              <w:spacing w:after="0"/>
              <w:rPr>
                <w:sz w:val="20"/>
                <w:szCs w:val="20"/>
                <w:color w:val="auto"/>
              </w:rPr>
            </w:pPr>
            <w:r>
              <w:rPr>
                <w:rFonts w:ascii="Arial" w:cs="Arial" w:eastAsia="Arial" w:hAnsi="Arial"/>
                <w:sz w:val="16"/>
                <w:szCs w:val="16"/>
                <w:color w:val="auto"/>
              </w:rPr>
              <w:t>Total nonperforming loans and performing TDRs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16,421</w:t>
            </w:r>
          </w:p>
        </w:tc>
        <w:tc>
          <w:tcPr>
            <w:tcW w:w="4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16,506</w:t>
            </w:r>
          </w:p>
        </w:tc>
        <w:tc>
          <w:tcPr>
            <w:tcW w:w="240" w:type="dxa"/>
            <w:vAlign w:val="bottom"/>
          </w:tcPr>
          <w:p>
            <w:pPr>
              <w:spacing w:after="0"/>
              <w:rPr>
                <w:sz w:val="24"/>
                <w:szCs w:val="24"/>
                <w:color w:val="auto"/>
              </w:rPr>
            </w:pPr>
          </w:p>
        </w:tc>
      </w:tr>
      <w:tr>
        <w:trPr>
          <w:trHeight w:val="249"/>
        </w:trPr>
        <w:tc>
          <w:tcPr>
            <w:tcW w:w="7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6"/>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Percentage of nonperforming loans and performing TDRs to total loans,</w:t>
            </w:r>
          </w:p>
        </w:tc>
        <w:tc>
          <w:tcPr>
            <w:tcW w:w="1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26"/>
        </w:trPr>
        <w:tc>
          <w:tcPr>
            <w:tcW w:w="70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at amortized cost</w:t>
            </w:r>
          </w:p>
        </w:tc>
        <w:tc>
          <w:tcPr>
            <w:tcW w:w="14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0.21 %</w:t>
            </w: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0.20 %</w:t>
            </w:r>
          </w:p>
        </w:tc>
      </w:tr>
      <w:tr>
        <w:trPr>
          <w:trHeight w:val="436"/>
        </w:trPr>
        <w:tc>
          <w:tcPr>
            <w:tcW w:w="7060" w:type="dxa"/>
            <w:vAlign w:val="bottom"/>
          </w:tcPr>
          <w:p>
            <w:pPr>
              <w:ind w:left="20"/>
              <w:spacing w:after="0"/>
              <w:rPr>
                <w:sz w:val="20"/>
                <w:szCs w:val="20"/>
                <w:color w:val="auto"/>
              </w:rPr>
            </w:pPr>
            <w:r>
              <w:rPr>
                <w:rFonts w:ascii="Arial" w:cs="Arial" w:eastAsia="Arial" w:hAnsi="Arial"/>
                <w:sz w:val="16"/>
                <w:szCs w:val="16"/>
                <w:color w:val="auto"/>
              </w:rPr>
              <w:t>Percentage of nonperforming assets to total loans, at amortized cost,</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060" w:type="dxa"/>
            <w:vAlign w:val="bottom"/>
          </w:tcPr>
          <w:p>
            <w:pPr>
              <w:ind w:left="140"/>
              <w:spacing w:after="0"/>
              <w:rPr>
                <w:sz w:val="20"/>
                <w:szCs w:val="20"/>
                <w:color w:val="auto"/>
              </w:rPr>
            </w:pPr>
            <w:r>
              <w:rPr>
                <w:rFonts w:ascii="Arial" w:cs="Arial" w:eastAsia="Arial" w:hAnsi="Arial"/>
                <w:sz w:val="16"/>
                <w:szCs w:val="16"/>
                <w:color w:val="auto"/>
              </w:rPr>
              <w:t>and OREO</w:t>
            </w:r>
          </w:p>
        </w:tc>
        <w:tc>
          <w:tcPr>
            <w:tcW w:w="140" w:type="dxa"/>
            <w:vAlign w:val="bottom"/>
          </w:tcPr>
          <w:p>
            <w:pPr>
              <w:spacing w:after="0"/>
              <w:rPr>
                <w:sz w:val="18"/>
                <w:szCs w:val="18"/>
                <w:color w:val="auto"/>
              </w:rPr>
            </w:pPr>
          </w:p>
        </w:tc>
        <w:tc>
          <w:tcPr>
            <w:tcW w:w="2060" w:type="dxa"/>
            <w:vAlign w:val="bottom"/>
            <w:gridSpan w:val="2"/>
          </w:tcPr>
          <w:p>
            <w:pPr>
              <w:jc w:val="right"/>
              <w:ind w:right="280"/>
              <w:spacing w:after="0"/>
              <w:rPr>
                <w:sz w:val="20"/>
                <w:szCs w:val="20"/>
                <w:color w:val="auto"/>
              </w:rPr>
            </w:pPr>
            <w:r>
              <w:rPr>
                <w:rFonts w:ascii="Arial" w:cs="Arial" w:eastAsia="Arial" w:hAnsi="Arial"/>
                <w:sz w:val="16"/>
                <w:szCs w:val="16"/>
                <w:color w:val="auto"/>
              </w:rPr>
              <w:t>0.11 %</w:t>
            </w: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0.21 %</w:t>
            </w:r>
          </w:p>
        </w:tc>
      </w:tr>
      <w:tr>
        <w:trPr>
          <w:trHeight w:val="239"/>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Percentage of nonperforming assets to total assets</w:t>
            </w:r>
          </w:p>
        </w:tc>
        <w:tc>
          <w:tcPr>
            <w:tcW w:w="140" w:type="dxa"/>
            <w:vAlign w:val="bottom"/>
            <w:shd w:val="clear" w:color="auto" w:fill="CFF0FC"/>
          </w:tcPr>
          <w:p>
            <w:pPr>
              <w:spacing w:after="0"/>
              <w:rPr>
                <w:sz w:val="20"/>
                <w:szCs w:val="20"/>
                <w:color w:val="auto"/>
              </w:rPr>
            </w:pPr>
          </w:p>
        </w:tc>
        <w:tc>
          <w:tcPr>
            <w:tcW w:w="2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0.05 %</w:t>
            </w:r>
          </w:p>
        </w:tc>
        <w:tc>
          <w:tcPr>
            <w:tcW w:w="16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-1925320</wp:posOffset>
            </wp:positionV>
            <wp:extent cx="274320" cy="571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-1925320</wp:posOffset>
            </wp:positionV>
            <wp:extent cx="154305" cy="57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-1624965</wp:posOffset>
            </wp:positionV>
            <wp:extent cx="274320" cy="57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-1624965</wp:posOffset>
            </wp:positionV>
            <wp:extent cx="154305" cy="57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-1302385</wp:posOffset>
            </wp:positionV>
            <wp:extent cx="2743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-1285240</wp:posOffset>
            </wp:positionV>
            <wp:extent cx="27432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-1302385</wp:posOffset>
            </wp:positionV>
            <wp:extent cx="15430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-1285240</wp:posOffset>
            </wp:positionV>
            <wp:extent cx="15430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 (“TDRs”)</w:t>
      </w:r>
    </w:p>
    <w:p>
      <w:pPr>
        <w:spacing w:after="0" w:line="252" w:lineRule="exact"/>
        <w:rPr>
          <w:sz w:val="20"/>
          <w:szCs w:val="20"/>
          <w:color w:val="auto"/>
        </w:rPr>
      </w:pPr>
    </w:p>
    <w:p>
      <w:pPr>
        <w:ind w:right="20" w:firstLine="469"/>
        <w:spacing w:after="0" w:line="272" w:lineRule="auto"/>
        <w:rPr>
          <w:sz w:val="20"/>
          <w:szCs w:val="20"/>
          <w:color w:val="auto"/>
        </w:rPr>
      </w:pPr>
      <w:r>
        <w:rPr>
          <w:rFonts w:ascii="Arial" w:cs="Arial" w:eastAsia="Arial" w:hAnsi="Arial"/>
          <w:sz w:val="18"/>
          <w:szCs w:val="18"/>
          <w:color w:val="auto"/>
        </w:rPr>
        <w:t>Total TDRs were $8.0 million at September 30, 2021, compared to $2.2 million at December 31, 2020. At September 30, 2021,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summary of TDRs as of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20"/>
                <w:szCs w:val="20"/>
                <w:color w:val="auto"/>
              </w:rPr>
            </w:pPr>
          </w:p>
        </w:tc>
      </w:tr>
      <w:tr>
        <w:trPr>
          <w:trHeight w:val="238"/>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20"/>
                <w:szCs w:val="20"/>
                <w:color w:val="auto"/>
              </w:rPr>
            </w:pPr>
          </w:p>
        </w:tc>
      </w:tr>
      <w:tr>
        <w:trPr>
          <w:trHeight w:val="241"/>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b w:val="1"/>
                <w:bCs w:val="1"/>
                <w:color w:val="auto"/>
                <w:w w:val="86"/>
              </w:rPr>
              <w:t>Loans</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r>
      <w:tr>
        <w:trPr>
          <w:trHeight w:val="247"/>
        </w:trPr>
        <w:tc>
          <w:tcPr>
            <w:tcW w:w="5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5"/>
          </w:tcPr>
          <w:p>
            <w:pPr>
              <w:jc w:val="right"/>
              <w:ind w:right="59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5420" w:type="dxa"/>
            <w:vAlign w:val="bottom"/>
          </w:tcPr>
          <w:p>
            <w:pPr>
              <w:ind w:left="12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63"/>
        </w:trPr>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420" w:type="dxa"/>
            <w:vAlign w:val="bottom"/>
          </w:tcPr>
          <w:p>
            <w:pPr>
              <w:ind w:left="12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r>
      <w:tr>
        <w:trPr>
          <w:trHeight w:val="250"/>
        </w:trPr>
        <w:tc>
          <w:tcPr>
            <w:tcW w:w="5420" w:type="dxa"/>
            <w:vAlign w:val="bottom"/>
          </w:tcPr>
          <w:p>
            <w:pPr>
              <w:ind w:left="120"/>
              <w:spacing w:after="0"/>
              <w:rPr>
                <w:sz w:val="20"/>
                <w:szCs w:val="20"/>
                <w:color w:val="auto"/>
              </w:rPr>
            </w:pPr>
            <w:r>
              <w:rPr>
                <w:rFonts w:ascii="Arial" w:cs="Arial" w:eastAsia="Arial" w:hAnsi="Arial"/>
                <w:sz w:val="18"/>
                <w:szCs w:val="18"/>
                <w:color w:val="auto"/>
              </w:rPr>
              <w:t>Dairy &amp; livestock and agribusiness</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SFR mortgage</w:t>
            </w:r>
          </w:p>
        </w:tc>
        <w:tc>
          <w:tcPr>
            <w:tcW w:w="1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2"/>
                <w:szCs w:val="22"/>
                <w:color w:val="auto"/>
              </w:rPr>
            </w:pPr>
          </w:p>
        </w:tc>
      </w:tr>
      <w:tr>
        <w:trPr>
          <w:trHeight w:val="257"/>
        </w:trPr>
        <w:tc>
          <w:tcPr>
            <w:tcW w:w="5420" w:type="dxa"/>
            <w:vAlign w:val="bottom"/>
          </w:tcPr>
          <w:p>
            <w:pPr>
              <w:ind w:left="120"/>
              <w:spacing w:after="0"/>
              <w:rPr>
                <w:sz w:val="20"/>
                <w:szCs w:val="20"/>
                <w:color w:val="auto"/>
              </w:rPr>
            </w:pPr>
            <w:r>
              <w:rPr>
                <w:rFonts w:ascii="Arial" w:cs="Arial" w:eastAsia="Arial" w:hAnsi="Arial"/>
                <w:sz w:val="18"/>
                <w:szCs w:val="18"/>
                <w:color w:val="auto"/>
              </w:rPr>
              <w:t>Consumer and other</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54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performing TDRs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7,975</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r>
      <w:tr>
        <w:trPr>
          <w:trHeight w:val="500"/>
        </w:trPr>
        <w:tc>
          <w:tcPr>
            <w:tcW w:w="54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Nonperforming TDRs:</w:t>
            </w: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63"/>
        </w:trPr>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42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42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Dairy &amp; livestock and agribusiness</w:t>
            </w:r>
          </w:p>
        </w:tc>
        <w:tc>
          <w:tcPr>
            <w:tcW w:w="1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420" w:type="dxa"/>
            <w:vAlign w:val="bottom"/>
          </w:tcPr>
          <w:p>
            <w:pPr>
              <w:ind w:left="120"/>
              <w:spacing w:after="0"/>
              <w:rPr>
                <w:sz w:val="20"/>
                <w:szCs w:val="20"/>
                <w:color w:val="auto"/>
              </w:rPr>
            </w:pPr>
            <w:r>
              <w:rPr>
                <w:rFonts w:ascii="Arial" w:cs="Arial" w:eastAsia="Arial" w:hAnsi="Arial"/>
                <w:sz w:val="18"/>
                <w:szCs w:val="18"/>
                <w:color w:val="auto"/>
              </w:rPr>
              <w:t>SFR mortgage</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Consumer and other</w:t>
            </w:r>
          </w:p>
        </w:tc>
        <w:tc>
          <w:tcPr>
            <w:tcW w:w="1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20" w:type="dxa"/>
            <w:vAlign w:val="bottom"/>
          </w:tcPr>
          <w:p>
            <w:pPr>
              <w:ind w:left="300"/>
              <w:spacing w:after="0"/>
              <w:rPr>
                <w:sz w:val="20"/>
                <w:szCs w:val="20"/>
                <w:color w:val="auto"/>
              </w:rPr>
            </w:pPr>
            <w:r>
              <w:rPr>
                <w:rFonts w:ascii="Arial" w:cs="Arial" w:eastAsia="Arial" w:hAnsi="Arial"/>
                <w:sz w:val="18"/>
                <w:szCs w:val="18"/>
                <w:color w:val="auto"/>
              </w:rPr>
              <w:t>Total nonperforming TDRs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5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TDRs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7,975</w:t>
            </w:r>
          </w:p>
        </w:tc>
        <w:tc>
          <w:tcPr>
            <w:tcW w:w="22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4"/>
                <w:szCs w:val="24"/>
                <w:color w:val="auto"/>
              </w:rPr>
            </w:pPr>
          </w:p>
        </w:tc>
      </w:tr>
      <w:tr>
        <w:trPr>
          <w:trHeight w:val="439"/>
        </w:trPr>
        <w:tc>
          <w:tcPr>
            <w:tcW w:w="54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89"/>
              </w:rPr>
              <w:t>56</w:t>
            </w:r>
          </w:p>
        </w:tc>
        <w:tc>
          <w:tcPr>
            <w:tcW w:w="2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44"/>
        </w:trPr>
        <w:tc>
          <w:tcPr>
            <w:tcW w:w="5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-2362200</wp:posOffset>
            </wp:positionV>
            <wp:extent cx="146050" cy="57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-2362200</wp:posOffset>
            </wp:positionV>
            <wp:extent cx="128905" cy="571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-2362200</wp:posOffset>
            </wp:positionV>
            <wp:extent cx="128905" cy="57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-2362200</wp:posOffset>
            </wp:positionV>
            <wp:extent cx="68580" cy="57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-887730</wp:posOffset>
            </wp:positionV>
            <wp:extent cx="146050" cy="57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-887730</wp:posOffset>
            </wp:positionV>
            <wp:extent cx="128905" cy="57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-887730</wp:posOffset>
            </wp:positionV>
            <wp:extent cx="128905" cy="571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-887730</wp:posOffset>
            </wp:positionV>
            <wp:extent cx="68580" cy="571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-548005</wp:posOffset>
            </wp:positionV>
            <wp:extent cx="14605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-530860</wp:posOffset>
            </wp:positionV>
            <wp:extent cx="14605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-548005</wp:posOffset>
            </wp:positionV>
            <wp:extent cx="12890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-530860</wp:posOffset>
            </wp:positionV>
            <wp:extent cx="12890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-548005</wp:posOffset>
            </wp:positionV>
            <wp:extent cx="12890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-530860</wp:posOffset>
            </wp:positionV>
            <wp:extent cx="12890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149" w:gutter="0" w:footer="0" w:header="0"/>
        </w:sectPr>
      </w:pPr>
    </w:p>
    <w:bookmarkStart w:id="56" w:name="page57"/>
    <w:bookmarkEnd w:id="56"/>
    <w:p>
      <w:pPr>
        <w:ind w:right="160" w:firstLine="469"/>
        <w:spacing w:after="0" w:line="279" w:lineRule="auto"/>
        <w:rPr>
          <w:sz w:val="20"/>
          <w:szCs w:val="20"/>
          <w:color w:val="auto"/>
        </w:rPr>
      </w:pPr>
      <w:r>
        <w:rPr>
          <w:rFonts w:ascii="Arial" w:cs="Arial" w:eastAsia="Arial" w:hAnsi="Arial"/>
          <w:sz w:val="18"/>
          <w:szCs w:val="18"/>
          <w:color w:val="auto"/>
        </w:rPr>
        <w:t>At September 30, 2021 and December 31, 2020, there was no ACL allocated to TDRs. Impairment amounts identified are typically charged off against the allowance at the time the loan is considered uncollectible. There were no charge-offs on TDRs for the nine months ended September 30, 2021 and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 and Delinquencies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trends in our nonperforming assets and delinquencies as of the dates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6"/>
                <w:szCs w:val="16"/>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i w:val="1"/>
                <w:iCs w:val="1"/>
                <w:color w:val="auto"/>
                <w:w w:val="98"/>
              </w:rPr>
              <w:t>(Dollars in thousands)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FF0FC"/>
          </w:tcPr>
          <w:p>
            <w:pPr>
              <w:spacing w:after="0"/>
              <w:rPr>
                <w:sz w:val="14"/>
                <w:szCs w:val="14"/>
                <w:color w:val="auto"/>
              </w:rPr>
            </w:pPr>
          </w:p>
        </w:tc>
        <w:tc>
          <w:tcPr>
            <w:tcW w:w="3680" w:type="dxa"/>
            <w:vAlign w:val="bottom"/>
            <w:gridSpan w:val="4"/>
            <w:shd w:val="clear" w:color="auto" w:fill="CFF0FC"/>
          </w:tcPr>
          <w:p>
            <w:pPr>
              <w:spacing w:after="0"/>
              <w:rPr>
                <w:sz w:val="20"/>
                <w:szCs w:val="20"/>
                <w:color w:val="auto"/>
              </w:rPr>
            </w:pPr>
            <w:r>
              <w:rPr>
                <w:rFonts w:ascii="Arial" w:cs="Arial" w:eastAsia="Arial" w:hAnsi="Arial"/>
                <w:sz w:val="14"/>
                <w:szCs w:val="14"/>
                <w:b w:val="1"/>
                <w:bCs w:val="1"/>
                <w:color w:val="auto"/>
              </w:rPr>
              <w:t>Nonperforming loans:</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4,073</w:t>
            </w:r>
          </w:p>
        </w:tc>
        <w:tc>
          <w:tcPr>
            <w:tcW w:w="4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4,439</w:t>
            </w:r>
          </w:p>
        </w:tc>
        <w:tc>
          <w:tcPr>
            <w:tcW w:w="220" w:type="dxa"/>
            <w:vAlign w:val="bottom"/>
          </w:tcPr>
          <w:p>
            <w:pPr>
              <w:spacing w:after="0"/>
              <w:rPr>
                <w:sz w:val="17"/>
                <w:szCs w:val="17"/>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7,395</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7,563</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6,481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680" w:type="dxa"/>
            <w:vAlign w:val="bottom"/>
            <w:gridSpan w:val="4"/>
            <w:shd w:val="clear" w:color="auto" w:fill="CFF0FC"/>
          </w:tcPr>
          <w:p>
            <w:pPr>
              <w:ind w:left="18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SBA</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1,513</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680" w:type="dxa"/>
            <w:vAlign w:val="bottom"/>
            <w:gridSpan w:val="4"/>
            <w:shd w:val="clear" w:color="auto" w:fill="CFF0FC"/>
          </w:tcPr>
          <w:p>
            <w:pPr>
              <w:ind w:left="180"/>
              <w:spacing w:after="0"/>
              <w:rPr>
                <w:sz w:val="20"/>
                <w:szCs w:val="20"/>
                <w:color w:val="auto"/>
              </w:rPr>
            </w:pPr>
            <w:r>
              <w:rPr>
                <w:rFonts w:ascii="Arial" w:cs="Arial" w:eastAsia="Arial" w:hAnsi="Arial"/>
                <w:sz w:val="14"/>
                <w:szCs w:val="14"/>
                <w:color w:val="auto"/>
              </w:rPr>
              <w:t>Commercial and industrial</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2,038</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2,967</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3,129</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1,822</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Dairy &amp; livestock and agribusiness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259</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680" w:type="dxa"/>
            <w:vAlign w:val="bottom"/>
            <w:gridSpan w:val="4"/>
            <w:shd w:val="clear" w:color="auto" w:fill="CFF0FC"/>
          </w:tcPr>
          <w:p>
            <w:pPr>
              <w:ind w:left="180"/>
              <w:spacing w:after="0"/>
              <w:rPr>
                <w:sz w:val="20"/>
                <w:szCs w:val="20"/>
                <w:color w:val="auto"/>
              </w:rPr>
            </w:pPr>
            <w:r>
              <w:rPr>
                <w:rFonts w:ascii="Arial" w:cs="Arial" w:eastAsia="Arial" w:hAnsi="Arial"/>
                <w:sz w:val="14"/>
                <w:szCs w:val="14"/>
                <w:color w:val="auto"/>
              </w:rPr>
              <w:t>SFR mortgage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Consumer and other loans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68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8,446</w:t>
            </w:r>
          </w:p>
        </w:tc>
        <w:tc>
          <w:tcPr>
            <w:tcW w:w="4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8,471</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13,769</w:t>
            </w:r>
          </w:p>
        </w:tc>
        <w:tc>
          <w:tcPr>
            <w:tcW w:w="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14,347</w:t>
            </w:r>
          </w:p>
        </w:tc>
        <w:tc>
          <w:tcPr>
            <w:tcW w:w="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11,775</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gridSpan w:val="4"/>
          </w:tcPr>
          <w:p>
            <w:pPr>
              <w:ind w:left="360"/>
              <w:spacing w:after="0"/>
              <w:rPr>
                <w:sz w:val="20"/>
                <w:szCs w:val="20"/>
                <w:color w:val="auto"/>
              </w:rPr>
            </w:pPr>
            <w:r>
              <w:rPr>
                <w:rFonts w:ascii="Arial" w:cs="Arial" w:eastAsia="Arial" w:hAnsi="Arial"/>
                <w:sz w:val="14"/>
                <w:szCs w:val="14"/>
                <w:b w:val="1"/>
                <w:bCs w:val="1"/>
                <w:color w:val="auto"/>
              </w:rPr>
              <w:t>% of Total loans</w:t>
            </w:r>
          </w:p>
        </w:tc>
        <w:tc>
          <w:tcPr>
            <w:tcW w:w="12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0.11 %</w:t>
            </w:r>
          </w:p>
        </w:tc>
        <w:tc>
          <w:tcPr>
            <w:tcW w:w="2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0.10 %</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0.17 %</w:t>
            </w:r>
          </w:p>
        </w:tc>
        <w:tc>
          <w:tcPr>
            <w:tcW w:w="1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0.17 %</w:t>
            </w: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0.14 %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3680" w:type="dxa"/>
            <w:vAlign w:val="bottom"/>
            <w:gridSpan w:val="4"/>
            <w:shd w:val="clear" w:color="auto" w:fill="CFF0FC"/>
          </w:tcPr>
          <w:p>
            <w:pPr>
              <w:spacing w:after="0"/>
              <w:rPr>
                <w:sz w:val="20"/>
                <w:szCs w:val="20"/>
                <w:color w:val="auto"/>
              </w:rPr>
            </w:pPr>
            <w:r>
              <w:rPr>
                <w:rFonts w:ascii="Arial" w:cs="Arial" w:eastAsia="Arial" w:hAnsi="Arial"/>
                <w:sz w:val="14"/>
                <w:szCs w:val="14"/>
                <w:b w:val="1"/>
                <w:bCs w:val="1"/>
                <w:color w:val="auto"/>
              </w:rPr>
              <w:t>Past due 30-89 days:</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680" w:type="dxa"/>
            <w:vAlign w:val="bottom"/>
            <w:gridSpan w:val="4"/>
            <w:shd w:val="clear" w:color="auto" w:fill="CFF0FC"/>
          </w:tcPr>
          <w:p>
            <w:pPr>
              <w:ind w:left="18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SBA</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258</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1,965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680" w:type="dxa"/>
            <w:vAlign w:val="bottom"/>
            <w:gridSpan w:val="4"/>
            <w:shd w:val="clear" w:color="auto" w:fill="CFF0FC"/>
          </w:tcPr>
          <w:p>
            <w:pPr>
              <w:ind w:left="180"/>
              <w:spacing w:after="0"/>
              <w:rPr>
                <w:sz w:val="20"/>
                <w:szCs w:val="20"/>
                <w:color w:val="auto"/>
              </w:rPr>
            </w:pPr>
            <w:r>
              <w:rPr>
                <w:rFonts w:ascii="Arial" w:cs="Arial" w:eastAsia="Arial" w:hAnsi="Arial"/>
                <w:sz w:val="14"/>
                <w:szCs w:val="14"/>
                <w:color w:val="auto"/>
              </w:rPr>
              <w:t>Commercial and industrial</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3,627</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Dairy &amp; livestock and agribusiness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680" w:type="dxa"/>
            <w:vAlign w:val="bottom"/>
            <w:gridSpan w:val="4"/>
            <w:shd w:val="clear" w:color="auto" w:fill="CFF0FC"/>
          </w:tcPr>
          <w:p>
            <w:pPr>
              <w:ind w:left="180"/>
              <w:spacing w:after="0"/>
              <w:rPr>
                <w:sz w:val="20"/>
                <w:szCs w:val="20"/>
                <w:color w:val="auto"/>
              </w:rPr>
            </w:pPr>
            <w:r>
              <w:rPr>
                <w:rFonts w:ascii="Arial" w:cs="Arial" w:eastAsia="Arial" w:hAnsi="Arial"/>
                <w:sz w:val="14"/>
                <w:szCs w:val="14"/>
                <w:color w:val="auto"/>
              </w:rPr>
              <w:t>SFR mortgage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Consumer and other loans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68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1,122</w:t>
            </w:r>
          </w:p>
        </w:tc>
        <w:tc>
          <w:tcPr>
            <w:tcW w:w="4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415</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1,675</w:t>
            </w:r>
          </w:p>
        </w:tc>
        <w:tc>
          <w:tcPr>
            <w:tcW w:w="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3,066</w:t>
            </w:r>
          </w:p>
        </w:tc>
        <w:tc>
          <w:tcPr>
            <w:tcW w:w="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3,760</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gridSpan w:val="4"/>
          </w:tcPr>
          <w:p>
            <w:pPr>
              <w:ind w:left="360"/>
              <w:spacing w:after="0"/>
              <w:rPr>
                <w:sz w:val="20"/>
                <w:szCs w:val="20"/>
                <w:color w:val="auto"/>
              </w:rPr>
            </w:pPr>
            <w:r>
              <w:rPr>
                <w:rFonts w:ascii="Arial" w:cs="Arial" w:eastAsia="Arial" w:hAnsi="Arial"/>
                <w:sz w:val="14"/>
                <w:szCs w:val="14"/>
                <w:b w:val="1"/>
                <w:bCs w:val="1"/>
                <w:color w:val="auto"/>
              </w:rPr>
              <w:t>% of Total loans</w:t>
            </w:r>
          </w:p>
        </w:tc>
        <w:tc>
          <w:tcPr>
            <w:tcW w:w="12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0.01 %</w:t>
            </w:r>
          </w:p>
        </w:tc>
        <w:tc>
          <w:tcPr>
            <w:tcW w:w="2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0.01 %</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0.02 %</w:t>
            </w:r>
          </w:p>
        </w:tc>
        <w:tc>
          <w:tcPr>
            <w:tcW w:w="1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0.04 %</w:t>
            </w: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0.04 %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OREO:</w:t>
            </w:r>
          </w:p>
        </w:tc>
        <w:tc>
          <w:tcPr>
            <w:tcW w:w="3200" w:type="dxa"/>
            <w:vAlign w:val="bottom"/>
            <w:tcBorders>
              <w:bottom w:val="single" w:sz="8" w:color="CFF0FC"/>
            </w:tcBorders>
            <w:gridSpan w:val="3"/>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1,575</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1,575</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1,575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680" w:type="dxa"/>
            <w:vAlign w:val="bottom"/>
            <w:gridSpan w:val="4"/>
            <w:shd w:val="clear" w:color="auto" w:fill="CFF0FC"/>
          </w:tcPr>
          <w:p>
            <w:pPr>
              <w:ind w:left="180"/>
              <w:spacing w:after="0"/>
              <w:rPr>
                <w:sz w:val="20"/>
                <w:szCs w:val="20"/>
                <w:color w:val="auto"/>
              </w:rPr>
            </w:pPr>
            <w:r>
              <w:rPr>
                <w:rFonts w:ascii="Arial" w:cs="Arial" w:eastAsia="Arial" w:hAnsi="Arial"/>
                <w:sz w:val="14"/>
                <w:szCs w:val="14"/>
                <w:color w:val="auto"/>
              </w:rPr>
              <w:t>SBA</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797</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gridSpan w:val="4"/>
          </w:tcPr>
          <w:p>
            <w:pPr>
              <w:ind w:left="180"/>
              <w:spacing w:after="0"/>
              <w:rPr>
                <w:sz w:val="20"/>
                <w:szCs w:val="20"/>
                <w:color w:val="auto"/>
              </w:rPr>
            </w:pPr>
            <w:r>
              <w:rPr>
                <w:rFonts w:ascii="Arial" w:cs="Arial" w:eastAsia="Arial" w:hAnsi="Arial"/>
                <w:sz w:val="14"/>
                <w:szCs w:val="14"/>
                <w:color w:val="auto"/>
              </w:rPr>
              <w:t>SFR mortgage</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68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1,575</w:t>
            </w:r>
          </w:p>
        </w:tc>
        <w:tc>
          <w:tcPr>
            <w:tcW w:w="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3,392</w:t>
            </w:r>
          </w:p>
        </w:tc>
        <w:tc>
          <w:tcPr>
            <w:tcW w:w="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4,189</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nonperforming, past due,</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9,568</w:t>
            </w:r>
          </w:p>
        </w:tc>
        <w:tc>
          <w:tcPr>
            <w:tcW w:w="420" w:type="dxa"/>
            <w:vAlign w:val="bottom"/>
          </w:tcPr>
          <w:p>
            <w:pPr>
              <w:spacing w:after="0"/>
              <w:rPr>
                <w:sz w:val="15"/>
                <w:szCs w:val="1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8,886</w:t>
            </w:r>
          </w:p>
        </w:tc>
        <w:tc>
          <w:tcPr>
            <w:tcW w:w="220" w:type="dxa"/>
            <w:vAlign w:val="bottom"/>
          </w:tcPr>
          <w:p>
            <w:pPr>
              <w:spacing w:after="0"/>
              <w:rPr>
                <w:sz w:val="15"/>
                <w:szCs w:val="15"/>
                <w:color w:val="auto"/>
              </w:rPr>
            </w:pPr>
          </w:p>
        </w:tc>
        <w:tc>
          <w:tcPr>
            <w:tcW w:w="200" w:type="dxa"/>
            <w:vAlign w:val="bottom"/>
            <w:vMerge w:val="restart"/>
          </w:tcPr>
          <w:p>
            <w:pPr>
              <w:spacing w:after="0"/>
              <w:rPr>
                <w:sz w:val="15"/>
                <w:szCs w:val="15"/>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17,019</w:t>
            </w:r>
          </w:p>
        </w:tc>
        <w:tc>
          <w:tcPr>
            <w:tcW w:w="3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20,805</w:t>
            </w:r>
          </w:p>
        </w:tc>
        <w:tc>
          <w:tcPr>
            <w:tcW w:w="3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19,724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0" w:type="dxa"/>
            <w:vAlign w:val="bottom"/>
            <w:gridSpan w:val="3"/>
          </w:tcPr>
          <w:p>
            <w:pPr>
              <w:ind w:left="160"/>
              <w:spacing w:after="0" w:line="158" w:lineRule="exact"/>
              <w:rPr>
                <w:sz w:val="20"/>
                <w:szCs w:val="20"/>
                <w:color w:val="auto"/>
              </w:rPr>
            </w:pPr>
            <w:r>
              <w:rPr>
                <w:rFonts w:ascii="Arial" w:cs="Arial" w:eastAsia="Arial" w:hAnsi="Arial"/>
                <w:sz w:val="14"/>
                <w:szCs w:val="14"/>
                <w:b w:val="1"/>
                <w:bCs w:val="1"/>
                <w:color w:val="auto"/>
              </w:rPr>
              <w:t>and OREO</w:t>
            </w:r>
          </w:p>
        </w:tc>
        <w:tc>
          <w:tcPr>
            <w:tcW w:w="12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200" w:type="dxa"/>
            <w:vAlign w:val="bottom"/>
            <w:gridSpan w:val="3"/>
            <w:shd w:val="clear" w:color="auto" w:fill="CFF0FC"/>
          </w:tcPr>
          <w:p>
            <w:pPr>
              <w:ind w:left="60"/>
              <w:spacing w:after="0"/>
              <w:rPr>
                <w:sz w:val="20"/>
                <w:szCs w:val="20"/>
                <w:color w:val="auto"/>
              </w:rPr>
            </w:pPr>
            <w:r>
              <w:rPr>
                <w:rFonts w:ascii="Arial" w:cs="Arial" w:eastAsia="Arial" w:hAnsi="Arial"/>
                <w:sz w:val="14"/>
                <w:szCs w:val="14"/>
                <w:b w:val="1"/>
                <w:bCs w:val="1"/>
                <w:color w:val="auto"/>
              </w:rPr>
              <w:t>% of Total loans</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0.12 %</w:t>
            </w: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0.11 %</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rPr>
              <w:t>0.21 %</w:t>
            </w:r>
          </w:p>
        </w:tc>
        <w:tc>
          <w:tcPr>
            <w:tcW w:w="1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rPr>
              <w:t>0.25 %</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0.23 %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-2722245</wp:posOffset>
            </wp:positionV>
            <wp:extent cx="266065" cy="571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-2722245</wp:posOffset>
            </wp:positionV>
            <wp:extent cx="266065" cy="571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-2722245</wp:posOffset>
            </wp:positionV>
            <wp:extent cx="248285" cy="571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-2722245</wp:posOffset>
            </wp:positionV>
            <wp:extent cx="248285" cy="571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-2722245</wp:posOffset>
            </wp:positionV>
            <wp:extent cx="137160" cy="57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-1290955</wp:posOffset>
            </wp:positionV>
            <wp:extent cx="266065" cy="57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-1290955</wp:posOffset>
            </wp:positionV>
            <wp:extent cx="266065" cy="571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-1290955</wp:posOffset>
            </wp:positionV>
            <wp:extent cx="248285" cy="571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-1290955</wp:posOffset>
            </wp:positionV>
            <wp:extent cx="248285" cy="571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-1290955</wp:posOffset>
            </wp:positionV>
            <wp:extent cx="137160" cy="571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-373380</wp:posOffset>
            </wp:positionV>
            <wp:extent cx="266065" cy="57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-373380</wp:posOffset>
            </wp:positionV>
            <wp:extent cx="266065" cy="571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-373380</wp:posOffset>
            </wp:positionV>
            <wp:extent cx="248285" cy="571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-373380</wp:posOffset>
            </wp:positionV>
            <wp:extent cx="248285" cy="571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-373380</wp:posOffset>
            </wp:positionV>
            <wp:extent cx="137160" cy="57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firstLine="469"/>
        <w:spacing w:after="0" w:line="292" w:lineRule="auto"/>
        <w:rPr>
          <w:sz w:val="20"/>
          <w:szCs w:val="20"/>
          <w:color w:val="auto"/>
        </w:rPr>
      </w:pPr>
      <w:r>
        <w:rPr>
          <w:rFonts w:ascii="Arial" w:cs="Arial" w:eastAsia="Arial" w:hAnsi="Arial"/>
          <w:sz w:val="17"/>
          <w:szCs w:val="17"/>
          <w:color w:val="auto"/>
        </w:rPr>
        <w:t>Nonperforming loans, defined as nonaccrual loans, nonperforming TDR loans and loans past due 90 days or more and still accruing interest, were $8.4 million at September 30, 2021, or 0.11% of total loans. This compares to nonperforming loans of $14.3 million, or 0.17% of total loans, at December 31, 2020 and $11.8 million, or 0.14% of total loans, at September 30, 2020. The $8.4 million in nonperforming loans at September 30, 2021 are summarized as follows: $4.1 million in commercial real estate loans, $2.0 million in commercial and industrial loans, $1.5 million in SBA loans, $399,000 in SFR mortgage loans, $305,000 in consumer and other loans, and $118,000 in dairy &amp; livestock and agribusiness loans.</w:t>
      </w:r>
    </w:p>
    <w:p>
      <w:pPr>
        <w:spacing w:after="0" w:line="188" w:lineRule="exact"/>
        <w:rPr>
          <w:sz w:val="20"/>
          <w:szCs w:val="20"/>
          <w:color w:val="auto"/>
        </w:rPr>
      </w:pPr>
    </w:p>
    <w:p>
      <w:pPr>
        <w:ind w:right="40" w:firstLine="469"/>
        <w:spacing w:after="0" w:line="329" w:lineRule="auto"/>
        <w:rPr>
          <w:sz w:val="20"/>
          <w:szCs w:val="20"/>
          <w:color w:val="auto"/>
        </w:rPr>
      </w:pPr>
      <w:r>
        <w:rPr>
          <w:rFonts w:ascii="Arial" w:cs="Arial" w:eastAsia="Arial" w:hAnsi="Arial"/>
          <w:sz w:val="16"/>
          <w:szCs w:val="16"/>
          <w:color w:val="auto"/>
        </w:rPr>
        <w:t>At September 30, 2021, we had no OREO properties, compared to two OREO properties with a carrying value of $3.4 million at December 31, 2020 and four OREO properties with a carrying value of $4.2 million at September 30, 2020. For the nine months ended September 30, 2020, we sold two OREO properties, realizing a net gain on sale of $477,000. There were no additions to OREO properties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52" w:lineRule="exact"/>
        <w:rPr>
          <w:sz w:val="20"/>
          <w:szCs w:val="20"/>
          <w:color w:val="auto"/>
        </w:rPr>
      </w:pPr>
    </w:p>
    <w:p>
      <w:pPr>
        <w:ind w:right="40" w:firstLine="469"/>
        <w:spacing w:after="0" w:line="287" w:lineRule="auto"/>
        <w:rPr>
          <w:sz w:val="20"/>
          <w:szCs w:val="20"/>
          <w:color w:val="auto"/>
        </w:rPr>
      </w:pPr>
      <w:r>
        <w:rPr>
          <w:rFonts w:ascii="Arial" w:cs="Arial" w:eastAsia="Arial" w:hAnsi="Arial"/>
          <w:sz w:val="17"/>
          <w:szCs w:val="17"/>
          <w:color w:val="auto"/>
        </w:rPr>
        <w:t>We adopted CECL on January 1, 2020, which replaces the “incurred loss” approach with an “expected loss” model over the life of the loan, as further described in Note 3—</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the notes contained in our Annual Report on Form 10-K for the year ended December 31, 2020. The allowance for credit losses totaled $65.4 million as of September 30, 2021, compared to $93.7 million as of December 31, 2020 and $93.9 million as of September 30, 2020. Our allowance for credit losses at September 30, 2021 was 0.83%, or 0.87% of total loans when excluding the $331.0 million in PPP loans. The allowance for credit losses for 2021 was decreased by $25.5 million, due to the improved outlook in our forecast of certain macroeconomic variables that were influenced by the economic impact of the pandemic and government stimulus, and by $2.8 million in year-to-date net charge-offs. The Company previously recorded provision for credit losses totaling $23.5 million in 2020, due to the severe decline in economic forecasts associated with the pandemic. Net charge-offs were $2.8 million for the nine months ended September 30, 2021, which compares to $131,000 in net charge-offs for the same period of 2020.</w:t>
      </w:r>
    </w:p>
    <w:p>
      <w:pPr>
        <w:spacing w:after="0" w:line="191" w:lineRule="exact"/>
        <w:rPr>
          <w:sz w:val="20"/>
          <w:szCs w:val="20"/>
          <w:color w:val="auto"/>
        </w:rPr>
      </w:pPr>
    </w:p>
    <w:p>
      <w:pPr>
        <w:ind w:right="60" w:firstLine="469"/>
        <w:spacing w:after="0" w:line="284" w:lineRule="auto"/>
        <w:rPr>
          <w:sz w:val="20"/>
          <w:szCs w:val="20"/>
          <w:color w:val="auto"/>
        </w:rPr>
      </w:pPr>
      <w:r>
        <w:rPr>
          <w:rFonts w:ascii="Arial" w:cs="Arial" w:eastAsia="Arial" w:hAnsi="Arial"/>
          <w:sz w:val="17"/>
          <w:szCs w:val="17"/>
          <w:color w:val="auto"/>
        </w:rPr>
        <w:t>The allowance for credit losses as of September 30, 2021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Payment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202" w:lineRule="exact"/>
        <w:rPr>
          <w:sz w:val="20"/>
          <w:szCs w:val="20"/>
          <w:color w:val="auto"/>
        </w:rPr>
      </w:pPr>
    </w:p>
    <w:p>
      <w:pPr>
        <w:ind w:firstLine="469"/>
        <w:spacing w:after="0" w:line="287" w:lineRule="auto"/>
        <w:rPr>
          <w:sz w:val="20"/>
          <w:szCs w:val="20"/>
          <w:color w:val="auto"/>
        </w:rPr>
      </w:pPr>
      <w:r>
        <w:rPr>
          <w:rFonts w:ascii="Arial" w:cs="Arial" w:eastAsia="Arial" w:hAnsi="Arial"/>
          <w:sz w:val="17"/>
          <w:szCs w:val="17"/>
          <w:color w:val="auto"/>
        </w:rPr>
        <w:t>Based on the magnitude of government economic stimulus and the wide availability of vaccines, our latest economic forecast reflects continued improvement in key macroeconomic variables, including GDP, the commercial real estate price index and the unemployment rate. Our economic forecast continues to be a blend of multiple forecasts produced by Moody’s. These U.S. economic forecasts include a baseline forecast, as well as upside and downside forecasts, with the largest weighting on the baseline. Our weighted forecast assumes GDP will increase by 5.7% in 2021, and then grows by more than 2% in both 2022 and 2023. The unemployment rate is forecasted to be 5.7% in 2021 and then 5.6% in 2022, before declining to 5.3% in 2023. Management believes that the ACL was appropriate at September 30, 2021 and December 31, 2020. As there is a high degree of uncertainty around the epidemiological assumptions and impact of government responses to the pandemic that impact our economic forecast, no assurance can be given that economic conditions that adversely affect the Company’s service areas or other circumstances will not be reflected in an increased allowance for credit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58" w:name="page59"/>
    <w:bookmarkEnd w:id="58"/>
    <w:p>
      <w:pPr>
        <w:ind w:right="220" w:firstLine="469"/>
        <w:spacing w:after="0" w:line="293" w:lineRule="auto"/>
        <w:rPr>
          <w:sz w:val="20"/>
          <w:szCs w:val="20"/>
          <w:color w:val="auto"/>
        </w:rPr>
      </w:pPr>
      <w:r>
        <w:rPr>
          <w:rFonts w:ascii="Arial" w:cs="Arial" w:eastAsia="Arial" w:hAnsi="Arial"/>
          <w:sz w:val="18"/>
          <w:szCs w:val="18"/>
          <w:color w:val="auto"/>
        </w:rPr>
        <w:t>The table below presents a summary of charge-offs and recoveries by type, the provision for credit losses on loans, and the resulting allowance for credit losses for the periods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0"/>
              </w:rPr>
              <w:t>As of and For the</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6"/>
        </w:trPr>
        <w:tc>
          <w:tcPr>
            <w:tcW w:w="7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8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1"/>
              </w:rPr>
              <w:t>Nine Months Ended</w:t>
            </w:r>
          </w:p>
        </w:tc>
      </w:tr>
      <w:tr>
        <w:trPr>
          <w:trHeight w:val="263"/>
        </w:trPr>
        <w:tc>
          <w:tcPr>
            <w:tcW w:w="7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r>
        <w:trPr>
          <w:trHeight w:val="250"/>
        </w:trPr>
        <w:tc>
          <w:tcPr>
            <w:tcW w:w="77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2020</w:t>
            </w:r>
          </w:p>
        </w:tc>
        <w:tc>
          <w:tcPr>
            <w:tcW w:w="280" w:type="dxa"/>
            <w:vAlign w:val="bottom"/>
          </w:tcPr>
          <w:p>
            <w:pPr>
              <w:spacing w:after="0"/>
              <w:rPr>
                <w:sz w:val="21"/>
                <w:szCs w:val="21"/>
                <w:color w:val="auto"/>
              </w:rPr>
            </w:pPr>
          </w:p>
        </w:tc>
      </w:tr>
      <w:tr>
        <w:trPr>
          <w:trHeight w:val="247"/>
        </w:trPr>
        <w:tc>
          <w:tcPr>
            <w:tcW w:w="7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center"/>
              <w:ind w:left="470"/>
              <w:spacing w:after="0"/>
              <w:rPr>
                <w:sz w:val="20"/>
                <w:szCs w:val="20"/>
                <w:color w:val="auto"/>
              </w:rPr>
            </w:pPr>
            <w:r>
              <w:rPr>
                <w:rFonts w:ascii="Arial" w:cs="Arial" w:eastAsia="Arial" w:hAnsi="Arial"/>
                <w:sz w:val="16"/>
                <w:szCs w:val="16"/>
                <w:i w:val="1"/>
                <w:iCs w:val="1"/>
                <w:color w:val="auto"/>
                <w:w w:val="95"/>
              </w:rPr>
              <w:t>(Dollars in thousands)</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at beginning of period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93,692</w:t>
            </w:r>
          </w:p>
        </w:tc>
        <w:tc>
          <w:tcPr>
            <w:tcW w:w="460" w:type="dxa"/>
            <w:vAlign w:val="bottom"/>
            <w:shd w:val="clear" w:color="auto" w:fill="CFF0FC"/>
          </w:tcPr>
          <w:p>
            <w:pPr>
              <w:spacing w:after="0"/>
              <w:rPr>
                <w:sz w:val="23"/>
                <w:szCs w:val="23"/>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68,660</w:t>
            </w:r>
          </w:p>
        </w:tc>
        <w:tc>
          <w:tcPr>
            <w:tcW w:w="280" w:type="dxa"/>
            <w:vAlign w:val="bottom"/>
            <w:shd w:val="clear" w:color="auto" w:fill="CFF0FC"/>
          </w:tcPr>
          <w:p>
            <w:pPr>
              <w:spacing w:after="0"/>
              <w:rPr>
                <w:sz w:val="23"/>
                <w:szCs w:val="23"/>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Impact of adopting ASU 2016-13</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1,840</w:t>
            </w:r>
          </w:p>
        </w:tc>
        <w:tc>
          <w:tcPr>
            <w:tcW w:w="280" w:type="dxa"/>
            <w:vAlign w:val="bottom"/>
          </w:tcPr>
          <w:p>
            <w:pPr>
              <w:spacing w:after="0"/>
              <w:rPr>
                <w:sz w:val="21"/>
                <w:szCs w:val="21"/>
                <w:color w:val="auto"/>
              </w:rPr>
            </w:pP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Charge-offs:</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774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Construction</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r>
      <w:tr>
        <w:trPr>
          <w:trHeight w:val="250"/>
        </w:trPr>
        <w:tc>
          <w:tcPr>
            <w:tcW w:w="7740" w:type="dxa"/>
            <w:vAlign w:val="bottom"/>
          </w:tcPr>
          <w:p>
            <w:pPr>
              <w:ind w:left="200"/>
              <w:spacing w:after="0"/>
              <w:rPr>
                <w:sz w:val="20"/>
                <w:szCs w:val="20"/>
                <w:color w:val="auto"/>
              </w:rPr>
            </w:pPr>
            <w:r>
              <w:rPr>
                <w:rFonts w:ascii="Arial" w:cs="Arial" w:eastAsia="Arial" w:hAnsi="Arial"/>
                <w:sz w:val="18"/>
                <w:szCs w:val="18"/>
                <w:color w:val="auto"/>
              </w:rPr>
              <w:t>SBA</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(203 )</w:t>
            </w:r>
          </w:p>
        </w:tc>
      </w:tr>
      <w:tr>
        <w:trPr>
          <w:trHeight w:val="26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and industrial</w:t>
            </w:r>
          </w:p>
        </w:tc>
        <w:tc>
          <w:tcPr>
            <w:tcW w:w="3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(2,985 )</w:t>
            </w:r>
          </w:p>
        </w:tc>
        <w:tc>
          <w:tcPr>
            <w:tcW w:w="5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(172 )</w:t>
            </w:r>
          </w:p>
        </w:tc>
      </w:tr>
      <w:tr>
        <w:trPr>
          <w:trHeight w:val="250"/>
        </w:trPr>
        <w:tc>
          <w:tcPr>
            <w:tcW w:w="7740" w:type="dxa"/>
            <w:vAlign w:val="bottom"/>
          </w:tcPr>
          <w:p>
            <w:pPr>
              <w:ind w:left="200"/>
              <w:spacing w:after="0"/>
              <w:rPr>
                <w:sz w:val="20"/>
                <w:szCs w:val="20"/>
                <w:color w:val="auto"/>
              </w:rPr>
            </w:pPr>
            <w:r>
              <w:rPr>
                <w:rFonts w:ascii="Arial" w:cs="Arial" w:eastAsia="Arial" w:hAnsi="Arial"/>
                <w:sz w:val="18"/>
                <w:szCs w:val="18"/>
                <w:color w:val="auto"/>
              </w:rPr>
              <w:t>Dairy &amp; livestock and agribusiness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SFR mortgage</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r>
      <w:tr>
        <w:trPr>
          <w:trHeight w:val="257"/>
        </w:trPr>
        <w:tc>
          <w:tcPr>
            <w:tcW w:w="7740" w:type="dxa"/>
            <w:vAlign w:val="bottom"/>
          </w:tcPr>
          <w:p>
            <w:pPr>
              <w:ind w:left="200"/>
              <w:spacing w:after="0"/>
              <w:rPr>
                <w:sz w:val="20"/>
                <w:szCs w:val="20"/>
                <w:color w:val="auto"/>
              </w:rPr>
            </w:pPr>
            <w:r>
              <w:rPr>
                <w:rFonts w:ascii="Arial" w:cs="Arial" w:eastAsia="Arial" w:hAnsi="Arial"/>
                <w:sz w:val="18"/>
                <w:szCs w:val="18"/>
                <w:color w:val="auto"/>
              </w:rPr>
              <w:t>Consumer and other loans</w:t>
            </w:r>
          </w:p>
        </w:tc>
        <w:tc>
          <w:tcPr>
            <w:tcW w:w="320" w:type="dxa"/>
            <w:vAlign w:val="bottom"/>
          </w:tcPr>
          <w:p>
            <w:pPr>
              <w:spacing w:after="0"/>
              <w:rPr>
                <w:sz w:val="22"/>
                <w:szCs w:val="22"/>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(11 )</w:t>
            </w:r>
          </w:p>
        </w:tc>
        <w:tc>
          <w:tcPr>
            <w:tcW w:w="5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(109 )</w:t>
            </w:r>
          </w:p>
        </w:tc>
      </w:tr>
      <w:tr>
        <w:trPr>
          <w:trHeight w:val="20"/>
        </w:trPr>
        <w:tc>
          <w:tcPr>
            <w:tcW w:w="7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charge-offs</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(2,996 )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(484 )</w:t>
            </w:r>
          </w:p>
        </w:tc>
      </w:tr>
      <w:tr>
        <w:trPr>
          <w:trHeight w:val="24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Recoveries:</w:t>
            </w: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60" w:type="dxa"/>
            <w:vAlign w:val="bottom"/>
            <w:tcBorders>
              <w:top w:val="single" w:sz="8" w:color="CFF0FC"/>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r>
      <w:tr>
        <w:trPr>
          <w:trHeight w:val="250"/>
        </w:trPr>
        <w:tc>
          <w:tcPr>
            <w:tcW w:w="774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SBA</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22"/>
                <w:szCs w:val="22"/>
                <w:color w:val="auto"/>
              </w:rPr>
            </w:pPr>
          </w:p>
        </w:tc>
      </w:tr>
      <w:tr>
        <w:trPr>
          <w:trHeight w:val="250"/>
        </w:trPr>
        <w:tc>
          <w:tcPr>
            <w:tcW w:w="774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Dairy &amp; livestock and agribusiness</w:t>
            </w: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r>
      <w:tr>
        <w:trPr>
          <w:trHeight w:val="250"/>
        </w:trPr>
        <w:tc>
          <w:tcPr>
            <w:tcW w:w="7740" w:type="dxa"/>
            <w:vAlign w:val="bottom"/>
          </w:tcPr>
          <w:p>
            <w:pPr>
              <w:ind w:left="200"/>
              <w:spacing w:after="0"/>
              <w:rPr>
                <w:sz w:val="20"/>
                <w:szCs w:val="20"/>
                <w:color w:val="auto"/>
              </w:rPr>
            </w:pPr>
            <w:r>
              <w:rPr>
                <w:rFonts w:ascii="Arial" w:cs="Arial" w:eastAsia="Arial" w:hAnsi="Arial"/>
                <w:sz w:val="18"/>
                <w:szCs w:val="18"/>
                <w:color w:val="auto"/>
              </w:rPr>
              <w:t>SFR mortgage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21"/>
                <w:szCs w:val="21"/>
                <w:color w:val="auto"/>
              </w:rPr>
            </w:pP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Consumer and other loans</w:t>
            </w: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0"/>
        </w:trPr>
        <w:tc>
          <w:tcPr>
            <w:tcW w:w="7740" w:type="dxa"/>
            <w:vAlign w:val="bottom"/>
          </w:tcPr>
          <w:p>
            <w:pPr>
              <w:ind w:left="300"/>
              <w:spacing w:after="0"/>
              <w:rPr>
                <w:sz w:val="20"/>
                <w:szCs w:val="20"/>
                <w:color w:val="auto"/>
              </w:rPr>
            </w:pPr>
            <w:r>
              <w:rPr>
                <w:rFonts w:ascii="Arial" w:cs="Arial" w:eastAsia="Arial" w:hAnsi="Arial"/>
                <w:sz w:val="18"/>
                <w:szCs w:val="18"/>
                <w:color w:val="auto"/>
              </w:rPr>
              <w:t>Total recoveries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4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21"/>
                <w:szCs w:val="21"/>
                <w:color w:val="auto"/>
              </w:rPr>
            </w:pPr>
          </w:p>
        </w:tc>
      </w:tr>
      <w:tr>
        <w:trPr>
          <w:trHeight w:val="25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(charge-offs) recoveries</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(2,828 )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(131 )</w:t>
            </w:r>
          </w:p>
        </w:tc>
      </w:tr>
      <w:tr>
        <w:trPr>
          <w:trHeight w:val="256"/>
        </w:trPr>
        <w:tc>
          <w:tcPr>
            <w:tcW w:w="7740" w:type="dxa"/>
            <w:vAlign w:val="bottom"/>
          </w:tcPr>
          <w:p>
            <w:pPr>
              <w:ind w:left="20"/>
              <w:spacing w:after="0"/>
              <w:rPr>
                <w:sz w:val="20"/>
                <w:szCs w:val="20"/>
                <w:color w:val="auto"/>
              </w:rPr>
            </w:pPr>
            <w:r>
              <w:rPr>
                <w:rFonts w:ascii="Arial" w:cs="Arial" w:eastAsia="Arial" w:hAnsi="Arial"/>
                <w:sz w:val="18"/>
                <w:szCs w:val="18"/>
                <w:color w:val="auto"/>
              </w:rPr>
              <w:t>(Recapture of) provision for credit losses</w:t>
            </w:r>
          </w:p>
        </w:tc>
        <w:tc>
          <w:tcPr>
            <w:tcW w:w="320" w:type="dxa"/>
            <w:vAlign w:val="bottom"/>
          </w:tcPr>
          <w:p>
            <w:pPr>
              <w:spacing w:after="0"/>
              <w:rPr>
                <w:sz w:val="22"/>
                <w:szCs w:val="22"/>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(25,500 )</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23,500</w:t>
            </w:r>
          </w:p>
        </w:tc>
        <w:tc>
          <w:tcPr>
            <w:tcW w:w="280" w:type="dxa"/>
            <w:vAlign w:val="bottom"/>
          </w:tcPr>
          <w:p>
            <w:pPr>
              <w:spacing w:after="0"/>
              <w:rPr>
                <w:sz w:val="22"/>
                <w:szCs w:val="22"/>
                <w:color w:val="auto"/>
              </w:rPr>
            </w:pPr>
          </w:p>
        </w:tc>
      </w:tr>
      <w:tr>
        <w:trPr>
          <w:trHeight w:val="29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Allowance for credit losses at end of period</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65,364</w:t>
            </w:r>
          </w:p>
        </w:tc>
        <w:tc>
          <w:tcPr>
            <w:tcW w:w="4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93,869</w:t>
            </w:r>
          </w:p>
        </w:tc>
        <w:tc>
          <w:tcPr>
            <w:tcW w:w="280" w:type="dxa"/>
            <w:vAlign w:val="bottom"/>
            <w:tcBorders>
              <w:bottom w:val="single" w:sz="8" w:color="CFF0FC"/>
            </w:tcBorders>
            <w:shd w:val="clear" w:color="auto" w:fill="CFF0FC"/>
          </w:tcPr>
          <w:p>
            <w:pPr>
              <w:spacing w:after="0"/>
              <w:rPr>
                <w:sz w:val="24"/>
                <w:szCs w:val="24"/>
                <w:color w:val="auto"/>
              </w:rPr>
            </w:pPr>
          </w:p>
        </w:tc>
      </w:tr>
      <w:tr>
        <w:trPr>
          <w:trHeight w:val="487"/>
        </w:trPr>
        <w:tc>
          <w:tcPr>
            <w:tcW w:w="7740" w:type="dxa"/>
            <w:vAlign w:val="bottom"/>
          </w:tcPr>
          <w:p>
            <w:pPr>
              <w:ind w:left="20"/>
              <w:spacing w:after="0"/>
              <w:rPr>
                <w:sz w:val="20"/>
                <w:szCs w:val="20"/>
                <w:color w:val="auto"/>
              </w:rPr>
            </w:pPr>
            <w:r>
              <w:rPr>
                <w:rFonts w:ascii="Arial" w:cs="Arial" w:eastAsia="Arial" w:hAnsi="Arial"/>
                <w:sz w:val="18"/>
                <w:szCs w:val="18"/>
                <w:color w:val="auto"/>
              </w:rPr>
              <w:t>Summary of reserve for unfunded loan commitments: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Reserve for unfunded loan commitments at beginning of period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4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280" w:type="dxa"/>
            <w:vAlign w:val="bottom"/>
            <w:shd w:val="clear" w:color="auto" w:fill="CFF0FC"/>
          </w:tcPr>
          <w:p>
            <w:pPr>
              <w:spacing w:after="0"/>
              <w:rPr>
                <w:sz w:val="22"/>
                <w:szCs w:val="22"/>
                <w:color w:val="auto"/>
              </w:rPr>
            </w:pPr>
          </w:p>
        </w:tc>
      </w:tr>
      <w:tr>
        <w:trPr>
          <w:trHeight w:val="250"/>
        </w:trPr>
        <w:tc>
          <w:tcPr>
            <w:tcW w:w="7740" w:type="dxa"/>
            <w:vAlign w:val="bottom"/>
          </w:tcPr>
          <w:p>
            <w:pPr>
              <w:ind w:left="300"/>
              <w:spacing w:after="0"/>
              <w:rPr>
                <w:sz w:val="20"/>
                <w:szCs w:val="20"/>
                <w:color w:val="auto"/>
              </w:rPr>
            </w:pPr>
            <w:r>
              <w:rPr>
                <w:rFonts w:ascii="Arial" w:cs="Arial" w:eastAsia="Arial" w:hAnsi="Arial"/>
                <w:sz w:val="18"/>
                <w:szCs w:val="18"/>
                <w:color w:val="auto"/>
              </w:rPr>
              <w:t>Impact of adopting ASU 2016-13</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r>
      <w:tr>
        <w:trPr>
          <w:trHeight w:val="263"/>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(Recapture of) provision for unfunded loan commitments</w:t>
            </w:r>
          </w:p>
        </w:tc>
        <w:tc>
          <w:tcPr>
            <w:tcW w:w="3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(1,000 )</w:t>
            </w: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r>
      <w:tr>
        <w:trPr>
          <w:trHeight w:val="250"/>
        </w:trPr>
        <w:tc>
          <w:tcPr>
            <w:tcW w:w="77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Reserve for unfunded loan commitments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460" w:type="dxa"/>
            <w:vAlign w:val="bottom"/>
            <w:tcBorders>
              <w:top w:val="single" w:sz="8" w:color="CFF0FC"/>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80" w:type="dxa"/>
            <w:vAlign w:val="bottom"/>
            <w:tcBorders>
              <w:top w:val="single" w:sz="8" w:color="CFF0FC"/>
            </w:tcBorders>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7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Reserve for unfunded loan commitments to total unfunded loan</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44"/>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commitments</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0.46 %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0.50 %</w:t>
            </w:r>
          </w:p>
        </w:tc>
      </w:tr>
      <w:tr>
        <w:trPr>
          <w:trHeight w:val="506"/>
        </w:trPr>
        <w:tc>
          <w:tcPr>
            <w:tcW w:w="7740" w:type="dxa"/>
            <w:vAlign w:val="bottom"/>
          </w:tcPr>
          <w:p>
            <w:pPr>
              <w:ind w:left="20"/>
              <w:spacing w:after="0"/>
              <w:rPr>
                <w:sz w:val="20"/>
                <w:szCs w:val="20"/>
                <w:color w:val="auto"/>
              </w:rPr>
            </w:pPr>
            <w:r>
              <w:rPr>
                <w:rFonts w:ascii="Arial" w:cs="Arial" w:eastAsia="Arial" w:hAnsi="Arial"/>
                <w:sz w:val="18"/>
                <w:szCs w:val="18"/>
                <w:color w:val="auto"/>
              </w:rPr>
              <w:t>Amount of total loans at end of period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7,849,520</w:t>
            </w:r>
          </w:p>
        </w:tc>
        <w:tc>
          <w:tcPr>
            <w:tcW w:w="46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8,407,872</w:t>
            </w:r>
          </w:p>
        </w:tc>
        <w:tc>
          <w:tcPr>
            <w:tcW w:w="280" w:type="dxa"/>
            <w:vAlign w:val="bottom"/>
          </w:tcPr>
          <w:p>
            <w:pPr>
              <w:spacing w:after="0"/>
              <w:rPr>
                <w:sz w:val="24"/>
                <w:szCs w:val="24"/>
                <w:color w:val="auto"/>
              </w:rPr>
            </w:pP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total loans outstanding (1)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8,144,105</w:t>
            </w:r>
          </w:p>
        </w:tc>
        <w:tc>
          <w:tcPr>
            <w:tcW w:w="4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7,972,208</w:t>
            </w:r>
          </w:p>
        </w:tc>
        <w:tc>
          <w:tcPr>
            <w:tcW w:w="280" w:type="dxa"/>
            <w:vAlign w:val="bottom"/>
            <w:shd w:val="clear" w:color="auto" w:fill="CFF0FC"/>
          </w:tcPr>
          <w:p>
            <w:pPr>
              <w:spacing w:after="0"/>
              <w:rPr>
                <w:sz w:val="22"/>
                <w:szCs w:val="22"/>
                <w:color w:val="auto"/>
              </w:rPr>
            </w:pPr>
          </w:p>
        </w:tc>
      </w:tr>
      <w:tr>
        <w:trPr>
          <w:trHeight w:val="506"/>
        </w:trPr>
        <w:tc>
          <w:tcPr>
            <w:tcW w:w="7740" w:type="dxa"/>
            <w:vAlign w:val="bottom"/>
          </w:tcPr>
          <w:p>
            <w:pPr>
              <w:ind w:left="20"/>
              <w:spacing w:after="0"/>
              <w:rPr>
                <w:sz w:val="20"/>
                <w:szCs w:val="20"/>
                <w:color w:val="auto"/>
              </w:rPr>
            </w:pPr>
            <w:r>
              <w:rPr>
                <w:rFonts w:ascii="Arial" w:cs="Arial" w:eastAsia="Arial" w:hAnsi="Arial"/>
                <w:sz w:val="18"/>
                <w:szCs w:val="18"/>
                <w:color w:val="auto"/>
              </w:rPr>
              <w:t>Net charge-offs to average total loans</w:t>
            </w:r>
          </w:p>
        </w:tc>
        <w:tc>
          <w:tcPr>
            <w:tcW w:w="320" w:type="dxa"/>
            <w:vAlign w:val="bottom"/>
          </w:tcPr>
          <w:p>
            <w:pPr>
              <w:spacing w:after="0"/>
              <w:rPr>
                <w:sz w:val="24"/>
                <w:szCs w:val="2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-0.035 %</w:t>
            </w:r>
          </w:p>
        </w:tc>
        <w:tc>
          <w:tcPr>
            <w:tcW w:w="5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-0.002 %</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charge-offs to total loans at end of period</w:t>
            </w:r>
          </w:p>
        </w:tc>
        <w:tc>
          <w:tcPr>
            <w:tcW w:w="3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-0.036 %</w:t>
            </w:r>
          </w:p>
        </w:tc>
        <w:tc>
          <w:tcPr>
            <w:tcW w:w="5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-0.002 %</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Allowance for credit losses to average total loans</w:t>
            </w:r>
          </w:p>
        </w:tc>
        <w:tc>
          <w:tcPr>
            <w:tcW w:w="32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0.80 %</w:t>
            </w:r>
          </w:p>
        </w:tc>
        <w:tc>
          <w:tcPr>
            <w:tcW w:w="5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1.18 %</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to total loans at end of period</w:t>
            </w:r>
          </w:p>
        </w:tc>
        <w:tc>
          <w:tcPr>
            <w:tcW w:w="3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0.83 %</w:t>
            </w:r>
          </w:p>
        </w:tc>
        <w:tc>
          <w:tcPr>
            <w:tcW w:w="5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1.12 %</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Net charge-offs to allowance for credit losses</w:t>
            </w:r>
          </w:p>
        </w:tc>
        <w:tc>
          <w:tcPr>
            <w:tcW w:w="32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-4.33 %</w:t>
            </w:r>
          </w:p>
        </w:tc>
        <w:tc>
          <w:tcPr>
            <w:tcW w:w="5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-0.14 %</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charge-offs to (recapture of) provision for credit losses</w:t>
            </w:r>
          </w:p>
        </w:tc>
        <w:tc>
          <w:tcPr>
            <w:tcW w:w="3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11.09 %</w:t>
            </w:r>
          </w:p>
        </w:tc>
        <w:tc>
          <w:tcPr>
            <w:tcW w:w="5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-5122545</wp:posOffset>
            </wp:positionV>
            <wp:extent cx="282575"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-5122545</wp:posOffset>
            </wp:positionV>
            <wp:extent cx="171450"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-3811270</wp:posOffset>
            </wp:positionV>
            <wp:extent cx="282575"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-3811270</wp:posOffset>
            </wp:positionV>
            <wp:extent cx="171450" cy="57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-3136900</wp:posOffset>
            </wp:positionV>
            <wp:extent cx="28257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-3119755</wp:posOffset>
            </wp:positionV>
            <wp:extent cx="28257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-3136900</wp:posOffset>
            </wp:positionV>
            <wp:extent cx="17145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-3119755</wp:posOffset>
            </wp:positionV>
            <wp:extent cx="17145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-2293620</wp:posOffset>
            </wp:positionV>
            <wp:extent cx="282575" cy="571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-2293620</wp:posOffset>
            </wp:positionV>
            <wp:extent cx="171450" cy="571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77" w:lineRule="exact"/>
        <w:rPr>
          <w:sz w:val="20"/>
          <w:szCs w:val="20"/>
          <w:color w:val="auto"/>
        </w:rPr>
      </w:pPr>
    </w:p>
    <w:p>
      <w:pPr>
        <w:ind w:left="1160" w:hanging="403"/>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of deferred loan origination fees, costs and discounts (amortized cost).</w:t>
      </w:r>
    </w:p>
    <w:p>
      <w:pPr>
        <w:spacing w:after="0" w:line="248" w:lineRule="exact"/>
        <w:rPr>
          <w:sz w:val="20"/>
          <w:szCs w:val="20"/>
          <w:color w:val="auto"/>
        </w:rPr>
      </w:pPr>
    </w:p>
    <w:p>
      <w:pPr>
        <w:ind w:right="620" w:firstLine="469"/>
        <w:spacing w:after="0" w:line="293" w:lineRule="auto"/>
        <w:rPr>
          <w:sz w:val="20"/>
          <w:szCs w:val="20"/>
          <w:color w:val="auto"/>
        </w:rPr>
      </w:pPr>
      <w:r>
        <w:rPr>
          <w:rFonts w:ascii="Arial" w:cs="Arial" w:eastAsia="Arial" w:hAnsi="Arial"/>
          <w:sz w:val="18"/>
          <w:szCs w:val="18"/>
          <w:color w:val="auto"/>
        </w:rPr>
        <w:t>The ACL/Total Loan Coverage Ratio as of September 30, 2021 decreased to 0.83%, compared to 1.12% as of September 30, 2020 due to the forecasted impact of improved economic conditions on future life of loan loss rates.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9" w:name="page60"/>
    <w:bookmarkEnd w:id="59"/>
    <w:p>
      <w:pPr>
        <w:ind w:right="40" w:firstLine="469"/>
        <w:spacing w:after="0" w:line="279" w:lineRule="auto"/>
        <w:rPr>
          <w:sz w:val="20"/>
          <w:szCs w:val="20"/>
          <w:color w:val="auto"/>
        </w:rPr>
      </w:pPr>
      <w:r>
        <w:rPr>
          <w:rFonts w:ascii="Arial" w:cs="Arial" w:eastAsia="Arial" w:hAnsi="Arial"/>
          <w:sz w:val="18"/>
          <w:szCs w:val="18"/>
          <w:color w:val="auto"/>
        </w:rPr>
        <w:t>The Bank’s ACL methodology also produced an allowance of $8.0 million for our off-balance sheet credit exposures as of September 30, 2021, compared to $9.0 million as of December 31, 2020 and September 30, 2020. The year-over-year decrease included a $1.0 million recapture of provision for unfunded loan commitments in the second quarter of 2021.</w:t>
      </w:r>
    </w:p>
    <w:p>
      <w:pPr>
        <w:spacing w:after="0" w:line="196" w:lineRule="exact"/>
        <w:rPr>
          <w:sz w:val="20"/>
          <w:szCs w:val="20"/>
          <w:color w:val="auto"/>
        </w:rPr>
      </w:pPr>
    </w:p>
    <w:p>
      <w:pPr>
        <w:ind w:right="100" w:firstLine="469"/>
        <w:spacing w:after="0" w:line="275" w:lineRule="auto"/>
        <w:rPr>
          <w:sz w:val="20"/>
          <w:szCs w:val="20"/>
          <w:color w:val="auto"/>
        </w:rPr>
      </w:pPr>
      <w:r>
        <w:rPr>
          <w:rFonts w:ascii="Arial" w:cs="Arial" w:eastAsia="Arial" w:hAnsi="Arial"/>
          <w:sz w:val="18"/>
          <w:szCs w:val="18"/>
          <w:color w:val="auto"/>
        </w:rPr>
        <w:t>While we believe that the allowance at September 30, 2021 was appropriate to absorb losses from known or inherent risks in the portfolio, no assurance can be given that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99" w:lineRule="exact"/>
        <w:rPr>
          <w:sz w:val="20"/>
          <w:szCs w:val="20"/>
          <w:color w:val="auto"/>
        </w:rPr>
      </w:pPr>
    </w:p>
    <w:p>
      <w:pPr>
        <w:ind w:right="200" w:firstLine="469"/>
        <w:spacing w:after="0" w:line="272" w:lineRule="auto"/>
        <w:rPr>
          <w:sz w:val="20"/>
          <w:szCs w:val="20"/>
          <w:color w:val="auto"/>
        </w:rPr>
      </w:pPr>
      <w:r>
        <w:rPr>
          <w:rFonts w:ascii="Arial" w:cs="Arial" w:eastAsia="Arial" w:hAnsi="Arial"/>
          <w:sz w:val="18"/>
          <w:szCs w:val="18"/>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18"/>
          <w:szCs w:val="18"/>
          <w:i w:val="1"/>
          <w:iCs w:val="1"/>
          <w:color w:val="auto"/>
        </w:rPr>
        <w:t>Risk Management – Credit Risk Management</w:t>
      </w:r>
      <w:r>
        <w:rPr>
          <w:rFonts w:ascii="Arial" w:cs="Arial" w:eastAsia="Arial" w:hAnsi="Arial"/>
          <w:sz w:val="18"/>
          <w:szCs w:val="18"/>
          <w:color w:val="auto"/>
        </w:rPr>
        <w:t>” contained in our Annual Report on Form 10-K for the year ended December 31, 2020.</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primary source of funds to support earning assets (loans and investments) is the generation of deposits.</w:t>
      </w:r>
    </w:p>
    <w:p>
      <w:pPr>
        <w:spacing w:after="0" w:line="252" w:lineRule="exact"/>
        <w:rPr>
          <w:sz w:val="20"/>
          <w:szCs w:val="20"/>
          <w:color w:val="auto"/>
        </w:rPr>
      </w:pPr>
    </w:p>
    <w:p>
      <w:pPr>
        <w:ind w:right="380" w:firstLine="469"/>
        <w:spacing w:after="0" w:line="324" w:lineRule="auto"/>
        <w:rPr>
          <w:sz w:val="20"/>
          <w:szCs w:val="20"/>
          <w:color w:val="auto"/>
        </w:rPr>
      </w:pPr>
      <w:r>
        <w:rPr>
          <w:rFonts w:ascii="Arial" w:cs="Arial" w:eastAsia="Arial" w:hAnsi="Arial"/>
          <w:sz w:val="17"/>
          <w:szCs w:val="17"/>
          <w:color w:val="auto"/>
        </w:rPr>
        <w:t>Total deposits were $12.93 billion at September 30, 2021. This represented an increase of $1.19 billion, or 10.17%, over total deposits of $11.74 billion at December 31, 2020. The composition of deposits is summarized as of the dates presented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September 30, 2021</w:t>
            </w:r>
          </w:p>
        </w:tc>
        <w:tc>
          <w:tcPr>
            <w:tcW w:w="5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Pr>
          <w:p>
            <w:pPr>
              <w:spacing w:after="0"/>
              <w:rPr>
                <w:sz w:val="20"/>
                <w:szCs w:val="20"/>
                <w:color w:val="auto"/>
              </w:rPr>
            </w:pPr>
          </w:p>
        </w:tc>
      </w:tr>
      <w:tr>
        <w:trPr>
          <w:trHeight w:val="250"/>
        </w:trPr>
        <w:tc>
          <w:tcPr>
            <w:tcW w:w="4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Percent</w:t>
            </w:r>
          </w:p>
        </w:tc>
        <w:tc>
          <w:tcPr>
            <w:tcW w:w="5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21"/>
                <w:szCs w:val="21"/>
                <w:color w:val="auto"/>
              </w:rPr>
            </w:pPr>
          </w:p>
        </w:tc>
      </w:tr>
      <w:tr>
        <w:trPr>
          <w:trHeight w:val="237"/>
        </w:trPr>
        <w:tc>
          <w:tcPr>
            <w:tcW w:w="4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6"/>
                <w:szCs w:val="16"/>
                <w:i w:val="1"/>
                <w:iCs w:val="1"/>
                <w:color w:val="auto"/>
              </w:rPr>
              <w:t>(Dollars in thousands)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6"/>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6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320" w:type="dxa"/>
            <w:vAlign w:val="bottom"/>
            <w:gridSpan w:val="2"/>
          </w:tcPr>
          <w:p>
            <w:pPr>
              <w:spacing w:after="0"/>
              <w:rPr>
                <w:sz w:val="24"/>
                <w:szCs w:val="24"/>
                <w:color w:val="auto"/>
              </w:rPr>
            </w:pPr>
          </w:p>
        </w:tc>
      </w:tr>
      <w:tr>
        <w:trPr>
          <w:trHeight w:val="257"/>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Noninterest-bearing deposits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8,310,709</w:t>
            </w:r>
          </w:p>
        </w:tc>
        <w:tc>
          <w:tcPr>
            <w:tcW w:w="1980" w:type="dxa"/>
            <w:vAlign w:val="bottom"/>
            <w:gridSpan w:val="4"/>
            <w:shd w:val="clear" w:color="auto" w:fill="CFF0FC"/>
          </w:tcPr>
          <w:p>
            <w:pPr>
              <w:jc w:val="right"/>
              <w:ind w:right="360"/>
              <w:spacing w:after="0"/>
              <w:rPr>
                <w:sz w:val="20"/>
                <w:szCs w:val="20"/>
                <w:color w:val="auto"/>
              </w:rPr>
            </w:pPr>
            <w:r>
              <w:rPr>
                <w:rFonts w:ascii="Arial" w:cs="Arial" w:eastAsia="Arial" w:hAnsi="Arial"/>
                <w:sz w:val="18"/>
                <w:szCs w:val="18"/>
                <w:color w:val="auto"/>
              </w:rPr>
              <w:t>64.27 %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7,455,387</w:t>
            </w:r>
          </w:p>
        </w:tc>
        <w:tc>
          <w:tcPr>
            <w:tcW w:w="16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63.52 %</w:t>
            </w: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Interest-bearing deposits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 checking</w:t>
            </w:r>
          </w:p>
        </w:tc>
        <w:tc>
          <w:tcPr>
            <w:tcW w:w="3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594,347</w:t>
            </w:r>
          </w:p>
        </w:tc>
        <w:tc>
          <w:tcPr>
            <w:tcW w:w="1980" w:type="dxa"/>
            <w:vAlign w:val="bottom"/>
            <w:gridSpan w:val="4"/>
            <w:shd w:val="clear" w:color="auto" w:fill="CFF0FC"/>
          </w:tcPr>
          <w:p>
            <w:pPr>
              <w:jc w:val="right"/>
              <w:ind w:right="360"/>
              <w:spacing w:after="0"/>
              <w:rPr>
                <w:sz w:val="20"/>
                <w:szCs w:val="20"/>
                <w:color w:val="auto"/>
              </w:rPr>
            </w:pPr>
            <w:r>
              <w:rPr>
                <w:rFonts w:ascii="Arial" w:cs="Arial" w:eastAsia="Arial" w:hAnsi="Arial"/>
                <w:sz w:val="18"/>
                <w:szCs w:val="18"/>
                <w:color w:val="auto"/>
              </w:rPr>
              <w:t>4.61 %</w:t>
            </w:r>
          </w:p>
        </w:tc>
        <w:tc>
          <w:tcPr>
            <w:tcW w:w="4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517,976</w:t>
            </w:r>
          </w:p>
        </w:tc>
        <w:tc>
          <w:tcPr>
            <w:tcW w:w="16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4.42 %</w:t>
            </w:r>
          </w:p>
        </w:tc>
      </w:tr>
      <w:tr>
        <w:trPr>
          <w:trHeight w:val="250"/>
        </w:trPr>
        <w:tc>
          <w:tcPr>
            <w:tcW w:w="4260" w:type="dxa"/>
            <w:vAlign w:val="bottom"/>
          </w:tcPr>
          <w:p>
            <w:pPr>
              <w:ind w:left="120"/>
              <w:spacing w:after="0"/>
              <w:rPr>
                <w:sz w:val="20"/>
                <w:szCs w:val="20"/>
                <w:color w:val="auto"/>
              </w:rPr>
            </w:pPr>
            <w:r>
              <w:rPr>
                <w:rFonts w:ascii="Arial" w:cs="Arial" w:eastAsia="Arial" w:hAnsi="Arial"/>
                <w:sz w:val="18"/>
                <w:szCs w:val="18"/>
                <w:color w:val="auto"/>
              </w:rPr>
              <w:t>Money market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3,129,473</w:t>
            </w:r>
          </w:p>
        </w:tc>
        <w:tc>
          <w:tcPr>
            <w:tcW w:w="1980" w:type="dxa"/>
            <w:vAlign w:val="bottom"/>
            <w:gridSpan w:val="4"/>
          </w:tcPr>
          <w:p>
            <w:pPr>
              <w:jc w:val="right"/>
              <w:ind w:right="360"/>
              <w:spacing w:after="0"/>
              <w:rPr>
                <w:sz w:val="20"/>
                <w:szCs w:val="20"/>
                <w:color w:val="auto"/>
              </w:rPr>
            </w:pPr>
            <w:r>
              <w:rPr>
                <w:rFonts w:ascii="Arial" w:cs="Arial" w:eastAsia="Arial" w:hAnsi="Arial"/>
                <w:sz w:val="18"/>
                <w:szCs w:val="18"/>
                <w:color w:val="auto"/>
              </w:rPr>
              <w:t>24.20 %</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2,869,348</w:t>
            </w: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24.45 %</w:t>
            </w:r>
          </w:p>
        </w:tc>
      </w:tr>
      <w:tr>
        <w:trPr>
          <w:trHeight w:val="263"/>
        </w:trPr>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Savings</w:t>
            </w:r>
          </w:p>
        </w:tc>
        <w:tc>
          <w:tcPr>
            <w:tcW w:w="3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551,248</w:t>
            </w:r>
          </w:p>
        </w:tc>
        <w:tc>
          <w:tcPr>
            <w:tcW w:w="1980" w:type="dxa"/>
            <w:vAlign w:val="bottom"/>
            <w:gridSpan w:val="4"/>
            <w:shd w:val="clear" w:color="auto" w:fill="CFF0FC"/>
          </w:tcPr>
          <w:p>
            <w:pPr>
              <w:jc w:val="right"/>
              <w:ind w:right="360"/>
              <w:spacing w:after="0"/>
              <w:rPr>
                <w:sz w:val="20"/>
                <w:szCs w:val="20"/>
                <w:color w:val="auto"/>
              </w:rPr>
            </w:pPr>
            <w:r>
              <w:rPr>
                <w:rFonts w:ascii="Arial" w:cs="Arial" w:eastAsia="Arial" w:hAnsi="Arial"/>
                <w:sz w:val="18"/>
                <w:szCs w:val="18"/>
                <w:color w:val="auto"/>
              </w:rPr>
              <w:t>4.26 %</w:t>
            </w:r>
          </w:p>
        </w:tc>
        <w:tc>
          <w:tcPr>
            <w:tcW w:w="4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492,096</w:t>
            </w:r>
          </w:p>
        </w:tc>
        <w:tc>
          <w:tcPr>
            <w:tcW w:w="16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4.19 %</w:t>
            </w:r>
          </w:p>
        </w:tc>
      </w:tr>
      <w:tr>
        <w:trPr>
          <w:trHeight w:val="256"/>
        </w:trPr>
        <w:tc>
          <w:tcPr>
            <w:tcW w:w="4260" w:type="dxa"/>
            <w:vAlign w:val="bottom"/>
          </w:tcPr>
          <w:p>
            <w:pPr>
              <w:ind w:left="120"/>
              <w:spacing w:after="0"/>
              <w:rPr>
                <w:sz w:val="20"/>
                <w:szCs w:val="20"/>
                <w:color w:val="auto"/>
              </w:rPr>
            </w:pPr>
            <w:r>
              <w:rPr>
                <w:rFonts w:ascii="Arial" w:cs="Arial" w:eastAsia="Arial" w:hAnsi="Arial"/>
                <w:sz w:val="18"/>
                <w:szCs w:val="18"/>
                <w:color w:val="auto"/>
              </w:rPr>
              <w:t>Time deposits</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344,439</w:t>
            </w:r>
          </w:p>
        </w:tc>
        <w:tc>
          <w:tcPr>
            <w:tcW w:w="380" w:type="dxa"/>
            <w:vAlign w:val="bottom"/>
            <w:gridSpan w:val="2"/>
          </w:tcPr>
          <w:p>
            <w:pPr>
              <w:spacing w:after="0"/>
              <w:rPr>
                <w:sz w:val="22"/>
                <w:szCs w:val="22"/>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2.66 %</w:t>
            </w:r>
          </w:p>
        </w:tc>
        <w:tc>
          <w:tcPr>
            <w:tcW w:w="4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401,694</w:t>
            </w: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3.42 %</w:t>
            </w:r>
          </w:p>
        </w:tc>
      </w:tr>
      <w:tr>
        <w:trPr>
          <w:trHeight w:val="20"/>
        </w:trPr>
        <w:tc>
          <w:tcPr>
            <w:tcW w:w="4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0"/>
        </w:trPr>
        <w:tc>
          <w:tcPr>
            <w:tcW w:w="4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Deposits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12,930,216</w:t>
            </w:r>
          </w:p>
        </w:tc>
        <w:tc>
          <w:tcPr>
            <w:tcW w:w="380" w:type="dxa"/>
            <w:vAlign w:val="bottom"/>
            <w:gridSpan w:val="2"/>
            <w:shd w:val="clear" w:color="auto" w:fill="CFF0FC"/>
          </w:tcPr>
          <w:p>
            <w:pPr>
              <w:spacing w:after="0"/>
              <w:rPr>
                <w:sz w:val="23"/>
                <w:szCs w:val="23"/>
                <w:color w:val="auto"/>
              </w:rPr>
            </w:pP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100.00 %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11,736,501</w:t>
            </w:r>
          </w:p>
        </w:tc>
        <w:tc>
          <w:tcPr>
            <w:tcW w:w="16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100.00 %</w:t>
            </w: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-24765</wp:posOffset>
            </wp:positionV>
            <wp:extent cx="24003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24003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33401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33401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22288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22288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17145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17145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9" w:lineRule="exact"/>
        <w:rPr>
          <w:sz w:val="20"/>
          <w:szCs w:val="20"/>
          <w:color w:val="auto"/>
        </w:rPr>
      </w:pPr>
    </w:p>
    <w:p>
      <w:pPr>
        <w:ind w:right="200" w:firstLine="469"/>
        <w:spacing w:after="0" w:line="275" w:lineRule="auto"/>
        <w:rPr>
          <w:sz w:val="20"/>
          <w:szCs w:val="20"/>
          <w:color w:val="auto"/>
        </w:rPr>
      </w:pPr>
      <w:r>
        <w:rPr>
          <w:rFonts w:ascii="Arial" w:cs="Arial" w:eastAsia="Arial" w:hAnsi="Arial"/>
          <w:sz w:val="18"/>
          <w:szCs w:val="18"/>
          <w:color w:val="auto"/>
        </w:rPr>
        <w:t>The amount of noninterest-bearing deposits in relation to total deposits is an integral element in our strategy of seeking to achieve a low cost of funds. Noninterest-bearing deposits totaled $8.31 billion at September 30, 2021, representing an increase of $855.3 million, or 11.47%, from noninterest-bearing deposits of $7.46 billion at December 31, 2020. Noninterest-bearing deposits represented 64.27% of total deposits at September 30, 2021, compared to 63.52% of total deposits at December 31, 2020.</w:t>
      </w:r>
    </w:p>
    <w:p>
      <w:pPr>
        <w:spacing w:after="0" w:line="199" w:lineRule="exact"/>
        <w:rPr>
          <w:sz w:val="20"/>
          <w:szCs w:val="20"/>
          <w:color w:val="auto"/>
        </w:rPr>
      </w:pPr>
    </w:p>
    <w:p>
      <w:pPr>
        <w:ind w:right="680" w:firstLine="469"/>
        <w:spacing w:after="0" w:line="324" w:lineRule="auto"/>
        <w:rPr>
          <w:sz w:val="20"/>
          <w:szCs w:val="20"/>
          <w:color w:val="auto"/>
        </w:rPr>
      </w:pPr>
      <w:r>
        <w:rPr>
          <w:rFonts w:ascii="Arial" w:cs="Arial" w:eastAsia="Arial" w:hAnsi="Arial"/>
          <w:sz w:val="17"/>
          <w:szCs w:val="17"/>
          <w:color w:val="auto"/>
        </w:rPr>
        <w:t>Savings deposits, which include savings, interest-bearing demand, and money market accounts, totaled $4.28 billion at September 30, 2021, representing an increase of $395.6 million, or 10.20%, from savings deposits of $3.88 billion at December 31, 2020.</w:t>
      </w:r>
    </w:p>
    <w:p>
      <w:pPr>
        <w:spacing w:after="0" w:line="161" w:lineRule="exact"/>
        <w:rPr>
          <w:sz w:val="20"/>
          <w:szCs w:val="20"/>
          <w:color w:val="auto"/>
        </w:rPr>
      </w:pPr>
    </w:p>
    <w:p>
      <w:pPr>
        <w:ind w:right="100" w:firstLine="469"/>
        <w:spacing w:after="0" w:line="293" w:lineRule="auto"/>
        <w:rPr>
          <w:sz w:val="20"/>
          <w:szCs w:val="20"/>
          <w:color w:val="auto"/>
        </w:rPr>
      </w:pPr>
      <w:r>
        <w:rPr>
          <w:rFonts w:ascii="Arial" w:cs="Arial" w:eastAsia="Arial" w:hAnsi="Arial"/>
          <w:sz w:val="18"/>
          <w:szCs w:val="18"/>
          <w:color w:val="auto"/>
        </w:rPr>
        <w:t>Time deposits totaled $344.4 million at September 30, 2021, representing a decrease of $57.3 million, or 14.25%, from total time deposits of $401.7 million for December 31,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52" w:lineRule="exact"/>
        <w:rPr>
          <w:sz w:val="20"/>
          <w:szCs w:val="20"/>
          <w:color w:val="auto"/>
        </w:rPr>
      </w:pPr>
    </w:p>
    <w:p>
      <w:pPr>
        <w:ind w:right="200" w:firstLine="469"/>
        <w:spacing w:after="0" w:line="314" w:lineRule="auto"/>
        <w:rPr>
          <w:sz w:val="20"/>
          <w:szCs w:val="20"/>
          <w:color w:val="auto"/>
        </w:rPr>
      </w:pPr>
      <w:r>
        <w:rPr>
          <w:rFonts w:ascii="Arial" w:cs="Arial" w:eastAsia="Arial" w:hAnsi="Arial"/>
          <w:sz w:val="16"/>
          <w:szCs w:val="16"/>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September 30, 2021 and December 31, 2020, total funds borrowed under these agreements were $659.6 million and $439.4 million, respectively, with a weighted average interest rate of 0.08% and 0.10%, respectively.</w:t>
      </w:r>
    </w:p>
    <w:p>
      <w:pPr>
        <w:spacing w:after="0" w:line="173" w:lineRule="exact"/>
        <w:rPr>
          <w:sz w:val="20"/>
          <w:szCs w:val="20"/>
          <w:color w:val="auto"/>
        </w:rPr>
      </w:pPr>
    </w:p>
    <w:p>
      <w:pPr>
        <w:ind w:right="360" w:firstLine="469"/>
        <w:spacing w:after="0" w:line="293" w:lineRule="auto"/>
        <w:rPr>
          <w:sz w:val="20"/>
          <w:szCs w:val="20"/>
          <w:color w:val="auto"/>
        </w:rPr>
      </w:pPr>
      <w:r>
        <w:rPr>
          <w:rFonts w:ascii="Arial" w:cs="Arial" w:eastAsia="Arial" w:hAnsi="Arial"/>
          <w:sz w:val="18"/>
          <w:szCs w:val="18"/>
          <w:color w:val="auto"/>
        </w:rPr>
        <w:t>We had no other borrowings at September 30, 2021, compared to $5.0 million and $10.0 million in short-term borrowings that were interest-free advances from the FHLB at December 31, 2020 and September 31, 2020, respectively.</w:t>
      </w:r>
    </w:p>
    <w:p>
      <w:pPr>
        <w:spacing w:after="0" w:line="183" w:lineRule="exact"/>
        <w:rPr>
          <w:sz w:val="20"/>
          <w:szCs w:val="20"/>
          <w:color w:val="auto"/>
        </w:rPr>
      </w:pPr>
    </w:p>
    <w:p>
      <w:pPr>
        <w:ind w:right="200" w:firstLine="469"/>
        <w:spacing w:after="0" w:line="279" w:lineRule="auto"/>
        <w:rPr>
          <w:sz w:val="20"/>
          <w:szCs w:val="20"/>
          <w:color w:val="auto"/>
        </w:rPr>
      </w:pPr>
      <w:r>
        <w:rPr>
          <w:rFonts w:ascii="Arial" w:cs="Arial" w:eastAsia="Arial" w:hAnsi="Arial"/>
          <w:sz w:val="18"/>
          <w:szCs w:val="18"/>
          <w:color w:val="auto"/>
        </w:rPr>
        <w:t>On June 15, 2021, we redeemed our junior subordinated debentures of $25.8 million, representing the amounts that are due from the Company to CVB Statutory Trust III, which had a borrowing cost of approximately 1.60%. The debentures and the Trust Preferred Securities had an original maturity date of 2036. The interest rate on these debentures were based on three-month LIBOR plus 1.38%.</w:t>
      </w:r>
    </w:p>
    <w:p>
      <w:pPr>
        <w:spacing w:after="0" w:line="196" w:lineRule="exact"/>
        <w:rPr>
          <w:sz w:val="20"/>
          <w:szCs w:val="20"/>
          <w:color w:val="auto"/>
        </w:rPr>
      </w:pPr>
    </w:p>
    <w:p>
      <w:pPr>
        <w:ind w:right="220" w:firstLine="469"/>
        <w:spacing w:after="0" w:line="293" w:lineRule="auto"/>
        <w:rPr>
          <w:sz w:val="20"/>
          <w:szCs w:val="20"/>
          <w:color w:val="auto"/>
        </w:rPr>
      </w:pPr>
      <w:r>
        <w:rPr>
          <w:rFonts w:ascii="Arial" w:cs="Arial" w:eastAsia="Arial" w:hAnsi="Arial"/>
          <w:sz w:val="18"/>
          <w:szCs w:val="18"/>
          <w:color w:val="auto"/>
        </w:rPr>
        <w:t>At September 30, 2021, $6.26 billion of loans and $2.20 billion of investment securities, at carrying value, were pledged to secure public deposits, short and long-term borrowings, and for other purposes as required or permitted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Contractual Obligations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aggregate contractual obligations as of September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Maturity by Period</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One Year</w:t>
            </w:r>
          </w:p>
        </w:tc>
        <w:tc>
          <w:tcPr>
            <w:tcW w:w="14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Four Years</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4"/>
              </w:rPr>
              <w:t>Less Than One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Through</w:t>
            </w:r>
          </w:p>
        </w:tc>
        <w:tc>
          <w:tcPr>
            <w:tcW w:w="14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Through</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4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Year</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Three Years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Five Years</w:t>
            </w:r>
          </w:p>
        </w:tc>
        <w:tc>
          <w:tcPr>
            <w:tcW w:w="260" w:type="dxa"/>
            <w:vAlign w:val="bottom"/>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2"/>
              </w:rPr>
              <w:t>Over Five Years</w:t>
            </w:r>
          </w:p>
        </w:tc>
        <w:tc>
          <w:tcPr>
            <w:tcW w:w="80" w:type="dxa"/>
            <w:vAlign w:val="bottom"/>
          </w:tcPr>
          <w:p>
            <w:pPr>
              <w:spacing w:after="0"/>
              <w:rPr>
                <w:sz w:val="19"/>
                <w:szCs w:val="19"/>
                <w:color w:val="auto"/>
              </w:rPr>
            </w:pPr>
          </w:p>
        </w:tc>
      </w:tr>
      <w:tr>
        <w:trPr>
          <w:trHeight w:val="220"/>
        </w:trPr>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40" w:type="dxa"/>
            <w:vAlign w:val="bottom"/>
            <w:gridSpan w:val="4"/>
          </w:tcPr>
          <w:p>
            <w:pPr>
              <w:jc w:val="center"/>
              <w:ind w:right="80"/>
              <w:spacing w:after="0"/>
              <w:rPr>
                <w:sz w:val="20"/>
                <w:szCs w:val="20"/>
                <w:color w:val="auto"/>
              </w:rPr>
            </w:pPr>
            <w:r>
              <w:rPr>
                <w:rFonts w:ascii="Arial" w:cs="Arial" w:eastAsia="Arial" w:hAnsi="Arial"/>
                <w:sz w:val="16"/>
                <w:szCs w:val="16"/>
                <w:i w:val="1"/>
                <w:iCs w:val="1"/>
                <w:color w:val="auto"/>
                <w:w w:val="95"/>
              </w:rPr>
              <w:t>(Dollars in thousands)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Deposits (1)</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12,930,216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12,902,846</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17,736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9,019</w:t>
            </w:r>
          </w:p>
        </w:tc>
        <w:tc>
          <w:tcPr>
            <w:tcW w:w="66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CFF0FC"/>
          </w:tcPr>
          <w:p>
            <w:pPr>
              <w:spacing w:after="0"/>
              <w:rPr>
                <w:sz w:val="20"/>
                <w:szCs w:val="20"/>
                <w:color w:val="auto"/>
              </w:rPr>
            </w:pPr>
          </w:p>
        </w:tc>
      </w:tr>
      <w:tr>
        <w:trPr>
          <w:trHeight w:val="220"/>
        </w:trPr>
        <w:tc>
          <w:tcPr>
            <w:tcW w:w="4280" w:type="dxa"/>
            <w:vAlign w:val="bottom"/>
          </w:tcPr>
          <w:p>
            <w:pPr>
              <w:ind w:left="20"/>
              <w:spacing w:after="0"/>
              <w:rPr>
                <w:sz w:val="20"/>
                <w:szCs w:val="20"/>
                <w:color w:val="auto"/>
              </w:rPr>
            </w:pPr>
            <w:r>
              <w:rPr>
                <w:rFonts w:ascii="Arial" w:cs="Arial" w:eastAsia="Arial" w:hAnsi="Arial"/>
                <w:sz w:val="16"/>
                <w:szCs w:val="16"/>
                <w:color w:val="auto"/>
              </w:rPr>
              <w:t>Customer repurchase agreements (1)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659,579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659,579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r>
      <w:tr>
        <w:trPr>
          <w:trHeight w:val="23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compensation</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20,973</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18,858</w:t>
            </w:r>
          </w:p>
        </w:tc>
        <w:tc>
          <w:tcPr>
            <w:tcW w:w="80" w:type="dxa"/>
            <w:vAlign w:val="bottom"/>
            <w:shd w:val="clear" w:color="auto" w:fill="CFF0FC"/>
          </w:tcPr>
          <w:p>
            <w:pPr>
              <w:spacing w:after="0"/>
              <w:rPr>
                <w:sz w:val="20"/>
                <w:szCs w:val="20"/>
                <w:color w:val="auto"/>
              </w:rPr>
            </w:pPr>
          </w:p>
        </w:tc>
      </w:tr>
      <w:tr>
        <w:trPr>
          <w:trHeight w:val="220"/>
        </w:trPr>
        <w:tc>
          <w:tcPr>
            <w:tcW w:w="428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22,154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8,864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4,980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1,644</w:t>
            </w:r>
          </w:p>
        </w:tc>
        <w:tc>
          <w:tcPr>
            <w:tcW w:w="80" w:type="dxa"/>
            <w:vAlign w:val="bottom"/>
          </w:tcPr>
          <w:p>
            <w:pPr>
              <w:spacing w:after="0"/>
              <w:rPr>
                <w:sz w:val="19"/>
                <w:szCs w:val="19"/>
                <w:color w:val="auto"/>
              </w:rPr>
            </w:pPr>
          </w:p>
        </w:tc>
      </w:tr>
      <w:tr>
        <w:trPr>
          <w:trHeight w:val="236"/>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Affordable housing investment</w:t>
            </w: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6"/>
        </w:trPr>
        <w:tc>
          <w:tcPr>
            <w:tcW w:w="428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13,634,272</w:t>
            </w:r>
          </w:p>
        </w:tc>
        <w:tc>
          <w:tcPr>
            <w:tcW w:w="26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13,571,025</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27,474</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14,650</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21,123</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-176530</wp:posOffset>
            </wp:positionV>
            <wp:extent cx="171450" cy="571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-176530</wp:posOffset>
            </wp:positionV>
            <wp:extent cx="137160" cy="571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-176530</wp:posOffset>
            </wp:positionV>
            <wp:extent cx="163195" cy="571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-176530</wp:posOffset>
            </wp:positionV>
            <wp:extent cx="163195" cy="571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-176530</wp:posOffset>
            </wp:positionV>
            <wp:extent cx="51435" cy="571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ind w:left="980" w:hanging="409"/>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exclude accrued interest.</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Deposits represent noninterest-bearing, money market, savings, NOW, certificates of deposits, brokered and all other deposits held by the Bank.</w:t>
      </w:r>
    </w:p>
    <w:p>
      <w:pPr>
        <w:spacing w:after="0" w:line="275" w:lineRule="exact"/>
        <w:rPr>
          <w:sz w:val="20"/>
          <w:szCs w:val="20"/>
          <w:color w:val="auto"/>
        </w:rPr>
      </w:pPr>
    </w:p>
    <w:p>
      <w:pPr>
        <w:ind w:right="40" w:firstLine="469"/>
        <w:spacing w:after="0" w:line="293" w:lineRule="auto"/>
        <w:rPr>
          <w:sz w:val="20"/>
          <w:szCs w:val="20"/>
          <w:color w:val="auto"/>
        </w:rPr>
      </w:pPr>
      <w:r>
        <w:rPr>
          <w:rFonts w:ascii="Arial" w:cs="Arial" w:eastAsia="Arial" w:hAnsi="Arial"/>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83" w:lineRule="exact"/>
        <w:rPr>
          <w:sz w:val="20"/>
          <w:szCs w:val="20"/>
          <w:color w:val="auto"/>
        </w:rPr>
      </w:pPr>
    </w:p>
    <w:p>
      <w:pPr>
        <w:ind w:right="140" w:firstLine="469"/>
        <w:spacing w:after="0" w:line="293" w:lineRule="auto"/>
        <w:rPr>
          <w:sz w:val="20"/>
          <w:szCs w:val="20"/>
          <w:color w:val="auto"/>
        </w:rPr>
      </w:pPr>
      <w:r>
        <w:rPr>
          <w:rFonts w:ascii="Arial" w:cs="Arial" w:eastAsia="Arial" w:hAnsi="Arial"/>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83" w:lineRule="exact"/>
        <w:rPr>
          <w:sz w:val="20"/>
          <w:szCs w:val="20"/>
          <w:color w:val="auto"/>
        </w:rPr>
      </w:pPr>
    </w:p>
    <w:p>
      <w:pPr>
        <w:ind w:right="240" w:firstLine="469"/>
        <w:spacing w:after="0" w:line="282" w:lineRule="auto"/>
        <w:rPr>
          <w:sz w:val="20"/>
          <w:szCs w:val="20"/>
          <w:color w:val="auto"/>
        </w:rPr>
      </w:pPr>
      <w:r>
        <w:rPr>
          <w:rFonts w:ascii="Arial" w:cs="Arial" w:eastAsia="Arial" w:hAnsi="Arial"/>
          <w:sz w:val="17"/>
          <w:szCs w:val="17"/>
          <w:color w:val="auto"/>
        </w:rPr>
        <w:t xml:space="preserve">Operating leases represent the total minimum lease payments due under non-cancelable operating leases. Refer to Note 11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of the notes to the Company’s unaudited condensed consolidated financial statements for a more detailed discussion about leases.</w:t>
      </w: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off-balance sheet items at September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Maturity by Period</w:t>
            </w: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One Year</w:t>
            </w:r>
          </w:p>
        </w:tc>
        <w:tc>
          <w:tcPr>
            <w:tcW w:w="120" w:type="dxa"/>
            <w:vAlign w:val="bottom"/>
          </w:tcPr>
          <w:p>
            <w:pPr>
              <w:spacing w:after="0"/>
              <w:rPr>
                <w:sz w:val="17"/>
                <w:szCs w:val="17"/>
                <w:color w:val="auto"/>
              </w:rPr>
            </w:pPr>
          </w:p>
        </w:tc>
        <w:tc>
          <w:tcPr>
            <w:tcW w:w="102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Four Years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Less Than One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Through</w:t>
            </w:r>
          </w:p>
        </w:tc>
        <w:tc>
          <w:tcPr>
            <w:tcW w:w="120" w:type="dxa"/>
            <w:vAlign w:val="bottom"/>
          </w:tcPr>
          <w:p>
            <w:pPr>
              <w:spacing w:after="0"/>
              <w:rPr>
                <w:sz w:val="17"/>
                <w:szCs w:val="17"/>
                <w:color w:val="auto"/>
              </w:rPr>
            </w:pPr>
          </w:p>
        </w:tc>
        <w:tc>
          <w:tcPr>
            <w:tcW w:w="102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Through</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Year</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Three Years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Five Years</w:t>
            </w:r>
          </w:p>
        </w:tc>
        <w:tc>
          <w:tcPr>
            <w:tcW w:w="280" w:type="dxa"/>
            <w:vAlign w:val="bottom"/>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2"/>
              </w:rPr>
              <w:t>Over Five Years</w:t>
            </w:r>
          </w:p>
        </w:tc>
        <w:tc>
          <w:tcPr>
            <w:tcW w:w="100" w:type="dxa"/>
            <w:vAlign w:val="bottom"/>
          </w:tcPr>
          <w:p>
            <w:pPr>
              <w:spacing w:after="0"/>
              <w:rPr>
                <w:sz w:val="19"/>
                <w:szCs w:val="19"/>
                <w:color w:val="auto"/>
              </w:rPr>
            </w:pPr>
          </w:p>
        </w:tc>
      </w:tr>
      <w:tr>
        <w:trPr>
          <w:trHeight w:val="220"/>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80" w:type="dxa"/>
            <w:vAlign w:val="bottom"/>
            <w:gridSpan w:val="4"/>
          </w:tcPr>
          <w:p>
            <w:pPr>
              <w:jc w:val="center"/>
              <w:ind w:right="60"/>
              <w:spacing w:after="0"/>
              <w:rPr>
                <w:sz w:val="20"/>
                <w:szCs w:val="20"/>
                <w:color w:val="auto"/>
              </w:rPr>
            </w:pPr>
            <w:r>
              <w:rPr>
                <w:rFonts w:ascii="Arial" w:cs="Arial" w:eastAsia="Arial" w:hAnsi="Arial"/>
                <w:sz w:val="16"/>
                <w:szCs w:val="16"/>
                <w:i w:val="1"/>
                <w:iCs w:val="1"/>
                <w:color w:val="auto"/>
                <w:w w:val="93"/>
              </w:rPr>
              <w:t>(Dollars in thousands)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 to extend credit: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260" w:type="dxa"/>
            <w:vAlign w:val="bottom"/>
          </w:tcPr>
          <w:p>
            <w:pPr>
              <w:ind w:left="120"/>
              <w:spacing w:after="0"/>
              <w:rPr>
                <w:sz w:val="20"/>
                <w:szCs w:val="20"/>
                <w:color w:val="auto"/>
              </w:rPr>
            </w:pPr>
            <w:r>
              <w:rPr>
                <w:rFonts w:ascii="Arial" w:cs="Arial" w:eastAsia="Arial" w:hAnsi="Arial"/>
                <w:sz w:val="16"/>
                <w:szCs w:val="16"/>
                <w:color w:val="auto"/>
              </w:rPr>
              <w:t>Commercial real estate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315,799</w:t>
            </w:r>
          </w:p>
        </w:tc>
        <w:tc>
          <w:tcPr>
            <w:tcW w:w="3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49,608</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126,713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123,577</w:t>
            </w: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15,901</w:t>
            </w:r>
          </w:p>
        </w:tc>
        <w:tc>
          <w:tcPr>
            <w:tcW w:w="100" w:type="dxa"/>
            <w:vAlign w:val="bottom"/>
          </w:tcPr>
          <w:p>
            <w:pPr>
              <w:spacing w:after="0"/>
              <w:rPr>
                <w:sz w:val="19"/>
                <w:szCs w:val="19"/>
                <w:color w:val="auto"/>
              </w:rPr>
            </w:pPr>
          </w:p>
        </w:tc>
      </w:tr>
      <w:tr>
        <w:trPr>
          <w:trHeight w:val="239"/>
        </w:trPr>
        <w:tc>
          <w:tcPr>
            <w:tcW w:w="4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Construction</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90,224</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38,456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51,768</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4260" w:type="dxa"/>
            <w:vAlign w:val="bottom"/>
          </w:tcPr>
          <w:p>
            <w:pPr>
              <w:ind w:left="120"/>
              <w:spacing w:after="0"/>
              <w:rPr>
                <w:sz w:val="20"/>
                <w:szCs w:val="20"/>
                <w:color w:val="auto"/>
              </w:rPr>
            </w:pPr>
            <w:r>
              <w:rPr>
                <w:rFonts w:ascii="Arial" w:cs="Arial" w:eastAsia="Arial" w:hAnsi="Arial"/>
                <w:sz w:val="16"/>
                <w:szCs w:val="16"/>
                <w:color w:val="auto"/>
              </w:rPr>
              <w:t>SBA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9"/>
                <w:szCs w:val="19"/>
                <w:color w:val="auto"/>
              </w:rPr>
            </w:pPr>
          </w:p>
        </w:tc>
      </w:tr>
      <w:tr>
        <w:trPr>
          <w:trHeight w:val="239"/>
        </w:trPr>
        <w:tc>
          <w:tcPr>
            <w:tcW w:w="4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SBA - PPP</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916,126</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697,971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139,212</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68,314</w:t>
            </w:r>
          </w:p>
        </w:tc>
        <w:tc>
          <w:tcPr>
            <w:tcW w:w="100" w:type="dxa"/>
            <w:vAlign w:val="bottom"/>
            <w:shd w:val="clear" w:color="auto" w:fill="CFF0FC"/>
          </w:tcPr>
          <w:p>
            <w:pPr>
              <w:spacing w:after="0"/>
              <w:rPr>
                <w:sz w:val="20"/>
                <w:szCs w:val="20"/>
                <w:color w:val="auto"/>
              </w:rPr>
            </w:pPr>
          </w:p>
        </w:tc>
      </w:tr>
      <w:tr>
        <w:trPr>
          <w:trHeight w:val="220"/>
        </w:trPr>
        <w:tc>
          <w:tcPr>
            <w:tcW w:w="4260" w:type="dxa"/>
            <w:vAlign w:val="bottom"/>
          </w:tcPr>
          <w:p>
            <w:pPr>
              <w:ind w:left="120"/>
              <w:spacing w:after="0"/>
              <w:rPr>
                <w:sz w:val="20"/>
                <w:szCs w:val="20"/>
                <w:color w:val="auto"/>
              </w:rPr>
            </w:pPr>
            <w:r>
              <w:rPr>
                <w:rFonts w:ascii="Arial" w:cs="Arial" w:eastAsia="Arial" w:hAnsi="Arial"/>
                <w:sz w:val="16"/>
                <w:szCs w:val="16"/>
                <w:color w:val="auto"/>
              </w:rPr>
              <w:t>Commercial and industrial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209,528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76,947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132,581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Dairy &amp; livestock and agribusiness (1)</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17,948</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17,948</w:t>
            </w:r>
          </w:p>
        </w:tc>
        <w:tc>
          <w:tcPr>
            <w:tcW w:w="100" w:type="dxa"/>
            <w:vAlign w:val="bottom"/>
            <w:shd w:val="clear" w:color="auto" w:fill="CFF0FC"/>
          </w:tcPr>
          <w:p>
            <w:pPr>
              <w:spacing w:after="0"/>
              <w:rPr>
                <w:sz w:val="20"/>
                <w:szCs w:val="20"/>
                <w:color w:val="auto"/>
              </w:rPr>
            </w:pPr>
          </w:p>
        </w:tc>
      </w:tr>
      <w:tr>
        <w:trPr>
          <w:trHeight w:val="220"/>
        </w:trPr>
        <w:tc>
          <w:tcPr>
            <w:tcW w:w="4260" w:type="dxa"/>
            <w:vAlign w:val="bottom"/>
          </w:tcPr>
          <w:p>
            <w:pPr>
              <w:ind w:left="120"/>
              <w:spacing w:after="0"/>
              <w:rPr>
                <w:sz w:val="20"/>
                <w:szCs w:val="20"/>
                <w:color w:val="auto"/>
              </w:rPr>
            </w:pPr>
            <w:r>
              <w:rPr>
                <w:rFonts w:ascii="Arial" w:cs="Arial" w:eastAsia="Arial" w:hAnsi="Arial"/>
                <w:sz w:val="16"/>
                <w:szCs w:val="16"/>
                <w:color w:val="auto"/>
              </w:rPr>
              <w:t>SFR Mortgage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3,082</w:t>
            </w:r>
          </w:p>
        </w:tc>
        <w:tc>
          <w:tcPr>
            <w:tcW w:w="100" w:type="dxa"/>
            <w:vAlign w:val="bottom"/>
          </w:tcPr>
          <w:p>
            <w:pPr>
              <w:spacing w:after="0"/>
              <w:rPr>
                <w:sz w:val="19"/>
                <w:szCs w:val="19"/>
                <w:color w:val="auto"/>
              </w:rPr>
            </w:pPr>
          </w:p>
        </w:tc>
      </w:tr>
      <w:tr>
        <w:trPr>
          <w:trHeight w:val="236"/>
        </w:trPr>
        <w:tc>
          <w:tcPr>
            <w:tcW w:w="4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Consumer and other loans</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123,899</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18,026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4,227</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96,837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6"/>
                <w:szCs w:val="16"/>
                <w:color w:val="auto"/>
              </w:rPr>
              <w:t>Total commitment to extend credit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1,679,203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882,578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454,851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139,015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202,759</w:t>
            </w:r>
          </w:p>
        </w:tc>
        <w:tc>
          <w:tcPr>
            <w:tcW w:w="100" w:type="dxa"/>
            <w:vAlign w:val="bottom"/>
          </w:tcPr>
          <w:p>
            <w:pPr>
              <w:spacing w:after="0"/>
              <w:rPr>
                <w:sz w:val="18"/>
                <w:szCs w:val="18"/>
                <w:color w:val="auto"/>
              </w:rPr>
            </w:pPr>
          </w:p>
        </w:tc>
      </w:tr>
      <w:tr>
        <w:trPr>
          <w:trHeight w:val="236"/>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Obligations under letters of credit</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45,779</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39,728</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6,051</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4260" w:type="dxa"/>
            <w:vAlign w:val="bottom"/>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1,724,982</w:t>
            </w:r>
          </w:p>
        </w:tc>
        <w:tc>
          <w:tcPr>
            <w:tcW w:w="3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922,306</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460,902</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139,015</w:t>
            </w: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202,759</w:t>
            </w:r>
          </w:p>
        </w:tc>
        <w:tc>
          <w:tcPr>
            <w:tcW w:w="10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-476250</wp:posOffset>
            </wp:positionV>
            <wp:extent cx="188595" cy="571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-476250</wp:posOffset>
            </wp:positionV>
            <wp:extent cx="154305" cy="571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-476250</wp:posOffset>
            </wp:positionV>
            <wp:extent cx="180340" cy="571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-476250</wp:posOffset>
            </wp:positionV>
            <wp:extent cx="179705" cy="571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-476250</wp:posOffset>
            </wp:positionV>
            <wp:extent cx="68580" cy="571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-176530</wp:posOffset>
            </wp:positionV>
            <wp:extent cx="188595" cy="571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-176530</wp:posOffset>
            </wp:positionV>
            <wp:extent cx="154305" cy="571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-176530</wp:posOffset>
            </wp:positionV>
            <wp:extent cx="180340" cy="571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-176530</wp:posOffset>
            </wp:positionV>
            <wp:extent cx="179705" cy="571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3" w:lineRule="exact"/>
        <w:rPr>
          <w:sz w:val="20"/>
          <w:szCs w:val="20"/>
          <w:color w:val="auto"/>
        </w:rPr>
      </w:pPr>
    </w:p>
    <w:p>
      <w:pPr>
        <w:ind w:left="980" w:hanging="409"/>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commitments to extend credit to agribusiness were $20.9 million at September 30, 2021.</w:t>
      </w:r>
    </w:p>
    <w:p>
      <w:pPr>
        <w:spacing w:after="0" w:line="257" w:lineRule="exact"/>
        <w:rPr>
          <w:sz w:val="20"/>
          <w:szCs w:val="20"/>
          <w:color w:val="auto"/>
        </w:rPr>
      </w:pPr>
    </w:p>
    <w:p>
      <w:pPr>
        <w:ind w:right="20" w:firstLine="469"/>
        <w:spacing w:after="0" w:line="306" w:lineRule="auto"/>
        <w:rPr>
          <w:sz w:val="20"/>
          <w:szCs w:val="20"/>
          <w:color w:val="auto"/>
        </w:rPr>
      </w:pPr>
      <w:r>
        <w:rPr>
          <w:rFonts w:ascii="Arial" w:cs="Arial" w:eastAsia="Arial" w:hAnsi="Arial"/>
          <w:sz w:val="16"/>
          <w:szCs w:val="16"/>
          <w:color w:val="auto"/>
        </w:rPr>
        <w:t>As of September 30, 2021, we had commitments to extend credit of approximately $1.68 billion, and obligations under letters of credit of $45.8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There was no provision or recapture of provision for unfunded loan commitments recorded for the three months ended September 30, 2021 and $1.0 million in recapture of provision for unfunded loan commitments was recorded for the nine months ended September 30, 2021, compared to no provision or recapture of provision for unfunded loan commitments for the three and nine months ended September 30, 2020. The Company had a reserve for unfunded loan commitments of $8.0 million as of September 30, 2021 included in other liabilities September 30, 2021, compared to $9.0 million as of December 31, 2020.</w:t>
      </w:r>
    </w:p>
    <w:p>
      <w:pPr>
        <w:spacing w:after="0" w:line="179" w:lineRule="exact"/>
        <w:rPr>
          <w:sz w:val="20"/>
          <w:szCs w:val="20"/>
          <w:color w:val="auto"/>
        </w:rPr>
      </w:pPr>
    </w:p>
    <w:p>
      <w:pPr>
        <w:jc w:val="both"/>
        <w:ind w:right="20" w:firstLine="469"/>
        <w:spacing w:after="0" w:line="329" w:lineRule="auto"/>
        <w:rPr>
          <w:sz w:val="20"/>
          <w:szCs w:val="20"/>
          <w:color w:val="auto"/>
        </w:rPr>
      </w:pPr>
      <w:r>
        <w:rPr>
          <w:rFonts w:ascii="Arial" w:cs="Arial" w:eastAsia="Arial" w:hAnsi="Arial"/>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right="20" w:firstLine="469"/>
        <w:spacing w:after="0" w:line="329" w:lineRule="auto"/>
        <w:rPr>
          <w:sz w:val="20"/>
          <w:szCs w:val="20"/>
          <w:color w:val="auto"/>
        </w:rPr>
      </w:pPr>
      <w:r>
        <w:rPr>
          <w:rFonts w:ascii="Arial" w:cs="Arial" w:eastAsia="Arial" w:hAnsi="Arial"/>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w:t>
      </w:r>
    </w:p>
    <w:p>
      <w:pPr>
        <w:spacing w:after="0" w:line="161" w:lineRule="exact"/>
        <w:rPr>
          <w:sz w:val="20"/>
          <w:szCs w:val="20"/>
          <w:color w:val="auto"/>
        </w:rPr>
      </w:pPr>
    </w:p>
    <w:p>
      <w:pPr>
        <w:ind w:right="120" w:firstLine="469"/>
        <w:spacing w:after="0" w:line="314" w:lineRule="auto"/>
        <w:rPr>
          <w:sz w:val="20"/>
          <w:szCs w:val="20"/>
          <w:color w:val="auto"/>
        </w:rPr>
      </w:pPr>
      <w:r>
        <w:rPr>
          <w:rFonts w:ascii="Arial" w:cs="Arial" w:eastAsia="Arial" w:hAnsi="Arial"/>
          <w:sz w:val="16"/>
          <w:szCs w:val="16"/>
          <w:color w:val="auto"/>
        </w:rPr>
        <w:t>Total equity increased $55.9 million, or 2.79%, to $2.06 billion at September 30, 2021, compared to total equity of $2.01 billion at December 31, 2020. The $55.9 million increase in equity was primarily due to $164.8 million in net earnings and $4.2 million for various stock based compensation items. This was partially offset by a $32.3 million decrease in other comprehensive income from the tax effected impact of the decrease in market value of available-for-sale securities and $73.4 million in cash dividends. During the third quarter, we repurchased 390,336 shares of common stock for $7.4 million, or an average repurchase price of $18.97. Our tangible common equity ratio was 8.85% at September 30, 2021.</w:t>
      </w:r>
    </w:p>
    <w:p>
      <w:pPr>
        <w:spacing w:after="0" w:line="173" w:lineRule="exact"/>
        <w:rPr>
          <w:sz w:val="20"/>
          <w:szCs w:val="20"/>
          <w:color w:val="auto"/>
        </w:rPr>
      </w:pPr>
    </w:p>
    <w:p>
      <w:pPr>
        <w:ind w:right="60" w:firstLine="469"/>
        <w:spacing w:after="0" w:line="272" w:lineRule="auto"/>
        <w:rPr>
          <w:sz w:val="20"/>
          <w:szCs w:val="20"/>
          <w:color w:val="auto"/>
        </w:rPr>
      </w:pPr>
      <w:r>
        <w:rPr>
          <w:rFonts w:ascii="Arial" w:cs="Arial" w:eastAsia="Arial" w:hAnsi="Arial"/>
          <w:sz w:val="18"/>
          <w:szCs w:val="18"/>
          <w:color w:val="auto"/>
        </w:rPr>
        <w:t>During the third quarter of 2021, the Board of Directors of CVB declared quarterly cash dividends totaling $0.18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 including covenants set forth in our junior subordinated debentures.</w:t>
      </w:r>
    </w:p>
    <w:p>
      <w:pPr>
        <w:spacing w:after="0" w:line="204" w:lineRule="exact"/>
        <w:rPr>
          <w:sz w:val="20"/>
          <w:szCs w:val="20"/>
          <w:color w:val="auto"/>
        </w:rPr>
      </w:pPr>
    </w:p>
    <w:p>
      <w:pPr>
        <w:ind w:right="40" w:firstLine="469"/>
        <w:spacing w:after="0" w:line="309" w:lineRule="auto"/>
        <w:rPr>
          <w:sz w:val="20"/>
          <w:szCs w:val="20"/>
          <w:color w:val="auto"/>
        </w:rPr>
      </w:pPr>
      <w:r>
        <w:rPr>
          <w:rFonts w:ascii="Arial" w:cs="Arial" w:eastAsia="Arial" w:hAnsi="Arial"/>
          <w:sz w:val="16"/>
          <w:szCs w:val="16"/>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There is no expiration date for this repurchase program. For the year ended December 31, 2020, the Company repurchased 4,944,290 shares of CVB common stock outstanding under this program. The Company terminated the 10b5-1 stock buyback plan on September 23, 2021 as a result of the Company’s prospective issuance of common stock related to the pending acquisition of Suncrest Bank. For the three and nine months ended September 30, 2021, the Company repurchased 390,336 shares of CVB common stock outstanding under this program. As of September 30, 2021, we had 4,194,809 shares of CVB common stock remaining that are eligible for repurchase under the common stock repurchase program.</w:t>
      </w:r>
    </w:p>
    <w:p>
      <w:pPr>
        <w:spacing w:after="0" w:line="178" w:lineRule="exact"/>
        <w:rPr>
          <w:sz w:val="20"/>
          <w:szCs w:val="20"/>
          <w:color w:val="auto"/>
        </w:rPr>
      </w:pPr>
    </w:p>
    <w:p>
      <w:pPr>
        <w:ind w:right="80" w:firstLine="469"/>
        <w:spacing w:after="0" w:line="287" w:lineRule="auto"/>
        <w:rPr>
          <w:sz w:val="20"/>
          <w:szCs w:val="20"/>
          <w:color w:val="auto"/>
        </w:rPr>
      </w:pPr>
      <w:r>
        <w:rPr>
          <w:rFonts w:ascii="Arial" w:cs="Arial" w:eastAsia="Arial" w:hAnsi="Arial"/>
          <w:sz w:val="17"/>
          <w:szCs w:val="17"/>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September 30, 2021, the Bank and the Company exceeded the minimum risk-based capital ratios and leverage ratios required to be considered “well-capitalized” for regulatory purposes. For further information about capital requirements and our capital ratios, see “Item 1. </w:t>
      </w:r>
      <w:r>
        <w:rPr>
          <w:rFonts w:ascii="Arial" w:cs="Arial" w:eastAsia="Arial" w:hAnsi="Arial"/>
          <w:sz w:val="17"/>
          <w:szCs w:val="17"/>
          <w:i w:val="1"/>
          <w:iCs w:val="1"/>
          <w:color w:val="auto"/>
        </w:rPr>
        <w:t>Business – Capital Adequacy Requirements</w:t>
      </w:r>
      <w:r>
        <w:rPr>
          <w:rFonts w:ascii="Arial" w:cs="Arial" w:eastAsia="Arial" w:hAnsi="Arial"/>
          <w:sz w:val="17"/>
          <w:szCs w:val="17"/>
          <w:color w:val="auto"/>
        </w:rPr>
        <w:t>” as described in our Annual Report on Form 10-K for the year ended December 31, 2021.</w:t>
      </w:r>
    </w:p>
    <w:p>
      <w:pPr>
        <w:spacing w:after="0" w:line="191" w:lineRule="exact"/>
        <w:rPr>
          <w:sz w:val="20"/>
          <w:szCs w:val="20"/>
          <w:color w:val="auto"/>
        </w:rPr>
      </w:pPr>
    </w:p>
    <w:p>
      <w:pPr>
        <w:ind w:right="160" w:firstLine="469"/>
        <w:spacing w:after="0" w:line="279" w:lineRule="auto"/>
        <w:rPr>
          <w:sz w:val="20"/>
          <w:szCs w:val="20"/>
          <w:color w:val="auto"/>
        </w:rPr>
      </w:pPr>
      <w:r>
        <w:rPr>
          <w:rFonts w:ascii="Arial" w:cs="Arial" w:eastAsia="Arial" w:hAnsi="Arial"/>
          <w:sz w:val="18"/>
          <w:szCs w:val="18"/>
          <w:color w:val="auto"/>
        </w:rPr>
        <w:t>At September 30, 2021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presents the Company’s and the Bank’s risk-based and leverage capital ratios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September 30, 2021</w:t>
            </w:r>
          </w:p>
        </w:tc>
        <w:tc>
          <w:tcPr>
            <w:tcW w:w="140" w:type="dxa"/>
            <w:vAlign w:val="bottom"/>
          </w:tcPr>
          <w:p>
            <w:pPr>
              <w:spacing w:after="0"/>
              <w:rPr>
                <w:sz w:val="15"/>
                <w:szCs w:val="15"/>
                <w:color w:val="auto"/>
              </w:rPr>
            </w:pPr>
          </w:p>
        </w:tc>
        <w:tc>
          <w:tcPr>
            <w:tcW w:w="220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December 31, 2020</w:t>
            </w:r>
          </w:p>
        </w:tc>
      </w:tr>
      <w:tr>
        <w:trPr>
          <w:trHeight w:val="17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Adequately</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0"/>
              </w:rPr>
              <w:t>Minimum Required Plus</w:t>
            </w: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Well Capitalized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CVB Financial Corp.</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8"/>
              </w:rPr>
              <w:t>Citizens</w:t>
            </w: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1"/>
              </w:rPr>
              <w:t>CVB Financial Corp.</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Citizens</w:t>
            </w:r>
          </w:p>
        </w:tc>
      </w:tr>
      <w:tr>
        <w:trPr>
          <w:trHeight w:val="153"/>
        </w:trPr>
        <w:tc>
          <w:tcPr>
            <w:tcW w:w="2540" w:type="dxa"/>
            <w:vAlign w:val="bottom"/>
            <w:gridSpan w:val="3"/>
          </w:tcPr>
          <w:p>
            <w:pPr>
              <w:ind w:left="20"/>
              <w:spacing w:after="0"/>
              <w:rPr>
                <w:sz w:val="20"/>
                <w:szCs w:val="20"/>
                <w:color w:val="auto"/>
              </w:rPr>
            </w:pPr>
            <w:r>
              <w:rPr>
                <w:rFonts w:ascii="Arial" w:cs="Arial" w:eastAsia="Arial" w:hAnsi="Arial"/>
                <w:sz w:val="13"/>
                <w:szCs w:val="13"/>
                <w:b w:val="1"/>
                <w:bCs w:val="1"/>
                <w:color w:val="auto"/>
              </w:rPr>
              <w:t>Capital Ratios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Capitalized Ratios</w:t>
            </w:r>
          </w:p>
        </w:tc>
        <w:tc>
          <w:tcPr>
            <w:tcW w:w="16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9"/>
              </w:rPr>
              <w:t>Capital Conservation Buffer</w:t>
            </w:r>
          </w:p>
        </w:tc>
        <w:tc>
          <w:tcPr>
            <w:tcW w:w="16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Ratios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7"/>
              </w:rPr>
              <w:t>Consolidated</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3"/>
              </w:rPr>
              <w:t>Business Bank</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7"/>
              </w:rPr>
              <w:t>Consolidated</w:t>
            </w:r>
          </w:p>
        </w:tc>
        <w:tc>
          <w:tcPr>
            <w:tcW w:w="1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3"/>
              </w:rPr>
              <w:t>Business Bank</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gridSpan w:val="2"/>
          </w:tcPr>
          <w:p>
            <w:pPr>
              <w:spacing w:after="0"/>
              <w:rPr>
                <w:sz w:val="14"/>
                <w:szCs w:val="14"/>
                <w:color w:val="auto"/>
              </w:rPr>
            </w:pPr>
          </w:p>
        </w:tc>
        <w:tc>
          <w:tcPr>
            <w:tcW w:w="11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1340" w:type="dxa"/>
            <w:vAlign w:val="bottom"/>
            <w:gridSpan w:val="2"/>
          </w:tcPr>
          <w:p>
            <w:pPr>
              <w:spacing w:after="0"/>
              <w:rPr>
                <w:sz w:val="14"/>
                <w:szCs w:val="14"/>
                <w:color w:val="auto"/>
              </w:rPr>
            </w:pPr>
          </w:p>
        </w:tc>
        <w:tc>
          <w:tcPr>
            <w:tcW w:w="1000" w:type="dxa"/>
            <w:vAlign w:val="bottom"/>
            <w:gridSpan w:val="2"/>
          </w:tcPr>
          <w:p>
            <w:pPr>
              <w:spacing w:after="0"/>
              <w:rPr>
                <w:sz w:val="14"/>
                <w:szCs w:val="14"/>
                <w:color w:val="auto"/>
              </w:rPr>
            </w:pPr>
          </w:p>
        </w:tc>
      </w:tr>
      <w:tr>
        <w:trPr>
          <w:trHeight w:val="189"/>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Tier 1 leverage capital ratio</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4.00%</w:t>
            </w:r>
          </w:p>
        </w:tc>
        <w:tc>
          <w:tcPr>
            <w:tcW w:w="180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86"/>
              </w:rPr>
              <w:t>4.00%</w:t>
            </w:r>
          </w:p>
        </w:tc>
        <w:tc>
          <w:tcPr>
            <w:tcW w:w="1100" w:type="dxa"/>
            <w:vAlign w:val="bottom"/>
            <w:gridSpan w:val="2"/>
            <w:shd w:val="clear" w:color="auto" w:fill="CFF0FC"/>
          </w:tcPr>
          <w:p>
            <w:pPr>
              <w:jc w:val="center"/>
              <w:ind w:left="117"/>
              <w:spacing w:after="0"/>
              <w:rPr>
                <w:sz w:val="20"/>
                <w:szCs w:val="20"/>
                <w:color w:val="auto"/>
              </w:rPr>
            </w:pPr>
            <w:r>
              <w:rPr>
                <w:rFonts w:ascii="Arial" w:cs="Arial" w:eastAsia="Arial" w:hAnsi="Arial"/>
                <w:sz w:val="13"/>
                <w:szCs w:val="13"/>
                <w:color w:val="auto"/>
                <w:w w:val="86"/>
              </w:rPr>
              <w:t>5.00%</w:t>
            </w: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9.22%</w:t>
            </w:r>
          </w:p>
        </w:tc>
        <w:tc>
          <w:tcPr>
            <w:tcW w:w="104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86"/>
              </w:rPr>
              <w:t>8.94%</w:t>
            </w:r>
          </w:p>
        </w:tc>
        <w:tc>
          <w:tcPr>
            <w:tcW w:w="134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9.90%</w:t>
            </w:r>
          </w:p>
        </w:tc>
        <w:tc>
          <w:tcPr>
            <w:tcW w:w="100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86"/>
              </w:rPr>
              <w:t>9.58%</w:t>
            </w:r>
          </w:p>
        </w:tc>
      </w:tr>
      <w:tr>
        <w:trPr>
          <w:trHeight w:val="181"/>
        </w:trPr>
        <w:tc>
          <w:tcPr>
            <w:tcW w:w="2540" w:type="dxa"/>
            <w:vAlign w:val="bottom"/>
            <w:gridSpan w:val="3"/>
          </w:tcPr>
          <w:p>
            <w:pPr>
              <w:ind w:left="20"/>
              <w:spacing w:after="0"/>
              <w:rPr>
                <w:sz w:val="20"/>
                <w:szCs w:val="20"/>
                <w:color w:val="auto"/>
              </w:rPr>
            </w:pPr>
            <w:r>
              <w:rPr>
                <w:rFonts w:ascii="Arial" w:cs="Arial" w:eastAsia="Arial" w:hAnsi="Arial"/>
                <w:sz w:val="13"/>
                <w:szCs w:val="13"/>
                <w:color w:val="auto"/>
              </w:rPr>
              <w:t>Common equity Tier 1 capital ratio</w:t>
            </w:r>
          </w:p>
        </w:tc>
        <w:tc>
          <w:tcPr>
            <w:tcW w:w="1040" w:type="dxa"/>
            <w:vAlign w:val="bottom"/>
          </w:tcPr>
          <w:p>
            <w:pPr>
              <w:jc w:val="center"/>
              <w:spacing w:after="0"/>
              <w:rPr>
                <w:sz w:val="20"/>
                <w:szCs w:val="20"/>
                <w:color w:val="auto"/>
              </w:rPr>
            </w:pPr>
            <w:r>
              <w:rPr>
                <w:rFonts w:ascii="Arial" w:cs="Arial" w:eastAsia="Arial" w:hAnsi="Arial"/>
                <w:sz w:val="13"/>
                <w:szCs w:val="13"/>
                <w:color w:val="auto"/>
                <w:w w:val="86"/>
              </w:rPr>
              <w:t>4.50%</w:t>
            </w:r>
          </w:p>
        </w:tc>
        <w:tc>
          <w:tcPr>
            <w:tcW w:w="1800" w:type="dxa"/>
            <w:vAlign w:val="bottom"/>
            <w:gridSpan w:val="2"/>
          </w:tcPr>
          <w:p>
            <w:pPr>
              <w:jc w:val="center"/>
              <w:ind w:left="97"/>
              <w:spacing w:after="0"/>
              <w:rPr>
                <w:sz w:val="20"/>
                <w:szCs w:val="20"/>
                <w:color w:val="auto"/>
              </w:rPr>
            </w:pPr>
            <w:r>
              <w:rPr>
                <w:rFonts w:ascii="Arial" w:cs="Arial" w:eastAsia="Arial" w:hAnsi="Arial"/>
                <w:sz w:val="13"/>
                <w:szCs w:val="13"/>
                <w:color w:val="auto"/>
                <w:w w:val="86"/>
              </w:rPr>
              <w:t>7.00%</w:t>
            </w:r>
          </w:p>
        </w:tc>
        <w:tc>
          <w:tcPr>
            <w:tcW w:w="110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6.50%</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0"/>
              </w:rPr>
              <w:t>14.94%</w:t>
            </w:r>
          </w:p>
        </w:tc>
        <w:tc>
          <w:tcPr>
            <w:tcW w:w="1040" w:type="dxa"/>
            <w:vAlign w:val="bottom"/>
            <w:gridSpan w:val="2"/>
          </w:tcPr>
          <w:p>
            <w:pPr>
              <w:jc w:val="center"/>
              <w:ind w:left="97"/>
              <w:spacing w:after="0"/>
              <w:rPr>
                <w:sz w:val="20"/>
                <w:szCs w:val="20"/>
                <w:color w:val="auto"/>
              </w:rPr>
            </w:pPr>
            <w:r>
              <w:rPr>
                <w:rFonts w:ascii="Arial" w:cs="Arial" w:eastAsia="Arial" w:hAnsi="Arial"/>
                <w:sz w:val="13"/>
                <w:szCs w:val="13"/>
                <w:color w:val="auto"/>
                <w:w w:val="90"/>
              </w:rPr>
              <w:t>14.50%</w:t>
            </w:r>
          </w:p>
        </w:tc>
        <w:tc>
          <w:tcPr>
            <w:tcW w:w="1340" w:type="dxa"/>
            <w:vAlign w:val="bottom"/>
            <w:gridSpan w:val="2"/>
          </w:tcPr>
          <w:p>
            <w:pPr>
              <w:jc w:val="center"/>
              <w:ind w:left="77"/>
              <w:spacing w:after="0"/>
              <w:rPr>
                <w:sz w:val="20"/>
                <w:szCs w:val="20"/>
                <w:color w:val="auto"/>
              </w:rPr>
            </w:pPr>
            <w:r>
              <w:rPr>
                <w:rFonts w:ascii="Arial" w:cs="Arial" w:eastAsia="Arial" w:hAnsi="Arial"/>
                <w:sz w:val="13"/>
                <w:szCs w:val="13"/>
                <w:color w:val="auto"/>
                <w:w w:val="90"/>
              </w:rPr>
              <w:t>14.77%</w:t>
            </w:r>
          </w:p>
        </w:tc>
        <w:tc>
          <w:tcPr>
            <w:tcW w:w="100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14.57%</w:t>
            </w:r>
          </w:p>
        </w:tc>
      </w:tr>
      <w:tr>
        <w:trPr>
          <w:trHeight w:val="197"/>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Tier 1 risk-based capital ratio</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6.00%</w:t>
            </w:r>
          </w:p>
        </w:tc>
        <w:tc>
          <w:tcPr>
            <w:tcW w:w="180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86"/>
              </w:rPr>
              <w:t>8.50%</w:t>
            </w:r>
          </w:p>
        </w:tc>
        <w:tc>
          <w:tcPr>
            <w:tcW w:w="1100" w:type="dxa"/>
            <w:vAlign w:val="bottom"/>
            <w:gridSpan w:val="2"/>
            <w:shd w:val="clear" w:color="auto" w:fill="CFF0FC"/>
          </w:tcPr>
          <w:p>
            <w:pPr>
              <w:jc w:val="center"/>
              <w:ind w:left="117"/>
              <w:spacing w:after="0"/>
              <w:rPr>
                <w:sz w:val="20"/>
                <w:szCs w:val="20"/>
                <w:color w:val="auto"/>
              </w:rPr>
            </w:pPr>
            <w:r>
              <w:rPr>
                <w:rFonts w:ascii="Arial" w:cs="Arial" w:eastAsia="Arial" w:hAnsi="Arial"/>
                <w:sz w:val="13"/>
                <w:szCs w:val="13"/>
                <w:color w:val="auto"/>
                <w:w w:val="86"/>
              </w:rPr>
              <w:t>8.00%</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14.94%</w:t>
            </w:r>
          </w:p>
        </w:tc>
        <w:tc>
          <w:tcPr>
            <w:tcW w:w="104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90"/>
              </w:rPr>
              <w:t>14.50%</w:t>
            </w:r>
          </w:p>
        </w:tc>
        <w:tc>
          <w:tcPr>
            <w:tcW w:w="134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90"/>
              </w:rPr>
              <w:t>15.06%</w:t>
            </w:r>
          </w:p>
        </w:tc>
        <w:tc>
          <w:tcPr>
            <w:tcW w:w="100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14.57%</w:t>
            </w:r>
          </w:p>
        </w:tc>
      </w:tr>
      <w:tr>
        <w:trPr>
          <w:trHeight w:val="173"/>
        </w:trPr>
        <w:tc>
          <w:tcPr>
            <w:tcW w:w="2540" w:type="dxa"/>
            <w:vAlign w:val="bottom"/>
            <w:gridSpan w:val="3"/>
          </w:tcPr>
          <w:p>
            <w:pPr>
              <w:ind w:left="20"/>
              <w:spacing w:after="0"/>
              <w:rPr>
                <w:sz w:val="20"/>
                <w:szCs w:val="20"/>
                <w:color w:val="auto"/>
              </w:rPr>
            </w:pPr>
            <w:r>
              <w:rPr>
                <w:rFonts w:ascii="Arial" w:cs="Arial" w:eastAsia="Arial" w:hAnsi="Arial"/>
                <w:sz w:val="13"/>
                <w:szCs w:val="13"/>
                <w:color w:val="auto"/>
              </w:rPr>
              <w:t>Total risk-based capital ratio</w:t>
            </w:r>
          </w:p>
        </w:tc>
        <w:tc>
          <w:tcPr>
            <w:tcW w:w="1040" w:type="dxa"/>
            <w:vAlign w:val="bottom"/>
          </w:tcPr>
          <w:p>
            <w:pPr>
              <w:jc w:val="center"/>
              <w:spacing w:after="0"/>
              <w:rPr>
                <w:sz w:val="20"/>
                <w:szCs w:val="20"/>
                <w:color w:val="auto"/>
              </w:rPr>
            </w:pPr>
            <w:r>
              <w:rPr>
                <w:rFonts w:ascii="Arial" w:cs="Arial" w:eastAsia="Arial" w:hAnsi="Arial"/>
                <w:sz w:val="13"/>
                <w:szCs w:val="13"/>
                <w:color w:val="auto"/>
                <w:w w:val="86"/>
              </w:rPr>
              <w:t>8.00%</w:t>
            </w:r>
          </w:p>
        </w:tc>
        <w:tc>
          <w:tcPr>
            <w:tcW w:w="180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10.50%</w:t>
            </w:r>
          </w:p>
        </w:tc>
        <w:tc>
          <w:tcPr>
            <w:tcW w:w="1100" w:type="dxa"/>
            <w:vAlign w:val="bottom"/>
            <w:gridSpan w:val="2"/>
          </w:tcPr>
          <w:p>
            <w:pPr>
              <w:jc w:val="center"/>
              <w:ind w:left="97"/>
              <w:spacing w:after="0"/>
              <w:rPr>
                <w:sz w:val="20"/>
                <w:szCs w:val="20"/>
                <w:color w:val="auto"/>
              </w:rPr>
            </w:pPr>
            <w:r>
              <w:rPr>
                <w:rFonts w:ascii="Arial" w:cs="Arial" w:eastAsia="Arial" w:hAnsi="Arial"/>
                <w:sz w:val="13"/>
                <w:szCs w:val="13"/>
                <w:color w:val="auto"/>
                <w:w w:val="86"/>
              </w:rPr>
              <w:t>10.00%</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0"/>
              </w:rPr>
              <w:t>15.74%</w:t>
            </w:r>
          </w:p>
        </w:tc>
        <w:tc>
          <w:tcPr>
            <w:tcW w:w="1040" w:type="dxa"/>
            <w:vAlign w:val="bottom"/>
            <w:gridSpan w:val="2"/>
          </w:tcPr>
          <w:p>
            <w:pPr>
              <w:jc w:val="center"/>
              <w:ind w:left="97"/>
              <w:spacing w:after="0"/>
              <w:rPr>
                <w:sz w:val="20"/>
                <w:szCs w:val="20"/>
                <w:color w:val="auto"/>
              </w:rPr>
            </w:pPr>
            <w:r>
              <w:rPr>
                <w:rFonts w:ascii="Arial" w:cs="Arial" w:eastAsia="Arial" w:hAnsi="Arial"/>
                <w:sz w:val="13"/>
                <w:szCs w:val="13"/>
                <w:color w:val="auto"/>
                <w:w w:val="90"/>
              </w:rPr>
              <w:t>15.30%</w:t>
            </w:r>
          </w:p>
        </w:tc>
        <w:tc>
          <w:tcPr>
            <w:tcW w:w="1340" w:type="dxa"/>
            <w:vAlign w:val="bottom"/>
            <w:gridSpan w:val="2"/>
          </w:tcPr>
          <w:p>
            <w:pPr>
              <w:jc w:val="center"/>
              <w:ind w:left="77"/>
              <w:spacing w:after="0"/>
              <w:rPr>
                <w:sz w:val="20"/>
                <w:szCs w:val="20"/>
                <w:color w:val="auto"/>
              </w:rPr>
            </w:pPr>
            <w:r>
              <w:rPr>
                <w:rFonts w:ascii="Arial" w:cs="Arial" w:eastAsia="Arial" w:hAnsi="Arial"/>
                <w:sz w:val="13"/>
                <w:szCs w:val="13"/>
                <w:color w:val="auto"/>
                <w:w w:val="90"/>
              </w:rPr>
              <w:t>16.24%</w:t>
            </w:r>
          </w:p>
        </w:tc>
        <w:tc>
          <w:tcPr>
            <w:tcW w:w="100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15.75%</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ASSET/LIABILITY AND MARKET RISK 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52" w:lineRule="exact"/>
        <w:rPr>
          <w:sz w:val="20"/>
          <w:szCs w:val="20"/>
          <w:color w:val="auto"/>
        </w:rPr>
      </w:pPr>
    </w:p>
    <w:p>
      <w:pPr>
        <w:ind w:right="80" w:firstLine="469"/>
        <w:spacing w:after="0" w:line="275" w:lineRule="auto"/>
        <w:rPr>
          <w:sz w:val="20"/>
          <w:szCs w:val="20"/>
          <w:color w:val="auto"/>
        </w:rPr>
      </w:pPr>
      <w:r>
        <w:rPr>
          <w:rFonts w:ascii="Arial" w:cs="Arial" w:eastAsia="Arial" w:hAnsi="Arial"/>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99" w:lineRule="exact"/>
        <w:rPr>
          <w:sz w:val="20"/>
          <w:szCs w:val="20"/>
          <w:color w:val="auto"/>
        </w:rPr>
      </w:pPr>
    </w:p>
    <w:p>
      <w:pPr>
        <w:ind w:right="80" w:firstLine="469"/>
        <w:spacing w:after="0" w:line="311" w:lineRule="auto"/>
        <w:rPr>
          <w:sz w:val="20"/>
          <w:szCs w:val="20"/>
          <w:color w:val="auto"/>
        </w:rPr>
      </w:pPr>
      <w:r>
        <w:rPr>
          <w:rFonts w:ascii="Arial" w:cs="Arial" w:eastAsia="Arial" w:hAnsi="Arial"/>
          <w:sz w:val="16"/>
          <w:szCs w:val="16"/>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In addition, the Company has a Balance Sheet Management Committee of the Board of Directors that meets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76" w:lineRule="exact"/>
        <w:rPr>
          <w:sz w:val="20"/>
          <w:szCs w:val="20"/>
          <w:color w:val="auto"/>
        </w:rPr>
      </w:pPr>
    </w:p>
    <w:p>
      <w:pPr>
        <w:ind w:firstLine="469"/>
        <w:spacing w:after="0" w:line="275" w:lineRule="auto"/>
        <w:rPr>
          <w:sz w:val="20"/>
          <w:szCs w:val="20"/>
          <w:color w:val="auto"/>
        </w:rPr>
      </w:pPr>
      <w:r>
        <w:rPr>
          <w:rFonts w:ascii="Arial" w:cs="Arial" w:eastAsia="Arial" w:hAnsi="Arial"/>
          <w:sz w:val="18"/>
          <w:szCs w:val="18"/>
          <w:color w:val="auto"/>
        </w:rPr>
        <w:t>Our primary sources and uses of funds for the Company are deposits and loans. Our deposit levels and cost of deposits may fluctuate from period-to-period due to a variety of factors, including the stability of our deposit base, prevailing interest rates, and market conditions. Total deposits of $12.93 billion at September 30, 2021 increased $1.19 billion, or 10.17%, over total deposits of $11.74 billion at December 31, 2020. This deposit growth was primarily due to our customers maintaining greater liquidity.</w:t>
      </w:r>
    </w:p>
    <w:p>
      <w:pPr>
        <w:spacing w:after="0" w:line="199" w:lineRule="exact"/>
        <w:rPr>
          <w:sz w:val="20"/>
          <w:szCs w:val="20"/>
          <w:color w:val="auto"/>
        </w:rPr>
      </w:pPr>
    </w:p>
    <w:p>
      <w:pPr>
        <w:ind w:right="60" w:firstLine="469"/>
        <w:spacing w:after="0" w:line="287" w:lineRule="auto"/>
        <w:rPr>
          <w:sz w:val="20"/>
          <w:szCs w:val="20"/>
          <w:color w:val="auto"/>
        </w:rPr>
      </w:pPr>
      <w:r>
        <w:rPr>
          <w:rFonts w:ascii="Arial" w:cs="Arial" w:eastAsia="Arial" w:hAnsi="Arial"/>
          <w:sz w:val="17"/>
          <w:szCs w:val="17"/>
          <w:color w:val="auto"/>
        </w:rPr>
        <w:t>In general, our liquidity is managed daily by controlling the level of liquid assets as well as the use of funds provided by the cash flow from the investment portfolio, loan demand and deposit fluctuations. Our definition of liquid assets includes cash and cash equivalents in excess of minimum levels needed to fulfill normal business operations, short-term investment securities, and other anticipated near term cash flows from investments. Our balance sheet has significant liquidity and our assets are funded almost entirely with core deposits. Furthermore,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exceeding $4 billion, most of which is secured by pledged loans. The sale of investment securities can also serve as a contingent source of funds. We can obtain additional liquidity from deposit growth by offering competitive interest rates on deposits from both our local and national wholesale markets. At September 30, 2021, the Bank had no short-term borrowings.</w:t>
      </w:r>
    </w:p>
    <w:p>
      <w:pPr>
        <w:spacing w:after="0" w:line="191" w:lineRule="exact"/>
        <w:rPr>
          <w:sz w:val="20"/>
          <w:szCs w:val="20"/>
          <w:color w:val="auto"/>
        </w:rPr>
      </w:pPr>
    </w:p>
    <w:p>
      <w:pPr>
        <w:jc w:val="both"/>
        <w:ind w:right="240" w:firstLine="469"/>
        <w:spacing w:after="0" w:line="319" w:lineRule="auto"/>
        <w:rPr>
          <w:sz w:val="20"/>
          <w:szCs w:val="20"/>
          <w:color w:val="auto"/>
        </w:rPr>
      </w:pPr>
      <w:r>
        <w:rPr>
          <w:rFonts w:ascii="Arial" w:cs="Arial" w:eastAsia="Arial" w:hAnsi="Arial"/>
          <w:sz w:val="16"/>
          <w:szCs w:val="16"/>
          <w:color w:val="auto"/>
        </w:rPr>
        <w:t>CVB is a holding company separate and apart from the Bank that must provide for its own liquidity and must service its own obligations. On June 15, 2021, we redeemed our $25.8 million in subordinated debt with an interest rate of three month LIBOR plus 1.38% at par.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69" w:lineRule="exact"/>
        <w:rPr>
          <w:sz w:val="20"/>
          <w:szCs w:val="20"/>
          <w:color w:val="auto"/>
        </w:rPr>
      </w:pPr>
    </w:p>
    <w:p>
      <w:pPr>
        <w:ind w:right="180" w:firstLine="469"/>
        <w:spacing w:after="0" w:line="293" w:lineRule="auto"/>
        <w:rPr>
          <w:sz w:val="20"/>
          <w:szCs w:val="20"/>
          <w:color w:val="auto"/>
        </w:rPr>
      </w:pPr>
      <w:r>
        <w:rPr>
          <w:rFonts w:ascii="Arial" w:cs="Arial" w:eastAsia="Arial" w:hAnsi="Arial"/>
          <w:sz w:val="18"/>
          <w:szCs w:val="18"/>
          <w:color w:val="auto"/>
        </w:rPr>
        <w:t>Below is a summary of our average cash position and statement of cash flows for the nine months ended September 30, 2021 and 2020. For further details see our “</w:t>
      </w:r>
      <w:r>
        <w:rPr>
          <w:rFonts w:ascii="Arial" w:cs="Arial" w:eastAsia="Arial" w:hAnsi="Arial"/>
          <w:sz w:val="18"/>
          <w:szCs w:val="18"/>
          <w:i w:val="1"/>
          <w:iCs w:val="1"/>
          <w:color w:val="auto"/>
        </w:rPr>
        <w:t>Condensed Consolidated Statements of Cash Flows</w:t>
      </w:r>
      <w:r>
        <w:rPr>
          <w:rFonts w:ascii="Arial" w:cs="Arial" w:eastAsia="Arial" w:hAnsi="Arial"/>
          <w:sz w:val="18"/>
          <w:szCs w:val="18"/>
          <w:color w:val="auto"/>
        </w:rPr>
        <w:t xml:space="preserve"> (Unaudited)” under Part I, Item 1 of this report.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8100" w:type="dxa"/>
            <w:vAlign w:val="bottom"/>
          </w:tcPr>
          <w:p>
            <w:pPr>
              <w:ind w:left="660"/>
              <w:spacing w:after="0"/>
              <w:rPr>
                <w:sz w:val="20"/>
                <w:szCs w:val="20"/>
                <w:color w:val="auto"/>
              </w:rPr>
            </w:pPr>
            <w:r>
              <w:rPr>
                <w:rFonts w:ascii="Arial" w:cs="Arial" w:eastAsia="Arial" w:hAnsi="Arial"/>
                <w:sz w:val="18"/>
                <w:szCs w:val="18"/>
                <w:i w:val="1"/>
                <w:iCs w:val="1"/>
                <w:color w:val="auto"/>
              </w:rPr>
              <w:t>Consolidated Summary of Cash Flows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68"/>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11"/>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50"/>
        </w:trPr>
        <w:tc>
          <w:tcPr>
            <w:tcW w:w="8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280" w:type="dxa"/>
            <w:vAlign w:val="bottom"/>
          </w:tcPr>
          <w:p>
            <w:pPr>
              <w:spacing w:after="0"/>
              <w:rPr>
                <w:sz w:val="21"/>
                <w:szCs w:val="21"/>
                <w:color w:val="auto"/>
              </w:rPr>
            </w:pPr>
          </w:p>
        </w:tc>
      </w:tr>
      <w:tr>
        <w:trPr>
          <w:trHeight w:val="237"/>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jc w:val="center"/>
              <w:ind w:right="520"/>
              <w:spacing w:after="0"/>
              <w:rPr>
                <w:sz w:val="20"/>
                <w:szCs w:val="20"/>
                <w:color w:val="auto"/>
              </w:rPr>
            </w:pPr>
            <w:r>
              <w:rPr>
                <w:rFonts w:ascii="Arial" w:cs="Arial" w:eastAsia="Arial" w:hAnsi="Arial"/>
                <w:sz w:val="16"/>
                <w:szCs w:val="16"/>
                <w:i w:val="1"/>
                <w:iCs w:val="1"/>
                <w:color w:val="auto"/>
                <w:w w:val="93"/>
              </w:rPr>
              <w:t>(Dollars in thousands)</w:t>
            </w:r>
          </w:p>
        </w:tc>
      </w:tr>
      <w:tr>
        <w:trPr>
          <w:trHeight w:val="276"/>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6"/>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2,045,021</w:t>
            </w:r>
          </w:p>
        </w:tc>
        <w:tc>
          <w:tcPr>
            <w:tcW w:w="4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1,071,392</w:t>
            </w:r>
          </w:p>
        </w:tc>
        <w:tc>
          <w:tcPr>
            <w:tcW w:w="280" w:type="dxa"/>
            <w:vAlign w:val="bottom"/>
            <w:shd w:val="clear" w:color="auto" w:fill="CFF0FC"/>
          </w:tcPr>
          <w:p>
            <w:pPr>
              <w:spacing w:after="0"/>
              <w:rPr>
                <w:sz w:val="22"/>
                <w:szCs w:val="22"/>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Percentage of total average assets</w:t>
            </w:r>
          </w:p>
        </w:tc>
        <w:tc>
          <w:tcPr>
            <w:tcW w:w="24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13.52 %</w:t>
            </w:r>
          </w:p>
        </w:tc>
        <w:tc>
          <w:tcPr>
            <w:tcW w:w="4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8.52 %</w:t>
            </w:r>
          </w:p>
        </w:tc>
      </w:tr>
      <w:tr>
        <w:trPr>
          <w:trHeight w:val="270"/>
        </w:trPr>
        <w:tc>
          <w:tcPr>
            <w:tcW w:w="8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57"/>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136,580</w:t>
            </w:r>
          </w:p>
        </w:tc>
        <w:tc>
          <w:tcPr>
            <w:tcW w:w="4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138,019</w:t>
            </w:r>
          </w:p>
        </w:tc>
        <w:tc>
          <w:tcPr>
            <w:tcW w:w="280" w:type="dxa"/>
            <w:vAlign w:val="bottom"/>
            <w:shd w:val="clear" w:color="auto" w:fill="CFF0FC"/>
          </w:tcPr>
          <w:p>
            <w:pPr>
              <w:spacing w:after="0"/>
              <w:rPr>
                <w:sz w:val="22"/>
                <w:szCs w:val="22"/>
                <w:color w:val="auto"/>
              </w:rPr>
            </w:pPr>
          </w:p>
        </w:tc>
      </w:tr>
      <w:tr>
        <w:trPr>
          <w:trHeight w:val="250"/>
        </w:trPr>
        <w:tc>
          <w:tcPr>
            <w:tcW w:w="8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(835,890 )</w:t>
            </w:r>
          </w:p>
        </w:tc>
        <w:tc>
          <w:tcPr>
            <w:tcW w:w="4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(1,200,664 )</w:t>
            </w:r>
          </w:p>
        </w:tc>
      </w:tr>
      <w:tr>
        <w:trPr>
          <w:trHeight w:val="263"/>
        </w:trPr>
        <w:tc>
          <w:tcPr>
            <w:tcW w:w="8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1,302,513</w:t>
            </w:r>
          </w:p>
        </w:tc>
        <w:tc>
          <w:tcPr>
            <w:tcW w:w="4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2,362,080</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0"/>
        </w:trPr>
        <w:tc>
          <w:tcPr>
            <w:tcW w:w="81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603,203</w:t>
            </w:r>
          </w:p>
        </w:tc>
        <w:tc>
          <w:tcPr>
            <w:tcW w:w="48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1,299,435</w:t>
            </w:r>
          </w:p>
        </w:tc>
        <w:tc>
          <w:tcPr>
            <w:tcW w:w="280" w:type="dxa"/>
            <w:vAlign w:val="bottom"/>
          </w:tcPr>
          <w:p>
            <w:pPr>
              <w:spacing w:after="0"/>
              <w:rPr>
                <w:sz w:val="21"/>
                <w:szCs w:val="21"/>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-193675</wp:posOffset>
            </wp:positionV>
            <wp:extent cx="300355" cy="571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-193675</wp:posOffset>
            </wp:positionV>
            <wp:extent cx="171450" cy="571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09" w:lineRule="exact"/>
        <w:rPr>
          <w:sz w:val="20"/>
          <w:szCs w:val="20"/>
          <w:color w:val="auto"/>
        </w:rPr>
      </w:pPr>
    </w:p>
    <w:p>
      <w:pPr>
        <w:ind w:right="720" w:firstLine="469"/>
        <w:spacing w:after="0" w:line="293" w:lineRule="auto"/>
        <w:rPr>
          <w:sz w:val="20"/>
          <w:szCs w:val="20"/>
          <w:color w:val="auto"/>
        </w:rPr>
      </w:pPr>
      <w:r>
        <w:rPr>
          <w:rFonts w:ascii="Arial" w:cs="Arial" w:eastAsia="Arial" w:hAnsi="Arial"/>
          <w:sz w:val="18"/>
          <w:szCs w:val="18"/>
          <w:color w:val="auto"/>
        </w:rPr>
        <w:t>Average cash and cash equivalents increased by $973.6 million, or 90.88%, to $2.05 billion for the nine months ended September 30, 2021, compared to $1.07 billion for the same period of 2020.</w:t>
      </w:r>
    </w:p>
    <w:p>
      <w:pPr>
        <w:spacing w:after="0" w:line="183" w:lineRule="exact"/>
        <w:rPr>
          <w:sz w:val="20"/>
          <w:szCs w:val="20"/>
          <w:color w:val="auto"/>
        </w:rPr>
      </w:pPr>
    </w:p>
    <w:p>
      <w:pPr>
        <w:ind w:right="120" w:firstLine="469"/>
        <w:spacing w:after="0" w:line="293" w:lineRule="auto"/>
        <w:rPr>
          <w:sz w:val="20"/>
          <w:szCs w:val="20"/>
          <w:color w:val="auto"/>
        </w:rPr>
      </w:pPr>
      <w:r>
        <w:rPr>
          <w:rFonts w:ascii="Arial" w:cs="Arial" w:eastAsia="Arial" w:hAnsi="Arial"/>
          <w:sz w:val="18"/>
          <w:szCs w:val="18"/>
          <w:color w:val="auto"/>
        </w:rPr>
        <w:t>At September 30, 2021, cash and cash equivalents totaled $2.56 billion. This represented an increase of $1.08 billion, or 72.49%, from $1.48 billion at September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Management</w:t>
      </w:r>
    </w:p>
    <w:p>
      <w:pPr>
        <w:spacing w:after="0" w:line="252" w:lineRule="exact"/>
        <w:rPr>
          <w:sz w:val="20"/>
          <w:szCs w:val="20"/>
          <w:color w:val="auto"/>
        </w:rPr>
      </w:pPr>
    </w:p>
    <w:p>
      <w:pPr>
        <w:ind w:right="40" w:firstLine="469"/>
        <w:spacing w:after="0" w:line="306" w:lineRule="auto"/>
        <w:rPr>
          <w:sz w:val="20"/>
          <w:szCs w:val="20"/>
          <w:color w:val="auto"/>
        </w:rPr>
      </w:pPr>
      <w:r>
        <w:rPr>
          <w:rFonts w:ascii="Arial" w:cs="Arial" w:eastAsia="Arial" w:hAnsi="Arial"/>
          <w:sz w:val="16"/>
          <w:szCs w:val="16"/>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84" w:lineRule="exact"/>
        <w:rPr>
          <w:sz w:val="20"/>
          <w:szCs w:val="20"/>
          <w:color w:val="auto"/>
        </w:rPr>
      </w:pPr>
    </w:p>
    <w:p>
      <w:pPr>
        <w:ind w:right="60" w:firstLine="469"/>
        <w:spacing w:after="0" w:line="288" w:lineRule="auto"/>
        <w:rPr>
          <w:sz w:val="20"/>
          <w:szCs w:val="20"/>
          <w:color w:val="auto"/>
        </w:rPr>
      </w:pPr>
      <w:r>
        <w:rPr>
          <w:rFonts w:ascii="Arial" w:cs="Arial" w:eastAsia="Arial" w:hAnsi="Arial"/>
          <w:sz w:val="17"/>
          <w:szCs w:val="17"/>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interest rate risk policy measures the sensitivity of our net interest income over both a one-year and two-year cumulative time horizon.</w:t>
      </w:r>
    </w:p>
    <w:p>
      <w:pPr>
        <w:spacing w:after="0" w:line="264" w:lineRule="exact"/>
        <w:rPr>
          <w:sz w:val="20"/>
          <w:szCs w:val="20"/>
          <w:color w:val="auto"/>
        </w:rPr>
      </w:pPr>
    </w:p>
    <w:p>
      <w:pPr>
        <w:ind w:firstLine="469"/>
        <w:spacing w:after="0" w:line="272" w:lineRule="auto"/>
        <w:rPr>
          <w:sz w:val="20"/>
          <w:szCs w:val="20"/>
          <w:color w:val="auto"/>
        </w:rPr>
      </w:pPr>
      <w:r>
        <w:rPr>
          <w:rFonts w:ascii="Arial" w:cs="Arial" w:eastAsia="Arial" w:hAnsi="Arial"/>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one-year horizon assuming no balance sheet growth, given a 200 basis point upward and a 100 basis point downward shift in interest rates depending on the level of current market rates. The simulation model uses a parallel yield curve shift that ramps rates up or down on a pro rata basis over the 12-month and 24-month time horizon.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5" w:name="page66"/>
    <w:bookmarkEnd w:id="65"/>
    <w:p>
      <w:pPr>
        <w:ind w:right="240" w:firstLine="464"/>
        <w:spacing w:after="0" w:line="293" w:lineRule="auto"/>
        <w:rPr>
          <w:sz w:val="20"/>
          <w:szCs w:val="20"/>
          <w:color w:val="auto"/>
        </w:rPr>
      </w:pPr>
      <w:r>
        <w:rPr>
          <w:rFonts w:ascii="Arial" w:cs="Arial" w:eastAsia="Arial" w:hAnsi="Arial"/>
          <w:sz w:val="18"/>
          <w:szCs w:val="18"/>
          <w:color w:val="auto"/>
        </w:rPr>
        <w:t>The following depicts the Company’s net interest income sensitivity analysis for the periods presented below, when rates are ramped up 200bps or ramped down 100bps over a 12-month time horizon.</w:t>
      </w:r>
    </w:p>
    <w:p>
      <w:pPr>
        <w:spacing w:after="0" w:line="19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Estimated Net Interest Income Sensitivity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December 31, 2020</w:t>
            </w:r>
          </w:p>
        </w:tc>
      </w:tr>
      <w:tr>
        <w:trPr>
          <w:trHeight w:val="238"/>
        </w:trPr>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24-month Period</w:t>
            </w: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24-month Period</w:t>
            </w:r>
          </w:p>
        </w:tc>
      </w:tr>
      <w:tr>
        <w:trPr>
          <w:trHeight w:val="24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 Rate Scenario</w:t>
            </w:r>
          </w:p>
        </w:tc>
        <w:tc>
          <w:tcPr>
            <w:tcW w:w="160" w:type="dxa"/>
            <w:vAlign w:val="bottom"/>
          </w:tcPr>
          <w:p>
            <w:pPr>
              <w:spacing w:after="0"/>
              <w:rPr>
                <w:sz w:val="20"/>
                <w:szCs w:val="20"/>
                <w:color w:val="auto"/>
              </w:rPr>
            </w:pPr>
          </w:p>
        </w:tc>
        <w:tc>
          <w:tcPr>
            <w:tcW w:w="15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12-month Period</w:t>
            </w:r>
          </w:p>
        </w:tc>
        <w:tc>
          <w:tcPr>
            <w:tcW w:w="16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(Cumulative)</w:t>
            </w:r>
          </w:p>
        </w:tc>
        <w:tc>
          <w:tcPr>
            <w:tcW w:w="16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 Rate Scenario</w:t>
            </w:r>
          </w:p>
        </w:tc>
        <w:tc>
          <w:tcPr>
            <w:tcW w:w="160" w:type="dxa"/>
            <w:vAlign w:val="bottom"/>
          </w:tcPr>
          <w:p>
            <w:pPr>
              <w:spacing w:after="0"/>
              <w:rPr>
                <w:sz w:val="20"/>
                <w:szCs w:val="20"/>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12-month Period</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(Cumulative)</w:t>
            </w:r>
          </w:p>
        </w:tc>
      </w:tr>
      <w:tr>
        <w:trPr>
          <w:trHeight w:val="257"/>
        </w:trPr>
        <w:tc>
          <w:tcPr>
            <w:tcW w:w="2160" w:type="dxa"/>
            <w:vAlign w:val="bottom"/>
            <w:gridSpan w:val="2"/>
          </w:tcPr>
          <w:p>
            <w:pPr>
              <w:spacing w:after="0"/>
              <w:rPr>
                <w:sz w:val="22"/>
                <w:szCs w:val="22"/>
                <w:color w:val="auto"/>
              </w:rPr>
            </w:pPr>
          </w:p>
        </w:tc>
        <w:tc>
          <w:tcPr>
            <w:tcW w:w="1540" w:type="dxa"/>
            <w:vAlign w:val="bottom"/>
          </w:tcPr>
          <w:p>
            <w:pPr>
              <w:spacing w:after="0"/>
              <w:rPr>
                <w:sz w:val="22"/>
                <w:szCs w:val="22"/>
                <w:color w:val="auto"/>
              </w:rPr>
            </w:pPr>
          </w:p>
        </w:tc>
        <w:tc>
          <w:tcPr>
            <w:tcW w:w="18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2220" w:type="dxa"/>
            <w:vAlign w:val="bottom"/>
            <w:gridSpan w:val="2"/>
          </w:tcPr>
          <w:p>
            <w:pPr>
              <w:spacing w:after="0"/>
              <w:rPr>
                <w:sz w:val="22"/>
                <w:szCs w:val="22"/>
                <w:color w:val="auto"/>
              </w:rPr>
            </w:pPr>
          </w:p>
        </w:tc>
        <w:tc>
          <w:tcPr>
            <w:tcW w:w="1460" w:type="dxa"/>
            <w:vAlign w:val="bottom"/>
          </w:tcPr>
          <w:p>
            <w:pPr>
              <w:spacing w:after="0"/>
              <w:rPr>
                <w:sz w:val="22"/>
                <w:szCs w:val="22"/>
                <w:color w:val="auto"/>
              </w:rPr>
            </w:pPr>
          </w:p>
        </w:tc>
        <w:tc>
          <w:tcPr>
            <w:tcW w:w="1840" w:type="dxa"/>
            <w:vAlign w:val="bottom"/>
            <w:gridSpan w:val="2"/>
          </w:tcPr>
          <w:p>
            <w:pPr>
              <w:spacing w:after="0"/>
              <w:rPr>
                <w:sz w:val="22"/>
                <w:szCs w:val="22"/>
                <w:color w:val="auto"/>
              </w:rPr>
            </w:pPr>
          </w:p>
        </w:tc>
      </w:tr>
      <w:tr>
        <w:trPr>
          <w:trHeight w:val="257"/>
        </w:trPr>
        <w:tc>
          <w:tcPr>
            <w:tcW w:w="2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+ 200 basis points</w:t>
            </w:r>
          </w:p>
        </w:tc>
        <w:tc>
          <w:tcPr>
            <w:tcW w:w="154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12.66%</w:t>
            </w:r>
          </w:p>
        </w:tc>
        <w:tc>
          <w:tcPr>
            <w:tcW w:w="18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21.28%</w:t>
            </w:r>
          </w:p>
        </w:tc>
        <w:tc>
          <w:tcPr>
            <w:tcW w:w="160" w:type="dxa"/>
            <w:vAlign w:val="bottom"/>
            <w:shd w:val="clear" w:color="auto" w:fill="CFF0FC"/>
          </w:tcPr>
          <w:p>
            <w:pPr>
              <w:spacing w:after="0"/>
              <w:rPr>
                <w:sz w:val="22"/>
                <w:szCs w:val="22"/>
                <w:color w:val="auto"/>
              </w:rPr>
            </w:pPr>
          </w:p>
        </w:tc>
        <w:tc>
          <w:tcPr>
            <w:tcW w:w="22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+ 200 basis points</w:t>
            </w:r>
          </w:p>
        </w:tc>
        <w:tc>
          <w:tcPr>
            <w:tcW w:w="14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11.10%</w:t>
            </w:r>
          </w:p>
        </w:tc>
        <w:tc>
          <w:tcPr>
            <w:tcW w:w="184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19.60%</w:t>
            </w:r>
          </w:p>
        </w:tc>
      </w:tr>
      <w:tr>
        <w:trPr>
          <w:trHeight w:val="243"/>
        </w:trPr>
        <w:tc>
          <w:tcPr>
            <w:tcW w:w="21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- 100 basis points</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-5.05%</w:t>
            </w:r>
          </w:p>
        </w:tc>
        <w:tc>
          <w:tcPr>
            <w:tcW w:w="1860" w:type="dxa"/>
            <w:vAlign w:val="bottom"/>
            <w:gridSpan w:val="2"/>
          </w:tcPr>
          <w:p>
            <w:pPr>
              <w:jc w:val="right"/>
              <w:ind w:right="490"/>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21"/>
                <w:szCs w:val="21"/>
                <w:color w:val="auto"/>
              </w:rPr>
            </w:pPr>
          </w:p>
        </w:tc>
        <w:tc>
          <w:tcPr>
            <w:tcW w:w="22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- 100 basis points</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-1.20%</w:t>
            </w:r>
          </w:p>
        </w:tc>
        <w:tc>
          <w:tcPr>
            <w:tcW w:w="1840" w:type="dxa"/>
            <w:vAlign w:val="bottom"/>
            <w:gridSpan w:val="2"/>
          </w:tcPr>
          <w:p>
            <w:pPr>
              <w:jc w:val="right"/>
              <w:ind w:right="490"/>
              <w:spacing w:after="0"/>
              <w:rPr>
                <w:sz w:val="20"/>
                <w:szCs w:val="20"/>
                <w:color w:val="auto"/>
              </w:rPr>
            </w:pPr>
            <w:r>
              <w:rPr>
                <w:rFonts w:ascii="Arial" w:cs="Arial" w:eastAsia="Arial" w:hAnsi="Arial"/>
                <w:sz w:val="18"/>
                <w:szCs w:val="18"/>
                <w:color w:val="auto"/>
              </w:rPr>
              <w:t>-2.40%</w:t>
            </w:r>
          </w:p>
        </w:tc>
      </w:tr>
    </w:tbl>
    <w:p>
      <w:pPr>
        <w:spacing w:after="0" w:line="233" w:lineRule="exact"/>
        <w:rPr>
          <w:sz w:val="20"/>
          <w:szCs w:val="20"/>
          <w:color w:val="auto"/>
        </w:rPr>
      </w:pPr>
    </w:p>
    <w:p>
      <w:pPr>
        <w:ind w:left="900" w:right="140" w:hanging="330"/>
        <w:spacing w:after="0" w:line="293"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Percentage change from base scenario, but the current low interest rate environment limits the absolute decline in rates as the model does not assume rates go below zero.</w:t>
      </w:r>
    </w:p>
    <w:p>
      <w:pPr>
        <w:spacing w:after="0" w:line="194" w:lineRule="exact"/>
        <w:rPr>
          <w:sz w:val="20"/>
          <w:szCs w:val="20"/>
          <w:color w:val="auto"/>
        </w:rPr>
      </w:pPr>
    </w:p>
    <w:p>
      <w:pPr>
        <w:ind w:right="60" w:firstLine="469"/>
        <w:spacing w:after="0" w:line="269" w:lineRule="auto"/>
        <w:rPr>
          <w:sz w:val="20"/>
          <w:szCs w:val="20"/>
          <w:color w:val="auto"/>
        </w:rPr>
      </w:pPr>
      <w:r>
        <w:rPr>
          <w:rFonts w:ascii="Arial" w:cs="Arial" w:eastAsia="Arial" w:hAnsi="Arial"/>
          <w:sz w:val="18"/>
          <w:szCs w:val="18"/>
          <w:color w:val="auto"/>
        </w:rPr>
        <w:t>Based on our current simulation models, we believe that the interest rate risk profile of the balance sheet is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Our exposure in the rates down scenario is impacted by the current low interest rate environment and the model does not assume that rates go below zero.</w:t>
      </w:r>
    </w:p>
    <w:p>
      <w:pPr>
        <w:spacing w:after="0" w:line="210" w:lineRule="exact"/>
        <w:rPr>
          <w:sz w:val="20"/>
          <w:szCs w:val="20"/>
          <w:color w:val="auto"/>
        </w:rPr>
      </w:pPr>
    </w:p>
    <w:p>
      <w:pPr>
        <w:ind w:right="140" w:firstLine="469"/>
        <w:spacing w:after="0" w:line="308" w:lineRule="auto"/>
        <w:rPr>
          <w:sz w:val="20"/>
          <w:szCs w:val="20"/>
          <w:color w:val="auto"/>
        </w:rPr>
      </w:pPr>
      <w:r>
        <w:rPr>
          <w:rFonts w:ascii="Arial" w:cs="Arial" w:eastAsia="Arial" w:hAnsi="Arial"/>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September 30, 2021 and December 31, 2020, the EVE profile indicates a decline in net balance sheet value due to instantaneous downward changes in rates, compared to an increase resulting from an increase in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Value of Equity Sensitivity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Instantaneous Rate Change</w:t>
            </w:r>
          </w:p>
        </w:tc>
        <w:tc>
          <w:tcPr>
            <w:tcW w:w="226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September 30, 2021</w:t>
            </w:r>
          </w:p>
        </w:tc>
        <w:tc>
          <w:tcPr>
            <w:tcW w:w="300" w:type="dxa"/>
            <w:vAlign w:val="bottom"/>
          </w:tcPr>
          <w:p>
            <w:pPr>
              <w:spacing w:after="0"/>
              <w:rPr>
                <w:sz w:val="20"/>
                <w:szCs w:val="20"/>
                <w:color w:val="auto"/>
              </w:rPr>
            </w:pPr>
          </w:p>
        </w:tc>
        <w:tc>
          <w:tcPr>
            <w:tcW w:w="31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December 31, 2020</w:t>
            </w:r>
          </w:p>
        </w:tc>
      </w:tr>
      <w:tr>
        <w:trPr>
          <w:trHeight w:val="250"/>
        </w:trPr>
        <w:tc>
          <w:tcPr>
            <w:tcW w:w="55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400" w:type="dxa"/>
            <w:vAlign w:val="bottom"/>
            <w:gridSpan w:val="2"/>
          </w:tcPr>
          <w:p>
            <w:pPr>
              <w:spacing w:after="0"/>
              <w:rPr>
                <w:sz w:val="21"/>
                <w:szCs w:val="21"/>
                <w:color w:val="auto"/>
              </w:rPr>
            </w:pPr>
          </w:p>
        </w:tc>
      </w:tr>
      <w:tr>
        <w:trPr>
          <w:trHeight w:val="257"/>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100 bp decrease in interest rates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-14.0%</w:t>
            </w:r>
          </w:p>
        </w:tc>
        <w:tc>
          <w:tcPr>
            <w:tcW w:w="340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94"/>
              </w:rPr>
              <w:t>-21.0%</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100 bp increase in interest rates</w:t>
            </w:r>
          </w:p>
        </w:tc>
        <w:tc>
          <w:tcPr>
            <w:tcW w:w="2260" w:type="dxa"/>
            <w:vAlign w:val="bottom"/>
          </w:tcPr>
          <w:p>
            <w:pPr>
              <w:jc w:val="center"/>
              <w:spacing w:after="0"/>
              <w:rPr>
                <w:sz w:val="20"/>
                <w:szCs w:val="20"/>
                <w:color w:val="auto"/>
              </w:rPr>
            </w:pPr>
            <w:r>
              <w:rPr>
                <w:rFonts w:ascii="Arial" w:cs="Arial" w:eastAsia="Arial" w:hAnsi="Arial"/>
                <w:sz w:val="16"/>
                <w:szCs w:val="16"/>
                <w:color w:val="auto"/>
                <w:w w:val="93"/>
              </w:rPr>
              <w:t>8.2%</w:t>
            </w:r>
          </w:p>
        </w:tc>
        <w:tc>
          <w:tcPr>
            <w:tcW w:w="3400" w:type="dxa"/>
            <w:vAlign w:val="bottom"/>
            <w:gridSpan w:val="2"/>
          </w:tcPr>
          <w:p>
            <w:pPr>
              <w:jc w:val="center"/>
              <w:ind w:left="219"/>
              <w:spacing w:after="0"/>
              <w:rPr>
                <w:sz w:val="20"/>
                <w:szCs w:val="20"/>
                <w:color w:val="auto"/>
              </w:rPr>
            </w:pPr>
            <w:r>
              <w:rPr>
                <w:rFonts w:ascii="Arial" w:cs="Arial" w:eastAsia="Arial" w:hAnsi="Arial"/>
                <w:sz w:val="16"/>
                <w:szCs w:val="16"/>
                <w:color w:val="auto"/>
                <w:w w:val="92"/>
              </w:rPr>
              <w:t>16.1%</w:t>
            </w:r>
          </w:p>
        </w:tc>
      </w:t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200 bp increase in interest rates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17.0%</w:t>
            </w:r>
          </w:p>
        </w:tc>
        <w:tc>
          <w:tcPr>
            <w:tcW w:w="3400" w:type="dxa"/>
            <w:vAlign w:val="bottom"/>
            <w:gridSpan w:val="2"/>
            <w:shd w:val="clear" w:color="auto" w:fill="CFF0FC"/>
          </w:tcPr>
          <w:p>
            <w:pPr>
              <w:jc w:val="center"/>
              <w:ind w:left="219"/>
              <w:spacing w:after="0"/>
              <w:rPr>
                <w:sz w:val="20"/>
                <w:szCs w:val="20"/>
                <w:color w:val="auto"/>
              </w:rPr>
            </w:pPr>
            <w:r>
              <w:rPr>
                <w:rFonts w:ascii="Arial" w:cs="Arial" w:eastAsia="Arial" w:hAnsi="Arial"/>
                <w:sz w:val="16"/>
                <w:szCs w:val="16"/>
                <w:color w:val="auto"/>
                <w:w w:val="92"/>
              </w:rPr>
              <w:t>28.4%</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300 bp increase in interest rates</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22.5%</w:t>
            </w:r>
          </w:p>
        </w:tc>
        <w:tc>
          <w:tcPr>
            <w:tcW w:w="3400" w:type="dxa"/>
            <w:vAlign w:val="bottom"/>
            <w:gridSpan w:val="2"/>
          </w:tcPr>
          <w:p>
            <w:pPr>
              <w:jc w:val="center"/>
              <w:ind w:left="219"/>
              <w:spacing w:after="0"/>
              <w:rPr>
                <w:sz w:val="20"/>
                <w:szCs w:val="20"/>
                <w:color w:val="auto"/>
              </w:rPr>
            </w:pPr>
            <w:r>
              <w:rPr>
                <w:rFonts w:ascii="Arial" w:cs="Arial" w:eastAsia="Arial" w:hAnsi="Arial"/>
                <w:sz w:val="16"/>
                <w:szCs w:val="16"/>
                <w:color w:val="auto"/>
                <w:w w:val="92"/>
              </w:rPr>
              <w:t>34.4%</w:t>
            </w:r>
          </w:p>
        </w:tc>
      </w:t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400 bp increase in interest rates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28.4%</w:t>
            </w:r>
          </w:p>
        </w:tc>
        <w:tc>
          <w:tcPr>
            <w:tcW w:w="3400" w:type="dxa"/>
            <w:vAlign w:val="bottom"/>
            <w:gridSpan w:val="2"/>
            <w:shd w:val="clear" w:color="auto" w:fill="CFF0FC"/>
          </w:tcPr>
          <w:p>
            <w:pPr>
              <w:jc w:val="center"/>
              <w:ind w:left="219"/>
              <w:spacing w:after="0"/>
              <w:rPr>
                <w:sz w:val="20"/>
                <w:szCs w:val="20"/>
                <w:color w:val="auto"/>
              </w:rPr>
            </w:pPr>
            <w:r>
              <w:rPr>
                <w:rFonts w:ascii="Arial" w:cs="Arial" w:eastAsia="Arial" w:hAnsi="Arial"/>
                <w:sz w:val="16"/>
                <w:szCs w:val="16"/>
                <w:color w:val="auto"/>
                <w:w w:val="92"/>
              </w:rPr>
              <w:t>41.6%</w:t>
            </w:r>
          </w:p>
        </w:tc>
      </w:tr>
    </w:tbl>
    <w:p>
      <w:pPr>
        <w:spacing w:after="0" w:line="229" w:lineRule="exact"/>
        <w:rPr>
          <w:sz w:val="20"/>
          <w:szCs w:val="20"/>
          <w:color w:val="auto"/>
        </w:rPr>
      </w:pPr>
    </w:p>
    <w:p>
      <w:pPr>
        <w:jc w:val="both"/>
        <w:ind w:right="180" w:firstLine="469"/>
        <w:spacing w:after="0" w:line="275" w:lineRule="auto"/>
        <w:rPr>
          <w:sz w:val="20"/>
          <w:szCs w:val="20"/>
          <w:color w:val="auto"/>
        </w:rPr>
      </w:pPr>
      <w:r>
        <w:rPr>
          <w:rFonts w:ascii="Arial" w:cs="Arial" w:eastAsia="Arial" w:hAnsi="Arial"/>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469"/>
        <w:spacing w:after="0" w:line="270" w:lineRule="auto"/>
        <w:rPr>
          <w:sz w:val="20"/>
          <w:szCs w:val="20"/>
          <w:color w:val="auto"/>
        </w:rPr>
      </w:pPr>
      <w:r>
        <w:rPr>
          <w:rFonts w:ascii="Arial" w:cs="Arial" w:eastAsia="Arial" w:hAnsi="Arial"/>
          <w:sz w:val="18"/>
          <w:szCs w:val="18"/>
          <w:color w:val="auto"/>
        </w:rPr>
        <w:t>LIBOR is expected to be completely phased out by 2023, as such the Company is assessing the impacts of this transition and exploring alternatives to use in place of LIBOR for various financial instruments, primarily related to our variable-rate loans and interest rate swap derivatives that are indexed to LIBOR. For further quantitative and qualitative disclosures about market risks in our portfolio, see “</w:t>
      </w:r>
      <w:r>
        <w:rPr>
          <w:rFonts w:ascii="Arial" w:cs="Arial" w:eastAsia="Arial" w:hAnsi="Arial"/>
          <w:sz w:val="18"/>
          <w:szCs w:val="18"/>
          <w:i w:val="1"/>
          <w:iCs w:val="1"/>
          <w:color w:val="auto"/>
        </w:rPr>
        <w:t>Asset/Liability Management and Interest Rate</w:t>
      </w:r>
      <w:r>
        <w:rPr>
          <w:rFonts w:ascii="Arial" w:cs="Arial" w:eastAsia="Arial" w:hAnsi="Arial"/>
          <w:sz w:val="18"/>
          <w:szCs w:val="18"/>
          <w:color w:val="auto"/>
        </w:rPr>
        <w:t xml:space="preserve"> </w:t>
      </w:r>
      <w:r>
        <w:rPr>
          <w:rFonts w:ascii="Arial" w:cs="Arial" w:eastAsia="Arial" w:hAnsi="Arial"/>
          <w:sz w:val="18"/>
          <w:szCs w:val="18"/>
          <w:i w:val="1"/>
          <w:iCs w:val="1"/>
          <w:color w:val="auto"/>
        </w:rPr>
        <w:t>Sensitivity Management</w:t>
      </w:r>
      <w:r>
        <w:rPr>
          <w:rFonts w:ascii="Arial" w:cs="Arial" w:eastAsia="Arial" w:hAnsi="Arial"/>
          <w:sz w:val="18"/>
          <w:szCs w:val="18"/>
          <w:color w:val="auto"/>
        </w:rPr>
        <w:t>” included in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report. This analysis should be read in conjunction with our Annual Report on Form 10-K for the year ended December 31, 2020. Our analysis of market risk and market-sensitive financial information contains forward-looking statements and is subject to the disclosure at the beginning of Part I regarding such forward-looking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20" w:firstLine="469"/>
        <w:spacing w:after="0" w:line="275" w:lineRule="auto"/>
        <w:rPr>
          <w:sz w:val="20"/>
          <w:szCs w:val="20"/>
          <w:color w:val="auto"/>
        </w:rPr>
      </w:pPr>
      <w:r>
        <w:rPr>
          <w:rFonts w:ascii="Arial" w:cs="Arial" w:eastAsia="Arial" w:hAnsi="Arial"/>
          <w:sz w:val="18"/>
          <w:szCs w:val="18"/>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99" w:lineRule="exact"/>
        <w:rPr>
          <w:sz w:val="20"/>
          <w:szCs w:val="20"/>
          <w:color w:val="auto"/>
        </w:rPr>
      </w:pPr>
    </w:p>
    <w:p>
      <w:pPr>
        <w:ind w:right="440" w:firstLine="469"/>
        <w:spacing w:after="0" w:line="293" w:lineRule="auto"/>
        <w:rPr>
          <w:sz w:val="20"/>
          <w:szCs w:val="20"/>
          <w:color w:val="auto"/>
        </w:rPr>
      </w:pPr>
      <w:r>
        <w:rPr>
          <w:rFonts w:ascii="Arial" w:cs="Arial" w:eastAsia="Arial" w:hAnsi="Arial"/>
          <w:sz w:val="18"/>
          <w:szCs w:val="18"/>
          <w:color w:val="auto"/>
        </w:rPr>
        <w:t>During the quarter ended September 30, 2021, there have been no changes in our internal controls over financial reporting that have materially affected or are reasonably likely to materially affect our internal controls over financial reporting.</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The Company and its subsidiaries are parties to various lawsuits and threatened lawsuits in the ordinary and non-ordinary course of business. From time to time, such lawsuits and threatened lawsuits may include, but are not limited to, actions involving securities litigation, mergers and acquisitions litigation, employment matters, wage-hour and labor law claims, consumer claims, regulatory compliance claims, data privacy or security claims, check and wire fraud claims, lender liability claims and negligence claims, some of which may be styled as “class action,” "derivative action" or other representative cases. Some of these lawsuits may be similar in nature to other lawsuits pending against the Company’s competitors.</w:t>
      </w:r>
    </w:p>
    <w:p>
      <w:pPr>
        <w:spacing w:after="0" w:line="119"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55"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15"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4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00" w:firstLine="469"/>
        <w:spacing w:after="0" w:line="292" w:lineRule="auto"/>
        <w:rPr>
          <w:sz w:val="20"/>
          <w:szCs w:val="20"/>
          <w:color w:val="auto"/>
        </w:rPr>
      </w:pPr>
      <w:r>
        <w:rPr>
          <w:rFonts w:ascii="Arial" w:cs="Arial" w:eastAsia="Arial" w:hAnsi="Arial"/>
          <w:sz w:val="17"/>
          <w:szCs w:val="17"/>
          <w:color w:val="auto"/>
        </w:rPr>
        <w:t>Except as discussed below there have been no material changes to the risk factors as previously disclosed in Item 1A. to Part I of our Annual Report on Form 10-K for the year ended December 31, 2020. The materiality of any risks and uncertainties identified in our Forward Looking Statements contained in this report together with those previously disclosed in the Form 10-K and any subsequent Form 10-Q or those that are presently unforeseen could result in significant adverse effects on our financial condition, results of operations and cash flows. See Item 2.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w:t>
      </w:r>
      <w:r>
        <w:rPr>
          <w:rFonts w:ascii="Arial" w:cs="Arial" w:eastAsia="Arial" w:hAnsi="Arial"/>
          <w:sz w:val="17"/>
          <w:szCs w:val="17"/>
          <w:color w:val="auto"/>
        </w:rPr>
        <w:t>” in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COVID-19 Pandemic</w:t>
      </w:r>
    </w:p>
    <w:p>
      <w:pPr>
        <w:spacing w:after="0" w:line="256" w:lineRule="exact"/>
        <w:rPr>
          <w:sz w:val="20"/>
          <w:szCs w:val="20"/>
          <w:color w:val="auto"/>
        </w:rPr>
      </w:pPr>
    </w:p>
    <w:p>
      <w:pPr>
        <w:ind w:right="20" w:firstLine="469"/>
        <w:spacing w:after="0" w:line="346" w:lineRule="auto"/>
        <w:rPr>
          <w:sz w:val="20"/>
          <w:szCs w:val="20"/>
          <w:color w:val="auto"/>
        </w:rPr>
      </w:pPr>
      <w:r>
        <w:rPr>
          <w:rFonts w:ascii="Arial" w:cs="Arial" w:eastAsia="Arial" w:hAnsi="Arial"/>
          <w:sz w:val="15"/>
          <w:szCs w:val="15"/>
          <w:b w:val="1"/>
          <w:bCs w:val="1"/>
          <w:i w:val="1"/>
          <w:iCs w:val="1"/>
          <w:color w:val="auto"/>
        </w:rPr>
        <w:t>The COVID-19 pandemic has significantly impacted the banking industry and our business. The ultimate impact on our business and financial results will depend on future developments, which are uncertain and cannot be predicted, including the scope and duration of the pandemic, the impact of the pandemic on the economy, our customers, our employees and our business partners, the safety and effectiveness, distribution and acceptance of vaccines developed to mitigate the pandemic, and actions taken by governmental authorities in response to the pandemic.</w:t>
      </w:r>
    </w:p>
    <w:p>
      <w:pPr>
        <w:spacing w:after="0" w:line="153" w:lineRule="exact"/>
        <w:rPr>
          <w:sz w:val="20"/>
          <w:szCs w:val="20"/>
          <w:color w:val="auto"/>
        </w:rPr>
      </w:pPr>
    </w:p>
    <w:p>
      <w:pPr>
        <w:ind w:right="200" w:firstLine="469"/>
        <w:spacing w:after="0" w:line="266" w:lineRule="auto"/>
        <w:rPr>
          <w:sz w:val="20"/>
          <w:szCs w:val="20"/>
          <w:color w:val="auto"/>
        </w:rPr>
      </w:pPr>
      <w:r>
        <w:rPr>
          <w:rFonts w:ascii="Arial" w:cs="Arial" w:eastAsia="Arial" w:hAnsi="Arial"/>
          <w:sz w:val="18"/>
          <w:szCs w:val="18"/>
          <w:color w:val="auto"/>
        </w:rPr>
        <w:t>The COVID-19 pandemic has negatively impacted the global, U.S., California and local economies, disrupted supply chains, selectively lowered equity market valuations, created significant volatility and disruption in financial markets, and resulted in increased unemployment levels. While the pandemic initially resulted in temporary closures of many businesses and the institution of social distancing and sheltering in place requirements in many states and communities, including 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8" w:name="page69"/>
    <w:bookmarkEnd w:id="68"/>
    <w:p>
      <w:pPr>
        <w:ind w:right="40"/>
        <w:spacing w:after="0" w:line="309" w:lineRule="auto"/>
        <w:rPr>
          <w:sz w:val="20"/>
          <w:szCs w:val="20"/>
          <w:color w:val="auto"/>
        </w:rPr>
      </w:pPr>
      <w:r>
        <w:rPr>
          <w:rFonts w:ascii="Arial" w:cs="Arial" w:eastAsia="Arial" w:hAnsi="Arial"/>
          <w:sz w:val="16"/>
          <w:szCs w:val="16"/>
          <w:color w:val="auto"/>
        </w:rPr>
        <w:t>California and the principal counties and cities in which our banking centers are located, these measures have been lifted in many of the locations and jurisdictions where we have offices. Our operations, like those of other financial institutions that operate in our markets, are significantly influenced by economic conditions in California, including the strength of the real estate market and business conditions in the industries to which we lend or from which we gather deposits. The on-going COVID-19 pandemic has resulted in a significant decline in the revenues of certain business sectors as well as impacts to commercial property sales and construction activities. As a result, while the demand for our products and services has recovered to an extent as the pandemic has receded, the ongoing impact of the coronavirus and other aftereffects of the pandemic are still present for a number of our customers and in a number of locations that we serve. Such ongoing impact could have a material adverse effect on our business, financial condition and results of operations.</w:t>
      </w:r>
    </w:p>
    <w:p>
      <w:pPr>
        <w:spacing w:after="0" w:line="178" w:lineRule="exact"/>
        <w:rPr>
          <w:sz w:val="20"/>
          <w:szCs w:val="20"/>
          <w:color w:val="auto"/>
        </w:rPr>
      </w:pPr>
    </w:p>
    <w:p>
      <w:pPr>
        <w:ind w:firstLine="469"/>
        <w:spacing w:after="0" w:line="290" w:lineRule="auto"/>
        <w:rPr>
          <w:sz w:val="20"/>
          <w:szCs w:val="20"/>
          <w:color w:val="auto"/>
        </w:rPr>
      </w:pPr>
      <w:r>
        <w:rPr>
          <w:rFonts w:ascii="Arial" w:cs="Arial" w:eastAsia="Arial" w:hAnsi="Arial"/>
          <w:sz w:val="17"/>
          <w:szCs w:val="17"/>
          <w:color w:val="auto"/>
        </w:rPr>
        <w:t>We implemented CECL, for determining our overall provision for credit losses, at the beginning of the first quarter of 2020. For the nine months that ended September 30, 2020, our allowance for credit losses increased by $23.5 million in provision for credit losses, primarily due to the forecasted impact of COVID-19 on certain economic variables that may cause distress to our loan portfolios. During the first nine months of 2021, forecasted improvements in macroeconomic variables, because of the wide availability of vaccines and government economic stimulus, resulted in a $25.5 million recapture of provision for credit losses. Depending on the scope and duration of the COVID-19 pandemic, including the impact of new variants of the coronavirus, there is a possibility that increased provisions for credit losses could prove necessary in the future.</w:t>
      </w:r>
    </w:p>
    <w:p>
      <w:pPr>
        <w:spacing w:after="0" w:line="189" w:lineRule="exact"/>
        <w:rPr>
          <w:sz w:val="20"/>
          <w:szCs w:val="20"/>
          <w:color w:val="auto"/>
        </w:rPr>
      </w:pPr>
    </w:p>
    <w:p>
      <w:pPr>
        <w:ind w:right="20" w:firstLine="464"/>
        <w:spacing w:after="0" w:line="293" w:lineRule="auto"/>
        <w:rPr>
          <w:sz w:val="20"/>
          <w:szCs w:val="20"/>
          <w:color w:val="auto"/>
        </w:rPr>
      </w:pPr>
      <w:r>
        <w:rPr>
          <w:rFonts w:ascii="Arial" w:cs="Arial" w:eastAsia="Arial" w:hAnsi="Arial"/>
          <w:sz w:val="18"/>
          <w:szCs w:val="18"/>
          <w:b w:val="1"/>
          <w:bCs w:val="1"/>
          <w:i w:val="1"/>
          <w:iCs w:val="1"/>
          <w:color w:val="auto"/>
        </w:rPr>
        <w:t>Our bank has elected to participate as a lender in the Small Business Administration’s Paycheck Protection Program (PPP), and has accordingly become subject to a number of significant risks applicable to lenders under the PPP.</w:t>
      </w:r>
    </w:p>
    <w:p>
      <w:pPr>
        <w:spacing w:after="0" w:line="183" w:lineRule="exact"/>
        <w:rPr>
          <w:sz w:val="20"/>
          <w:szCs w:val="20"/>
          <w:color w:val="auto"/>
        </w:rPr>
      </w:pPr>
    </w:p>
    <w:p>
      <w:pPr>
        <w:ind w:right="20" w:firstLine="469"/>
        <w:spacing w:after="0" w:line="299" w:lineRule="auto"/>
        <w:rPr>
          <w:sz w:val="20"/>
          <w:szCs w:val="20"/>
          <w:color w:val="auto"/>
        </w:rPr>
      </w:pPr>
      <w:r>
        <w:rPr>
          <w:rFonts w:ascii="Arial" w:cs="Arial" w:eastAsia="Arial" w:hAnsi="Arial"/>
          <w:sz w:val="16"/>
          <w:szCs w:val="16"/>
          <w:color w:val="auto"/>
        </w:rPr>
        <w:t>As one set of responses to the COVID-19 pandemic, our federal, state and local governments have promulgated a wide variety of laws, regulations, executive orders and programs designed to ameliorate the severe and widespread economic distress that was initially caused by the mandatory closings of many businesses throughout the State of California and counties in which we operate. One such program is the PPP enacted under the federal CARES Act and subsequently extended under the federal Consolidated Appropriations Act, 2021. This program was designed, among other things, to provide employee payroll maintenance support for small and medium-sized businesses throughout the United States, including in the State of California, through loans made by authorized lenders and guaranteed by the federal Small Business Administration (SBA). Because the Company is an authorized SBA lender and our primary customer base consists of small and medium-sized businesses, the Company actively participated in the PPP through its extended expiration date of May 31, 2021. Including the second round of funding, after legislation passed on April 24, 2020, we originated and funded approximately 4,100 PPP loans totaling approximately $1.10 billion, of which $52.4 million was outstanding at September 30, 2021. On January 13, 2021, the SBA reopened the</w:t>
      </w:r>
    </w:p>
    <w:p>
      <w:pPr>
        <w:spacing w:after="0" w:line="3" w:lineRule="exact"/>
        <w:rPr>
          <w:sz w:val="20"/>
          <w:szCs w:val="20"/>
          <w:color w:val="auto"/>
        </w:rPr>
      </w:pPr>
    </w:p>
    <w:p>
      <w:pPr>
        <w:ind w:right="380" w:firstLine="8"/>
        <w:spacing w:after="0" w:line="329" w:lineRule="auto"/>
        <w:tabs>
          <w:tab w:leader="none" w:pos="3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Second Draw loans to small businesses and non-profit organizations that did receive a loan through the initial PPP phase. As of September 30, 2021, we originated approximately 1,900 round two loans totaling $420 million in customer borrowings, of which $278.6 million was outstanding at September 30, 2021.</w:t>
      </w:r>
    </w:p>
    <w:p>
      <w:pPr>
        <w:spacing w:after="0" w:line="161" w:lineRule="exact"/>
        <w:rPr>
          <w:sz w:val="20"/>
          <w:szCs w:val="20"/>
          <w:color w:val="auto"/>
        </w:rPr>
      </w:pPr>
    </w:p>
    <w:p>
      <w:pPr>
        <w:ind w:right="80" w:firstLine="469"/>
        <w:spacing w:after="0" w:line="306" w:lineRule="auto"/>
        <w:rPr>
          <w:sz w:val="20"/>
          <w:szCs w:val="20"/>
          <w:color w:val="auto"/>
        </w:rPr>
      </w:pPr>
      <w:r>
        <w:rPr>
          <w:rFonts w:ascii="Arial" w:cs="Arial" w:eastAsia="Arial" w:hAnsi="Arial"/>
          <w:sz w:val="16"/>
          <w:szCs w:val="16"/>
          <w:color w:val="auto"/>
        </w:rPr>
        <w:t>Under interim final regulations promulgated by the SBA, PPP lenders are entitled to rely on borrower certifications with respect to issues such as program eligibility and eligible loan amounts, and PPP loans are designed to be subsequently forgivable, in whole or part, if certain additional criteria are met by the borrower with respect to employee payroll maintenance. However, in view of the fact that the PPP was by design intended to support economically distressed businesses, the SBA’s guarantee of PPP loan amounts to participating lenders is a critical feature of the program. There are significant risks to the Company’s participation in the PPP, including whether certain borrowers will ultimately be found to have been eligible for PPP loans, whether eligible PPP loan amounts for certain borrowers were correctly calculated, whether certain PPP loans will ultimately be determined to be forgivable, and if not, whether the SBA’s guarantee will continue to apply to any unforgiven PPP loan amounts. As of September 30, 2021, approximately 4,800 loans, representing approximately $1.2 billion in PPP loan balances were submitted to the SBA and granted forgiveness. To date, our customers who have had their forgiveness requests reviewed by the SBA have received almost 100% loan forgiveness.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Our pending acquisition of Suncrest Bank could adversely affect our business while the merger is pending or if the merger is consummated.</w:t>
      </w:r>
    </w:p>
    <w:p>
      <w:pPr>
        <w:spacing w:after="0" w:line="275" w:lineRule="exact"/>
        <w:rPr>
          <w:sz w:val="20"/>
          <w:szCs w:val="20"/>
          <w:color w:val="auto"/>
        </w:rPr>
      </w:pPr>
    </w:p>
    <w:p>
      <w:pPr>
        <w:jc w:val="both"/>
        <w:ind w:right="100" w:firstLine="469"/>
        <w:spacing w:after="0" w:line="303" w:lineRule="auto"/>
        <w:rPr>
          <w:sz w:val="20"/>
          <w:szCs w:val="20"/>
          <w:color w:val="auto"/>
        </w:rPr>
      </w:pPr>
      <w:r>
        <w:rPr>
          <w:rFonts w:ascii="Arial" w:cs="Arial" w:eastAsia="Arial" w:hAnsi="Arial"/>
          <w:sz w:val="17"/>
          <w:szCs w:val="17"/>
          <w:color w:val="auto"/>
        </w:rPr>
        <w:t>We have entered into an agreement to acquire Suncrest Bank. This merger is subject to our applications for approval filed with our principal federal and state regulatory oversight agencies under the Bank Merger Act, as well as the affirmative vote of a majority of the shareholders of Suncrest, and there can be no assurance that these regulatory approvals will ultimately be obtained or the timetable for such approvals.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9" w:name="page70"/>
    <w:bookmarkEnd w:id="69"/>
    <w:p>
      <w:pPr>
        <w:jc w:val="both"/>
        <w:ind w:right="120" w:firstLine="464"/>
        <w:spacing w:after="0" w:line="329" w:lineRule="auto"/>
        <w:rPr>
          <w:sz w:val="20"/>
          <w:szCs w:val="20"/>
          <w:color w:val="auto"/>
        </w:rPr>
      </w:pPr>
      <w:r>
        <w:rPr>
          <w:rFonts w:ascii="Arial" w:cs="Arial" w:eastAsia="Arial" w:hAnsi="Arial"/>
          <w:sz w:val="16"/>
          <w:szCs w:val="16"/>
          <w:color w:val="auto"/>
        </w:rPr>
        <w:t>In addition, while the merger is pending, our management may need to focus their time and energies on matters related to the merger that otherwise would be directed to their other areas of responsibilities. In addition, the success of the merger will depend, in part, on our ability to successfully combine the businesses of Citizens and Suncrest upon the completion of the merger. It is possible that the integration process could result in:</w:t>
      </w:r>
    </w:p>
    <w:p>
      <w:pPr>
        <w:spacing w:after="0" w:line="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loss of key employees,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disruption of our ongoing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credit or other losses in connection with loans and portfolio products being acquired from Suncrest, or</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inconsistencies in standards, controls, procedures and policies that adversely affect the combined company’s ability to maintain relationships with clients, customers, depositors and employees or to achieve the anticipated benefits of the merger.</w:t>
      </w:r>
    </w:p>
    <w:p>
      <w:pPr>
        <w:spacing w:after="0" w:line="183" w:lineRule="exact"/>
        <w:rPr>
          <w:sz w:val="20"/>
          <w:szCs w:val="20"/>
          <w:color w:val="auto"/>
        </w:rPr>
      </w:pPr>
    </w:p>
    <w:p>
      <w:pPr>
        <w:ind w:right="40" w:firstLine="469"/>
        <w:spacing w:after="0" w:line="329" w:lineRule="auto"/>
        <w:rPr>
          <w:sz w:val="20"/>
          <w:szCs w:val="20"/>
          <w:color w:val="auto"/>
        </w:rPr>
      </w:pPr>
      <w:r>
        <w:rPr>
          <w:rFonts w:ascii="Arial" w:cs="Arial" w:eastAsia="Arial" w:hAnsi="Arial"/>
          <w:sz w:val="16"/>
          <w:szCs w:val="16"/>
          <w:color w:val="auto"/>
        </w:rPr>
        <w:t>Furthermore, combining the two companies may be more difficult, time-consuming or costly than expected. If the merger is completed, but the combined company does not fully realize our anticipated cost savings from the merger, or the anticipated business synergies from the acquisition of Suncrest customers, loans and deposits in connection with the merger, our business, financial condition or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40" w:firstLine="469"/>
        <w:spacing w:after="0" w:line="311" w:lineRule="auto"/>
        <w:rPr>
          <w:sz w:val="20"/>
          <w:szCs w:val="20"/>
          <w:color w:val="auto"/>
        </w:rPr>
      </w:pPr>
      <w:r>
        <w:rPr>
          <w:rFonts w:ascii="Arial" w:cs="Arial" w:eastAsia="Arial" w:hAnsi="Arial"/>
          <w:sz w:val="16"/>
          <w:szCs w:val="16"/>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There is no expiration date for this repurchase program. The Company terminated the 10b5-1 stock buyback plan on September 23, 2021 as a result of the Company’s prospective issuance of common stock related to the pending acquisition of Suncrest Bank. During the three months ended September 30, 2021, the Company repurchased 390,336 shares of CVB common stock outstanding under this program. As of September 30, 2021, we had 4,194,809 shares of CVB common stock available for repurchase under the common stock repurchase program.</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 Purchased as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1"/>
              </w:rPr>
              <w:t>Maximum Number of Shares Available</w:t>
            </w:r>
          </w:p>
        </w:tc>
        <w:tc>
          <w:tcPr>
            <w:tcW w:w="80" w:type="dxa"/>
            <w:vAlign w:val="bottom"/>
          </w:tcPr>
          <w:p>
            <w:pPr>
              <w:spacing w:after="0"/>
              <w:rPr>
                <w:sz w:val="19"/>
                <w:szCs w:val="19"/>
                <w:color w:val="auto"/>
              </w:rPr>
            </w:pPr>
          </w:p>
        </w:tc>
      </w:tr>
      <w:tr>
        <w:trPr>
          <w:trHeight w:val="230"/>
        </w:trPr>
        <w:tc>
          <w:tcPr>
            <w:tcW w:w="29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Part of Publicly Announced Plans or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Average Price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for Repurchase Under the Plans or</w:t>
            </w:r>
          </w:p>
        </w:tc>
        <w:tc>
          <w:tcPr>
            <w:tcW w:w="80" w:type="dxa"/>
            <w:vAlign w:val="bottom"/>
          </w:tcPr>
          <w:p>
            <w:pPr>
              <w:spacing w:after="0"/>
              <w:rPr>
                <w:sz w:val="19"/>
                <w:szCs w:val="19"/>
                <w:color w:val="auto"/>
              </w:rPr>
            </w:pPr>
          </w:p>
        </w:tc>
      </w:tr>
      <w:tr>
        <w:trPr>
          <w:trHeight w:val="241"/>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Paid Per Share</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80" w:type="dxa"/>
            <w:vAlign w:val="bottom"/>
          </w:tcPr>
          <w:p>
            <w:pPr>
              <w:spacing w:after="0"/>
              <w:rPr>
                <w:sz w:val="20"/>
                <w:szCs w:val="20"/>
                <w:color w:val="auto"/>
              </w:rPr>
            </w:pPr>
          </w:p>
        </w:tc>
      </w:tr>
      <w:tr>
        <w:trPr>
          <w:trHeight w:val="257"/>
        </w:trPr>
        <w:tc>
          <w:tcPr>
            <w:tcW w:w="29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31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1 - 31, 2021</w:t>
            </w:r>
          </w:p>
        </w:tc>
        <w:tc>
          <w:tcPr>
            <w:tcW w:w="3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26,865</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3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4,558,280</w:t>
            </w:r>
          </w:p>
        </w:tc>
        <w:tc>
          <w:tcPr>
            <w:tcW w:w="80" w:type="dxa"/>
            <w:vAlign w:val="bottom"/>
            <w:shd w:val="clear" w:color="auto" w:fill="CFF0FC"/>
          </w:tcPr>
          <w:p>
            <w:pPr>
              <w:spacing w:after="0"/>
              <w:rPr>
                <w:sz w:val="22"/>
                <w:szCs w:val="22"/>
                <w:color w:val="auto"/>
              </w:rPr>
            </w:pPr>
          </w:p>
        </w:tc>
      </w:tr>
      <w:tr>
        <w:trPr>
          <w:trHeight w:val="250"/>
        </w:trPr>
        <w:tc>
          <w:tcPr>
            <w:tcW w:w="2920" w:type="dxa"/>
            <w:vAlign w:val="bottom"/>
          </w:tcPr>
          <w:p>
            <w:pPr>
              <w:ind w:left="20"/>
              <w:spacing w:after="0"/>
              <w:rPr>
                <w:sz w:val="20"/>
                <w:szCs w:val="20"/>
                <w:color w:val="auto"/>
              </w:rPr>
            </w:pPr>
            <w:r>
              <w:rPr>
                <w:rFonts w:ascii="Arial" w:cs="Arial" w:eastAsia="Arial" w:hAnsi="Arial"/>
                <w:sz w:val="18"/>
                <w:szCs w:val="18"/>
                <w:color w:val="auto"/>
              </w:rPr>
              <w:t>August 1 - 31, 2021</w:t>
            </w:r>
          </w:p>
        </w:tc>
        <w:tc>
          <w:tcPr>
            <w:tcW w:w="3020" w:type="dxa"/>
            <w:vAlign w:val="bottom"/>
          </w:tcPr>
          <w:p>
            <w:pPr>
              <w:jc w:val="right"/>
              <w:spacing w:after="0"/>
              <w:rPr>
                <w:sz w:val="20"/>
                <w:szCs w:val="20"/>
                <w:color w:val="auto"/>
              </w:rPr>
            </w:pPr>
            <w:r>
              <w:rPr>
                <w:rFonts w:ascii="Arial" w:cs="Arial" w:eastAsia="Arial" w:hAnsi="Arial"/>
                <w:sz w:val="18"/>
                <w:szCs w:val="18"/>
                <w:color w:val="auto"/>
              </w:rPr>
              <w:t>43,500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19.01</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4,514,780</w:t>
            </w:r>
          </w:p>
        </w:tc>
        <w:tc>
          <w:tcPr>
            <w:tcW w:w="80" w:type="dxa"/>
            <w:vAlign w:val="bottom"/>
          </w:tcPr>
          <w:p>
            <w:pPr>
              <w:spacing w:after="0"/>
              <w:rPr>
                <w:sz w:val="21"/>
                <w:szCs w:val="21"/>
                <w:color w:val="auto"/>
              </w:rPr>
            </w:pPr>
          </w:p>
        </w:tc>
      </w:tr>
      <w:tr>
        <w:trPr>
          <w:trHeight w:val="263"/>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1 - 30, 2021</w:t>
            </w:r>
          </w:p>
        </w:tc>
        <w:tc>
          <w:tcPr>
            <w:tcW w:w="3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319,971</w:t>
            </w:r>
          </w:p>
        </w:tc>
        <w:tc>
          <w:tcPr>
            <w:tcW w:w="240" w:type="dxa"/>
            <w:vAlign w:val="bottom"/>
            <w:tcBorders>
              <w:bottom w:val="single" w:sz="8" w:color="CFF0FC"/>
            </w:tcBorders>
            <w:gridSpan w:val="2"/>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200" w:type="dxa"/>
            <w:vAlign w:val="bottom"/>
            <w:tcBorders>
              <w:bottom w:val="single" w:sz="8" w:color="CFF0FC"/>
            </w:tcBorders>
            <w:gridSpan w:val="2"/>
            <w:shd w:val="clear" w:color="auto" w:fill="CFF0FC"/>
          </w:tcPr>
          <w:p>
            <w:pPr>
              <w:spacing w:after="0"/>
              <w:rPr>
                <w:sz w:val="22"/>
                <w:szCs w:val="22"/>
                <w:color w:val="auto"/>
              </w:rPr>
            </w:pPr>
          </w:p>
        </w:tc>
        <w:tc>
          <w:tcPr>
            <w:tcW w:w="3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4,194,809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2920" w:type="dxa"/>
            <w:vAlign w:val="bottom"/>
          </w:tcPr>
          <w:p>
            <w:pPr>
              <w:ind w:left="120"/>
              <w:spacing w:after="0"/>
              <w:rPr>
                <w:sz w:val="20"/>
                <w:szCs w:val="20"/>
                <w:color w:val="auto"/>
              </w:rPr>
            </w:pPr>
            <w:r>
              <w:rPr>
                <w:rFonts w:ascii="Arial" w:cs="Arial" w:eastAsia="Arial" w:hAnsi="Arial"/>
                <w:sz w:val="18"/>
                <w:szCs w:val="18"/>
                <w:color w:val="auto"/>
              </w:rPr>
              <w:t>Total</w:t>
            </w:r>
          </w:p>
        </w:tc>
        <w:tc>
          <w:tcPr>
            <w:tcW w:w="3020" w:type="dxa"/>
            <w:vAlign w:val="bottom"/>
          </w:tcPr>
          <w:p>
            <w:pPr>
              <w:jc w:val="right"/>
              <w:spacing w:after="0"/>
              <w:rPr>
                <w:sz w:val="20"/>
                <w:szCs w:val="20"/>
                <w:color w:val="auto"/>
              </w:rPr>
            </w:pPr>
            <w:r>
              <w:rPr>
                <w:rFonts w:ascii="Arial" w:cs="Arial" w:eastAsia="Arial" w:hAnsi="Arial"/>
                <w:sz w:val="18"/>
                <w:szCs w:val="18"/>
                <w:color w:val="auto"/>
              </w:rPr>
              <w:t>390,336</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18.97</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4,194,809</w:t>
            </w:r>
          </w:p>
        </w:tc>
        <w:tc>
          <w:tcPr>
            <w:tcW w:w="80" w:type="dxa"/>
            <w:vAlign w:val="bottom"/>
          </w:tcPr>
          <w:p>
            <w:pPr>
              <w:spacing w:after="0"/>
              <w:rPr>
                <w:sz w:val="21"/>
                <w:szCs w:val="21"/>
                <w:color w:val="auto"/>
              </w:rPr>
            </w:pPr>
          </w:p>
        </w:tc>
      </w:tr>
      <w:tr>
        <w:trPr>
          <w:trHeight w:val="20"/>
        </w:trPr>
        <w:tc>
          <w:tcPr>
            <w:tcW w:w="2920" w:type="dxa"/>
            <w:vAlign w:val="bottom"/>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-193675</wp:posOffset>
            </wp:positionV>
            <wp:extent cx="146050" cy="571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-193675</wp:posOffset>
            </wp:positionV>
            <wp:extent cx="120015" cy="571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80" w:type="dxa"/>
            <w:vAlign w:val="bottom"/>
          </w:tcPr>
          <w:p>
            <w:pPr>
              <w:spacing w:after="0"/>
              <w:rPr>
                <w:sz w:val="20"/>
                <w:szCs w:val="20"/>
                <w:color w:val="auto"/>
              </w:rPr>
            </w:pPr>
          </w:p>
        </w:tc>
        <w:tc>
          <w:tcPr>
            <w:tcW w:w="9740" w:type="dxa"/>
            <w:vAlign w:val="bottom"/>
            <w:gridSpan w:val="4"/>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54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8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18"/>
                <w:szCs w:val="18"/>
                <w:color w:val="0000FF"/>
                <w:w w:val="91"/>
              </w:rPr>
            </w:pPr>
            <w:hyperlink r:id="rId866">
              <w:r>
                <w:rPr>
                  <w:rFonts w:ascii="Arial" w:cs="Arial" w:eastAsia="Arial" w:hAnsi="Arial"/>
                  <w:sz w:val="18"/>
                  <w:szCs w:val="18"/>
                  <w:color w:val="0000FF"/>
                  <w:w w:val="91"/>
                </w:rPr>
                <w:t>Agreement and Plan of Reorganization and Merger, dated July 27, 2021, by and among CVB Financial Corp, Citizens Business Bank</w:t>
              </w:r>
            </w:hyperlink>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5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4"/>
          </w:tcPr>
          <w:p>
            <w:pPr>
              <w:spacing w:after="0"/>
              <w:rPr>
                <w:rFonts w:ascii="Arial" w:cs="Arial" w:eastAsia="Arial" w:hAnsi="Arial"/>
                <w:sz w:val="18"/>
                <w:szCs w:val="18"/>
                <w:color w:val="0000FF"/>
              </w:rPr>
            </w:pPr>
            <w:hyperlink r:id="rId866">
              <w:r>
                <w:rPr>
                  <w:rFonts w:ascii="Arial" w:cs="Arial" w:eastAsia="Arial" w:hAnsi="Arial"/>
                  <w:sz w:val="18"/>
                  <w:szCs w:val="18"/>
                  <w:color w:val="0000FF"/>
                </w:rPr>
                <w:t>and Suncrest Bank (1)</w:t>
              </w:r>
            </w:hyperlink>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80" w:type="dxa"/>
            <w:vAlign w:val="bottom"/>
          </w:tcPr>
          <w:p>
            <w:pPr>
              <w:spacing w:after="0"/>
              <w:rPr>
                <w:sz w:val="20"/>
                <w:szCs w:val="20"/>
                <w:color w:val="auto"/>
              </w:rPr>
            </w:pPr>
          </w:p>
        </w:tc>
        <w:tc>
          <w:tcPr>
            <w:tcW w:w="9740" w:type="dxa"/>
            <w:vAlign w:val="bottom"/>
            <w:gridSpan w:val="4"/>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Chief Executive Officer pursuant to Section 302 of the Sarbanes-Oxley Act of 2002</w:t>
              </w:r>
            </w:hyperlink>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left w:val="single" w:sz="8" w:color="0000EE"/>
            </w:tcBorders>
            <w:gridSpan w:val="2"/>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80" w:type="dxa"/>
            <w:vAlign w:val="bottom"/>
          </w:tcPr>
          <w:p>
            <w:pPr>
              <w:spacing w:after="0"/>
              <w:rPr>
                <w:sz w:val="20"/>
                <w:szCs w:val="20"/>
                <w:color w:val="auto"/>
              </w:rPr>
            </w:pPr>
          </w:p>
        </w:tc>
        <w:tc>
          <w:tcPr>
            <w:tcW w:w="9740" w:type="dxa"/>
            <w:vAlign w:val="bottom"/>
            <w:gridSpan w:val="4"/>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of Chief Financial Officer pursuant to Section 302 of the Sarbanes-Oxley Act of 2002</w:t>
              </w:r>
            </w:hyperlink>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80" w:type="dxa"/>
            <w:vAlign w:val="bottom"/>
          </w:tcPr>
          <w:p>
            <w:pPr>
              <w:spacing w:after="0"/>
              <w:rPr>
                <w:sz w:val="20"/>
                <w:szCs w:val="20"/>
                <w:color w:val="auto"/>
              </w:rPr>
            </w:pPr>
          </w:p>
        </w:tc>
        <w:tc>
          <w:tcPr>
            <w:tcW w:w="9740" w:type="dxa"/>
            <w:vAlign w:val="bottom"/>
            <w:gridSpan w:val="4"/>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Certification of Chief Executive Officer pursuant to Section 906 of the Sarbanes-Oxley Act of 2002</w:t>
              </w:r>
            </w:hyperlink>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left w:val="single" w:sz="8" w:color="0000EE"/>
            </w:tcBorders>
            <w:gridSpan w:val="2"/>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280" w:type="dxa"/>
            <w:vAlign w:val="bottom"/>
          </w:tcPr>
          <w:p>
            <w:pPr>
              <w:spacing w:after="0"/>
              <w:rPr>
                <w:sz w:val="20"/>
                <w:szCs w:val="20"/>
                <w:color w:val="auto"/>
              </w:rPr>
            </w:pPr>
          </w:p>
        </w:tc>
        <w:tc>
          <w:tcPr>
            <w:tcW w:w="9740" w:type="dxa"/>
            <w:vAlign w:val="bottom"/>
            <w:gridSpan w:val="4"/>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Certification of Chief Financial Officer pursuant to Section 906 of the Sarbanes-Oxley Act of 2002</w:t>
              </w:r>
            </w:hyperlink>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76"/>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28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 tags are</w:t>
            </w:r>
          </w:p>
        </w:tc>
      </w:tr>
      <w:tr>
        <w:trPr>
          <w:trHeight w:val="230"/>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5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280" w:type="dxa"/>
            <w:vAlign w:val="bottom"/>
          </w:tcPr>
          <w:p>
            <w:pPr>
              <w:spacing w:after="0"/>
              <w:rPr>
                <w:sz w:val="22"/>
                <w:szCs w:val="22"/>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280" w:type="dxa"/>
            <w:vAlign w:val="bottom"/>
          </w:tcPr>
          <w:p>
            <w:pPr>
              <w:spacing w:after="0"/>
              <w:rPr>
                <w:sz w:val="22"/>
                <w:szCs w:val="22"/>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280" w:type="dxa"/>
            <w:vAlign w:val="bottom"/>
          </w:tcPr>
          <w:p>
            <w:pPr>
              <w:spacing w:after="0"/>
              <w:rPr>
                <w:sz w:val="22"/>
                <w:szCs w:val="22"/>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280" w:type="dxa"/>
            <w:vAlign w:val="bottom"/>
          </w:tcPr>
          <w:p>
            <w:pPr>
              <w:spacing w:after="0"/>
              <w:rPr>
                <w:sz w:val="22"/>
                <w:szCs w:val="22"/>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280" w:type="dxa"/>
            <w:vAlign w:val="bottom"/>
          </w:tcPr>
          <w:p>
            <w:pPr>
              <w:spacing w:after="0"/>
              <w:rPr>
                <w:sz w:val="22"/>
                <w:szCs w:val="22"/>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6" w:lineRule="exact"/>
        <w:rPr>
          <w:sz w:val="20"/>
          <w:szCs w:val="20"/>
          <w:color w:val="auto"/>
        </w:rPr>
      </w:pPr>
    </w:p>
    <w:p>
      <w:pPr>
        <w:ind w:left="1460" w:right="100" w:hanging="986"/>
        <w:spacing w:after="0" w:line="293"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2021, has been formatted in Inline XBRL.</w:t>
      </w:r>
    </w:p>
    <w:p>
      <w:pPr>
        <w:spacing w:after="0" w:line="16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Filed herewith</w:t>
      </w:r>
    </w:p>
    <w:p>
      <w:pPr>
        <w:spacing w:after="0" w:line="48" w:lineRule="exact"/>
        <w:rPr>
          <w:rFonts w:ascii="Arial" w:cs="Arial" w:eastAsia="Arial" w:hAnsi="Arial"/>
          <w:sz w:val="18"/>
          <w:szCs w:val="18"/>
          <w:color w:val="auto"/>
        </w:rPr>
      </w:pPr>
    </w:p>
    <w:p>
      <w:pPr>
        <w:ind w:left="1680" w:hanging="1339"/>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237426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 w:lineRule="exact"/>
        <w:rPr>
          <w:sz w:val="20"/>
          <w:szCs w:val="20"/>
          <w:color w:val="auto"/>
        </w:rPr>
      </w:pPr>
    </w:p>
    <w:p>
      <w:pPr>
        <w:ind w:left="1680" w:hanging="1339"/>
        <w:spacing w:after="0"/>
        <w:tabs>
          <w:tab w:leader="none" w:pos="1680" w:val="left"/>
        </w:tabs>
        <w:numPr>
          <w:ilvl w:val="0"/>
          <w:numId w:val="20"/>
        </w:numPr>
        <w:rPr>
          <w:rFonts w:ascii="Arial" w:cs="Arial" w:eastAsia="Arial" w:hAnsi="Arial"/>
          <w:sz w:val="18"/>
          <w:szCs w:val="18"/>
          <w:color w:val="auto"/>
        </w:rPr>
      </w:pPr>
      <w:r>
        <w:rPr>
          <w:rFonts w:ascii="Arial" w:cs="Arial" w:eastAsia="Arial" w:hAnsi="Arial"/>
          <w:sz w:val="16"/>
          <w:szCs w:val="16"/>
          <w:color w:val="auto"/>
        </w:rPr>
        <w:t>Incorporated herein by reference to Exhibit 2.1 to our Form 8-K filed with the SEC on July 28, 2021.</w:t>
      </w:r>
    </w:p>
    <w:p>
      <w:pPr>
        <w:spacing w:after="0" w:line="27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6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CVB FINANCIAL CORP.</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2021</w:t>
      </w:r>
    </w:p>
    <w:p>
      <w:pPr>
        <w:spacing w:after="0" w:line="251"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E. Allen Nicholson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 Allen Nicholson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405" w:right="7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A. Brager, certify that:</w:t>
      </w:r>
    </w:p>
    <w:p>
      <w:pPr>
        <w:spacing w:after="0" w:line="239" w:lineRule="exact"/>
        <w:rPr>
          <w:sz w:val="20"/>
          <w:szCs w:val="20"/>
          <w:color w:val="auto"/>
        </w:rPr>
      </w:pPr>
    </w:p>
    <w:p>
      <w:pPr>
        <w:ind w:left="700" w:hanging="31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CVB Financial Corp.;</w:t>
      </w:r>
    </w:p>
    <w:p>
      <w:pPr>
        <w:spacing w:after="0" w:line="238" w:lineRule="exact"/>
        <w:rPr>
          <w:rFonts w:ascii="Arial" w:cs="Arial" w:eastAsia="Arial" w:hAnsi="Arial"/>
          <w:sz w:val="18"/>
          <w:szCs w:val="18"/>
          <w:color w:val="auto"/>
        </w:rPr>
      </w:pPr>
    </w:p>
    <w:p>
      <w:pPr>
        <w:jc w:val="both"/>
        <w:ind w:left="700" w:right="60" w:hanging="318"/>
        <w:spacing w:after="0" w:line="27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00" w:right="40" w:hanging="318"/>
        <w:spacing w:after="0" w:line="324"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00" w:right="60" w:hanging="318"/>
        <w:spacing w:after="0" w:line="27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460" w:right="200" w:hanging="329"/>
        <w:spacing w:after="0" w:line="303" w:lineRule="auto"/>
        <w:tabs>
          <w:tab w:leader="none" w:pos="14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7"/>
          <w:szCs w:val="17"/>
          <w:color w:val="auto"/>
        </w:rPr>
      </w:pPr>
    </w:p>
    <w:p>
      <w:pPr>
        <w:ind w:left="1460" w:right="260" w:hanging="329"/>
        <w:spacing w:after="0" w:line="279"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460" w:right="60" w:hanging="329"/>
        <w:spacing w:after="0" w:line="359"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460" w:right="100" w:hanging="329"/>
        <w:spacing w:after="0" w:line="279"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00" w:right="240" w:hanging="318"/>
        <w:spacing w:after="0" w:line="359"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1460" w:right="300" w:hanging="329"/>
        <w:spacing w:after="0" w:line="359"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460" w:hanging="329"/>
        <w:spacing w:after="0" w:line="293"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100" w:type="dxa"/>
            <w:vAlign w:val="bottom"/>
            <w:gridSpan w:val="3"/>
          </w:tcPr>
          <w:p>
            <w:pPr>
              <w:ind w:left="2100"/>
              <w:spacing w:after="0"/>
              <w:rPr>
                <w:sz w:val="20"/>
                <w:szCs w:val="20"/>
                <w:color w:val="auto"/>
              </w:rPr>
            </w:pPr>
            <w:r>
              <w:rPr>
                <w:rFonts w:ascii="Arial" w:cs="Arial" w:eastAsia="Arial" w:hAnsi="Arial"/>
                <w:sz w:val="18"/>
                <w:szCs w:val="18"/>
                <w:color w:val="auto"/>
              </w:rPr>
              <w:t>By:   /s/ David A. Brager</w:t>
            </w:r>
          </w:p>
        </w:tc>
      </w:tr>
      <w:tr>
        <w:trPr>
          <w:trHeight w:val="263"/>
        </w:trPr>
        <w:tc>
          <w:tcPr>
            <w:tcW w:w="41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Brager</w:t>
            </w:r>
          </w:p>
        </w:tc>
        <w:tc>
          <w:tcPr>
            <w:tcW w:w="3040" w:type="dxa"/>
            <w:vAlign w:val="bottom"/>
          </w:tcPr>
          <w:p>
            <w:pPr>
              <w:spacing w:after="0"/>
              <w:rPr>
                <w:sz w:val="22"/>
                <w:szCs w:val="22"/>
                <w:color w:val="auto"/>
              </w:rPr>
            </w:pPr>
          </w:p>
        </w:tc>
      </w:tr>
      <w:tr>
        <w:trPr>
          <w:trHeight w:val="230"/>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587"/>
        </w:trPr>
        <w:tc>
          <w:tcPr>
            <w:tcW w:w="4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E. Allen Nicholson, certify that:</w:t>
      </w:r>
    </w:p>
    <w:p>
      <w:pPr>
        <w:spacing w:after="0" w:line="239" w:lineRule="exact"/>
        <w:rPr>
          <w:sz w:val="20"/>
          <w:szCs w:val="20"/>
          <w:color w:val="auto"/>
        </w:rPr>
      </w:pPr>
    </w:p>
    <w:p>
      <w:pPr>
        <w:ind w:left="700" w:hanging="31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CVB Financial Corp.;</w:t>
      </w:r>
    </w:p>
    <w:p>
      <w:pPr>
        <w:spacing w:after="0" w:line="238" w:lineRule="exact"/>
        <w:rPr>
          <w:rFonts w:ascii="Arial" w:cs="Arial" w:eastAsia="Arial" w:hAnsi="Arial"/>
          <w:sz w:val="18"/>
          <w:szCs w:val="18"/>
          <w:color w:val="auto"/>
        </w:rPr>
      </w:pPr>
    </w:p>
    <w:p>
      <w:pPr>
        <w:jc w:val="both"/>
        <w:ind w:left="700" w:right="60" w:hanging="318"/>
        <w:spacing w:after="0" w:line="279"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00" w:right="40" w:hanging="318"/>
        <w:spacing w:after="0" w:line="324"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00" w:right="60" w:hanging="318"/>
        <w:spacing w:after="0" w:line="279"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460" w:right="200" w:hanging="329"/>
        <w:spacing w:after="0" w:line="303" w:lineRule="auto"/>
        <w:tabs>
          <w:tab w:leader="none" w:pos="14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7"/>
          <w:szCs w:val="17"/>
          <w:color w:val="auto"/>
        </w:rPr>
      </w:pPr>
    </w:p>
    <w:p>
      <w:pPr>
        <w:ind w:left="1460" w:right="260" w:hanging="329"/>
        <w:spacing w:after="0" w:line="279"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460" w:right="60" w:hanging="329"/>
        <w:spacing w:after="0" w:line="359"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460" w:right="100" w:hanging="329"/>
        <w:spacing w:after="0" w:line="279"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00" w:right="240" w:hanging="318"/>
        <w:spacing w:after="0" w:line="359"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460" w:right="300" w:hanging="329"/>
        <w:spacing w:after="0" w:line="359"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460" w:hanging="329"/>
        <w:spacing w:after="0" w:line="293"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100" w:type="dxa"/>
            <w:vAlign w:val="bottom"/>
            <w:gridSpan w:val="3"/>
          </w:tcPr>
          <w:p>
            <w:pPr>
              <w:ind w:left="2100"/>
              <w:spacing w:after="0"/>
              <w:rPr>
                <w:sz w:val="20"/>
                <w:szCs w:val="20"/>
                <w:color w:val="auto"/>
              </w:rPr>
            </w:pPr>
            <w:r>
              <w:rPr>
                <w:rFonts w:ascii="Arial" w:cs="Arial" w:eastAsia="Arial" w:hAnsi="Arial"/>
                <w:sz w:val="18"/>
                <w:szCs w:val="18"/>
                <w:color w:val="auto"/>
              </w:rPr>
              <w:t>By:   /s/ E. Allen Nicholson</w:t>
            </w:r>
          </w:p>
        </w:tc>
      </w:tr>
      <w:tr>
        <w:trPr>
          <w:trHeight w:val="263"/>
        </w:trPr>
        <w:tc>
          <w:tcPr>
            <w:tcW w:w="41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 Allen Nicholson</w:t>
            </w:r>
          </w:p>
        </w:tc>
        <w:tc>
          <w:tcPr>
            <w:tcW w:w="2860" w:type="dxa"/>
            <w:vAlign w:val="bottom"/>
          </w:tcPr>
          <w:p>
            <w:pPr>
              <w:spacing w:after="0"/>
              <w:rPr>
                <w:sz w:val="22"/>
                <w:szCs w:val="22"/>
                <w:color w:val="auto"/>
              </w:rPr>
            </w:pPr>
          </w:p>
        </w:tc>
      </w:tr>
      <w:tr>
        <w:trPr>
          <w:trHeight w:val="230"/>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587"/>
        </w:trPr>
        <w:tc>
          <w:tcPr>
            <w:tcW w:w="4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51" w:lineRule="exact"/>
        <w:rPr>
          <w:sz w:val="20"/>
          <w:szCs w:val="20"/>
          <w:color w:val="auto"/>
        </w:rPr>
      </w:pPr>
    </w:p>
    <w:p>
      <w:pPr>
        <w:ind w:right="240" w:firstLine="374"/>
        <w:spacing w:after="0" w:line="303" w:lineRule="auto"/>
        <w:rPr>
          <w:sz w:val="20"/>
          <w:szCs w:val="20"/>
          <w:color w:val="auto"/>
        </w:rPr>
      </w:pPr>
      <w:r>
        <w:rPr>
          <w:rFonts w:ascii="Arial" w:cs="Arial" w:eastAsia="Arial" w:hAnsi="Arial"/>
          <w:sz w:val="17"/>
          <w:szCs w:val="17"/>
          <w:color w:val="auto"/>
        </w:rPr>
        <w:t>In connection with the Quarterly Report of CVB Financial Corp. (the “Company”) on Form 10-Q for the period ended September 30, 2021,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64" w:lineRule="exact"/>
        <w:rPr>
          <w:sz w:val="20"/>
          <w:szCs w:val="20"/>
          <w:color w:val="auto"/>
        </w:rPr>
      </w:pPr>
    </w:p>
    <w:p>
      <w:pPr>
        <w:ind w:left="700" w:hanging="31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100" w:type="dxa"/>
            <w:vAlign w:val="bottom"/>
            <w:gridSpan w:val="3"/>
          </w:tcPr>
          <w:p>
            <w:pPr>
              <w:ind w:left="2100"/>
              <w:spacing w:after="0"/>
              <w:rPr>
                <w:sz w:val="20"/>
                <w:szCs w:val="20"/>
                <w:color w:val="auto"/>
              </w:rPr>
            </w:pPr>
            <w:r>
              <w:rPr>
                <w:rFonts w:ascii="Arial" w:cs="Arial" w:eastAsia="Arial" w:hAnsi="Arial"/>
                <w:sz w:val="18"/>
                <w:szCs w:val="18"/>
                <w:color w:val="auto"/>
              </w:rPr>
              <w:t>By:   /s/ David A. Brager</w:t>
            </w:r>
          </w:p>
        </w:tc>
      </w:tr>
      <w:tr>
        <w:trPr>
          <w:trHeight w:val="263"/>
        </w:trPr>
        <w:tc>
          <w:tcPr>
            <w:tcW w:w="41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Brager</w:t>
            </w:r>
          </w:p>
        </w:tc>
        <w:tc>
          <w:tcPr>
            <w:tcW w:w="3040" w:type="dxa"/>
            <w:vAlign w:val="bottom"/>
          </w:tcPr>
          <w:p>
            <w:pPr>
              <w:spacing w:after="0"/>
              <w:rPr>
                <w:sz w:val="22"/>
                <w:szCs w:val="22"/>
                <w:color w:val="auto"/>
              </w:rPr>
            </w:pPr>
          </w:p>
        </w:tc>
      </w:tr>
      <w:tr>
        <w:trPr>
          <w:trHeight w:val="230"/>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588"/>
        </w:trPr>
        <w:tc>
          <w:tcPr>
            <w:tcW w:w="4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51" w:lineRule="exact"/>
        <w:rPr>
          <w:sz w:val="20"/>
          <w:szCs w:val="20"/>
          <w:color w:val="auto"/>
        </w:rPr>
      </w:pPr>
    </w:p>
    <w:p>
      <w:pPr>
        <w:jc w:val="both"/>
        <w:ind w:right="240" w:firstLine="374"/>
        <w:spacing w:after="0" w:line="329" w:lineRule="auto"/>
        <w:rPr>
          <w:sz w:val="20"/>
          <w:szCs w:val="20"/>
          <w:color w:val="auto"/>
        </w:rPr>
      </w:pPr>
      <w:r>
        <w:rPr>
          <w:rFonts w:ascii="Arial" w:cs="Arial" w:eastAsia="Arial" w:hAnsi="Arial"/>
          <w:sz w:val="16"/>
          <w:szCs w:val="16"/>
          <w:color w:val="auto"/>
        </w:rPr>
        <w:t>In connection with the Quarterly Report of CVB Financial Corp. (the “Company”) on Form 10-Q for the period ended September 30, 2021,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48" w:lineRule="exact"/>
        <w:rPr>
          <w:sz w:val="20"/>
          <w:szCs w:val="20"/>
          <w:color w:val="auto"/>
        </w:rPr>
      </w:pPr>
    </w:p>
    <w:p>
      <w:pPr>
        <w:ind w:left="700" w:hanging="31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100" w:type="dxa"/>
            <w:vAlign w:val="bottom"/>
            <w:gridSpan w:val="3"/>
          </w:tcPr>
          <w:p>
            <w:pPr>
              <w:ind w:left="2100"/>
              <w:spacing w:after="0"/>
              <w:rPr>
                <w:sz w:val="20"/>
                <w:szCs w:val="20"/>
                <w:color w:val="auto"/>
              </w:rPr>
            </w:pPr>
            <w:r>
              <w:rPr>
                <w:rFonts w:ascii="Arial" w:cs="Arial" w:eastAsia="Arial" w:hAnsi="Arial"/>
                <w:sz w:val="18"/>
                <w:szCs w:val="18"/>
                <w:color w:val="auto"/>
              </w:rPr>
              <w:t>By:   /s/ E. Allen Nicholson</w:t>
            </w:r>
          </w:p>
        </w:tc>
      </w:tr>
      <w:tr>
        <w:trPr>
          <w:trHeight w:val="263"/>
        </w:trPr>
        <w:tc>
          <w:tcPr>
            <w:tcW w:w="41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 Allen Nicholson</w:t>
            </w:r>
          </w:p>
        </w:tc>
        <w:tc>
          <w:tcPr>
            <w:tcW w:w="2860" w:type="dxa"/>
            <w:vAlign w:val="bottom"/>
          </w:tcPr>
          <w:p>
            <w:pPr>
              <w:spacing w:after="0"/>
              <w:rPr>
                <w:sz w:val="22"/>
                <w:szCs w:val="22"/>
                <w:color w:val="auto"/>
              </w:rPr>
            </w:pPr>
          </w:p>
        </w:tc>
      </w:tr>
      <w:tr>
        <w:trPr>
          <w:trHeight w:val="230"/>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587"/>
        </w:trPr>
        <w:tc>
          <w:tcPr>
            <w:tcW w:w="4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5"/>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upperLetter"/>
      <w:start w:val="68"/>
    </w:lvl>
  </w:abstractNum>
  <w:abstractNum w:abstractNumId="17">
    <w:nsid w:val="628C895D"/>
    <w:multiLevelType w:val="hybridMultilevel"/>
    <w:lvl w:ilvl="0">
      <w:lvlJc w:val="left"/>
      <w:lvlText w:val="*"/>
      <w:numFmt w:val="bullet"/>
      <w:start w:val="1"/>
    </w:lvl>
    <w:lvl w:ilvl="1">
      <w:lvlJc w:val="left"/>
      <w:lvlText w:val="%2"/>
      <w:numFmt w:val="decimal"/>
      <w:start w:val="104"/>
    </w:lvl>
  </w:abstractNum>
  <w:abstractNum w:abstractNumId="18">
    <w:nsid w:val="333AB105"/>
    <w:multiLevelType w:val="hybridMultilevel"/>
    <w:lvl w:ilvl="0">
      <w:lvlJc w:val="left"/>
      <w:lvlText w:val="**"/>
      <w:numFmt w:val="bullet"/>
      <w:start w:val="1"/>
    </w:lvl>
    <w:lvl w:ilvl="1">
      <w:lvlJc w:val="left"/>
      <w:lvlText w:val="%2"/>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7" Type="http://schemas.openxmlformats.org/officeDocument/2006/relationships/image" Target="media/image859.png"/><Relationship Id="rId868" Type="http://schemas.openxmlformats.org/officeDocument/2006/relationships/image" Target="media/image860.png"/><Relationship Id="rId869" Type="http://schemas.openxmlformats.org/officeDocument/2006/relationships/image" Target="media/image861.png"/><Relationship Id="rId870" Type="http://schemas.openxmlformats.org/officeDocument/2006/relationships/image" Target="media/image862.png"/><Relationship Id="rId871" Type="http://schemas.openxmlformats.org/officeDocument/2006/relationships/image" Target="media/image863.png"/><Relationship Id="rId872" Type="http://schemas.openxmlformats.org/officeDocument/2006/relationships/image" Target="media/image864.png"/><Relationship Id="rId873" Type="http://schemas.openxmlformats.org/officeDocument/2006/relationships/image" Target="media/image865.png"/><Relationship Id="rId874" Type="http://schemas.openxmlformats.org/officeDocument/2006/relationships/image" Target="media/image866.png"/><Relationship Id="rId875" Type="http://schemas.openxmlformats.org/officeDocument/2006/relationships/image" Target="media/image867.png"/><Relationship Id="rId876" Type="http://schemas.openxmlformats.org/officeDocument/2006/relationships/image" Target="media/image868.png"/><Relationship Id="rId877" Type="http://schemas.openxmlformats.org/officeDocument/2006/relationships/image" Target="media/image869.png"/><Relationship Id="rId866" Type="http://schemas.openxmlformats.org/officeDocument/2006/relationships/hyperlink" Target="https://www.sec.gov/Archives/edgar/data/354647/000119312521226429/d173193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2021-11-09T17:18:51Z</dcterms:created>
  <dcterms:modified xsi:type="dcterms:W3CDTF">2021-11-09T17:18:51Z</dcterms:modified>
</cp:coreProperties>
</file>