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WOHL RICHARD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N. HAVEN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ONTARIO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CVB FINANCIAL CORP</w:t>
              </w:r>
            </w:hyperlink>
            <w:r>
              <w:rPr/>
              <w:t xml:space="preserve"> [ </w:t>
            </w:r>
            <w:r>
              <w:rPr>
                <w:rFonts w:ascii="Times;serif" w:hAnsi="Times;serif"/>
                <w:color w:val="0000FF"/>
                <w:sz w:val="24"/>
                <w:shd w:fill="FFFFFF" w:val="clear"/>
              </w:rPr>
              <w:t>CVBF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82"/>
        <w:gridCol w:w="449"/>
        <w:gridCol w:w="665"/>
        <w:gridCol w:w="1359"/>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8,944</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r>
              <w:rPr/>
              <w:t xml:space="preserve"> </w:t>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41,244.642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reports the withholding of 8,944 shares of stock to cover taxes due upon the vesting of previously reported restricted stock awards whose vesting was accelerated upon the Reporting Person's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H. Wohl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3126" TargetMode="External"/><Relationship Id="rId5" Type="http://schemas.openxmlformats.org/officeDocument/2006/relationships/hyperlink" Target="http://www.sec.gov/cgi-bin/browse-edgar?action=getcompany&amp;CIK=000035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3217</Characters>
  <CharactersWithSpaces>3752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