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1.jpeg" ContentType="image/jpeg"/>
  <Override PartName="/word/media/image11.jpeg" ContentType="image/jpeg"/>
  <Override PartName="/word/media/image28.jpeg" ContentType="image/jpeg"/>
  <Override PartName="/word/media/image1.gif" ContentType="image/gif"/>
  <Override PartName="/word/media/image7.jpeg" ContentType="image/jpeg"/>
  <Override PartName="/word/media/image38.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3.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35.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32"/>
        </w:rPr>
      </w:pPr>
      <w:bookmarkStart w:id="0" w:name="cvbf-20261021.htm"/>
      <w:bookmarkStart w:id="1" w:name="kscvbf20261021"/>
      <w:bookmarkEnd w:id="0"/>
      <w:bookmarkEnd w:id="1"/>
      <w:r>
        <w:rPr>
          <w:rFonts w:ascii="Times New Roman" w:hAnsi="Times New Roman"/>
          <w:b/>
          <w:color w:val="000000"/>
          <w:sz w:val="32"/>
        </w:rPr>
        <w:t>UNITED STATES</w:t>
        <w:br/>
      </w:r>
      <w:r>
        <w:rPr>
          <w:rFonts w:ascii="Times New Roman" w:hAnsi="Times New Roman"/>
          <w:b/>
          <w:smallCaps/>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 the Securities Exchange Act of 1934</w:t>
      </w:r>
    </w:p>
    <w:p>
      <w:pPr>
        <w:pStyle w:val="TextBody"/>
        <w:bidi w:val="0"/>
        <w:jc w:val="left"/>
        <w:rPr/>
      </w:pPr>
      <w:r>
        <w:rPr/>
        <w:t> </w:t>
      </w:r>
    </w:p>
    <w:tbl>
      <w:tblPr>
        <w:tblW w:w="6691" w:type="dxa"/>
        <w:jc w:val="left"/>
        <w:tblInd w:w="0" w:type="dxa"/>
        <w:tblLayout w:type="fixed"/>
        <w:tblCellMar>
          <w:top w:w="28" w:type="dxa"/>
          <w:left w:w="28" w:type="dxa"/>
          <w:bottom w:w="28" w:type="dxa"/>
          <w:right w:w="28" w:type="dxa"/>
        </w:tblCellMar>
      </w:tblPr>
      <w:tblGrid>
        <w:gridCol w:w="6691"/>
      </w:tblGrid>
      <w:tr>
        <w:trPr/>
        <w:tc>
          <w:tcPr>
            <w:tcW w:w="6691" w:type="dxa"/>
            <w:tcBorders/>
            <w:vAlign w:val="center"/>
          </w:tcPr>
          <w:p>
            <w:pPr>
              <w:pStyle w:val="TableContents"/>
              <w:bidi w:val="0"/>
              <w:spacing w:before="0" w:after="283"/>
              <w:jc w:val="left"/>
              <w:rPr>
                <w:sz w:val="4"/>
                <w:szCs w:val="4"/>
              </w:rPr>
            </w:pPr>
            <w:r>
              <w:rPr>
                <w:sz w:val="4"/>
                <w:szCs w:val="4"/>
              </w:rPr>
            </w:r>
          </w:p>
        </w:tc>
      </w:tr>
      <w:tr>
        <w:trPr/>
        <w:tc>
          <w:tcPr>
            <w:tcW w:w="6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Date of Report (Date of earliest event reported):</w:t>
            </w:r>
            <w:r>
              <w:rPr>
                <w:rFonts w:ascii="Times New Roman" w:hAnsi="Times New Roman"/>
                <w:color w:val="000000"/>
                <w:sz w:val="22"/>
              </w:rPr>
              <w:t xml:space="preserve"> </w:t>
            </w:r>
            <w:r>
              <w:rPr>
                <w:rFonts w:ascii="Times New Roman" w:hAnsi="Times New Roman"/>
                <w:b/>
                <w:color w:val="000000"/>
                <w:sz w:val="22"/>
              </w:rPr>
              <w:t>October 21, 2026</w:t>
            </w:r>
          </w:p>
        </w:tc>
      </w:tr>
    </w:tbl>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4"/>
              </w:rPr>
            </w:pPr>
            <w:r>
              <w:rPr>
                <w:rFonts w:ascii="Times New Roman" w:hAnsi="Times New Roman"/>
                <w:b/>
                <w:color w:val="000000"/>
                <w:sz w:val="44"/>
              </w:rPr>
              <w:t>CVB FINANCIAL CORP.</w:t>
            </w:r>
          </w:p>
        </w:tc>
      </w:tr>
    </w:tbl>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left"/>
        <w:rPr/>
      </w:pPr>
      <w:r>
        <w:rPr/>
        <w:t> </w:t>
      </w:r>
    </w:p>
    <w:tbl>
      <w:tblPr>
        <w:tblW w:w="7743" w:type="dxa"/>
        <w:jc w:val="left"/>
        <w:tblInd w:w="0" w:type="dxa"/>
        <w:tblLayout w:type="fixed"/>
        <w:tblCellMar>
          <w:top w:w="28" w:type="dxa"/>
          <w:left w:w="28" w:type="dxa"/>
          <w:bottom w:w="28" w:type="dxa"/>
          <w:right w:w="28" w:type="dxa"/>
        </w:tblCellMar>
      </w:tblPr>
      <w:tblGrid>
        <w:gridCol w:w="2446"/>
        <w:gridCol w:w="2116"/>
        <w:gridCol w:w="3181"/>
      </w:tblGrid>
      <w:tr>
        <w:trPr/>
        <w:tc>
          <w:tcPr>
            <w:tcW w:w="24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000-10140</w:t>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95-3629339</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(State or other jurisdiction of</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(Commission file number)</w:t>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 identification number)</w:t>
            </w:r>
          </w:p>
        </w:tc>
      </w:tr>
    </w:tbl>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4561"/>
        <w:gridCol w:w="146"/>
        <w:gridCol w:w="9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701 North Haven Ave., Suite 350 Ontario,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91764</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(909) 980-4030</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rFonts w:ascii="Times New Roman" w:hAnsi="Times New Roman"/>
          <w:color w:val="000000"/>
          <w:sz w:val="20"/>
        </w:rPr>
      </w:pPr>
      <w:r>
        <w:rPr>
          <w:rFonts w:ascii="Times New Roman" w:hAnsi="Times New Roman"/>
          <w:color w:val="000000"/>
          <w:sz w:val="20"/>
        </w:rPr>
        <w:br/>
        <w:t>[ ] Written communications pursuant to Rule 425 under the Securities Act (17 CFR 230.425)</w:t>
      </w:r>
    </w:p>
    <w:p>
      <w:pPr>
        <w:pStyle w:val="TextBody"/>
        <w:bidi w:val="0"/>
        <w:jc w:val="left"/>
        <w:rPr>
          <w:rFonts w:ascii="Times New Roman" w:hAnsi="Times New Roman"/>
          <w:color w:val="000000"/>
          <w:sz w:val="20"/>
        </w:rPr>
      </w:pPr>
      <w:r>
        <w:rPr>
          <w:rFonts w:ascii="Times New Roman" w:hAnsi="Times New Roman"/>
          <w:color w:val="000000"/>
          <w:sz w:val="20"/>
        </w:rPr>
        <w:br/>
        <w:t>[ ] Soliciting material pursuant to Rule 14a-12 under the Exchange Act (17 CFR 240.14a-12)</w:t>
        <w:br/>
        <w:t> </w:t>
      </w:r>
    </w:p>
    <w:p>
      <w:pPr>
        <w:pStyle w:val="TextBody"/>
        <w:bidi w:val="0"/>
        <w:jc w:val="left"/>
        <w:rPr>
          <w:rFonts w:ascii="Times New Roman" w:hAnsi="Times New Roman"/>
          <w:color w:val="000000"/>
          <w:sz w:val="20"/>
        </w:rPr>
      </w:pPr>
      <w:r>
        <w:rPr>
          <w:rFonts w:ascii="Times New Roman" w:hAnsi="Times New Roman"/>
          <w:color w:val="000000"/>
          <w:sz w:val="20"/>
        </w:rPr>
        <w:t>[ ] Pre-commencement communications pursuant to Rule 14d-2(b) under the Exchange Act (17 CFR 240.14d-2(b))</w:t>
        <w:br/>
        <w:t> </w:t>
      </w:r>
    </w:p>
    <w:p>
      <w:pPr>
        <w:pStyle w:val="TextBody"/>
        <w:bidi w:val="0"/>
        <w:jc w:val="left"/>
        <w:rPr>
          <w:rFonts w:ascii="Times New Roman" w:hAnsi="Times New Roman"/>
          <w:color w:val="000000"/>
          <w:sz w:val="20"/>
        </w:rPr>
      </w:pPr>
      <w:r>
        <w:rPr>
          <w:rFonts w:ascii="Times New Roman" w:hAnsi="Times New Roman"/>
          <w:color w:val="000000"/>
          <w:sz w:val="20"/>
        </w:rPr>
        <w:t>[ ] Pre-commencement communications pursuant to Rule 13e-4(c) under the Exchange Act (17 CFR 240.13e-4(c))</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536"/>
        <w:gridCol w:w="1696"/>
        <w:gridCol w:w="3826"/>
      </w:tblGrid>
      <w:tr>
        <w:trPr/>
        <w:tc>
          <w:tcPr>
            <w:tcW w:w="25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5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CVBF</w:t>
            </w:r>
          </w:p>
        </w:tc>
        <w:tc>
          <w:tcPr>
            <w:tcW w:w="3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21, 2026, CVB Financial Corp. (the “Company”) issued a press release announcing the financial results for the quarter ended September 30, 2026, and information relating to its quarterly conference call and webcast. A copy of this press release is attached hereto as Exhibit 99.1 and is furnished pursuant to Item 2.02. The information in this report (including Exhibit 99.1) shall not be deemed to be “filed” for the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except as expressly set forth by specific reference in such filing. </w:t>
      </w:r>
    </w:p>
    <w:p>
      <w:pPr>
        <w:pStyle w:val="TextBody"/>
        <w:bidi w:val="0"/>
        <w:jc w:val="both"/>
        <w:rPr/>
      </w:pPr>
      <w:r>
        <w:rPr/>
        <w:t> </w:t>
      </w:r>
    </w:p>
    <w:p>
      <w:pPr>
        <w:pStyle w:val="Heading2"/>
        <w:bidi w:val="0"/>
        <w:spacing w:before="120" w:after="20"/>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spacing w:before="100" w:after="20"/>
        <w:jc w:val="both"/>
        <w:rPr>
          <w:rFonts w:ascii="Times New Roman" w:hAnsi="Times New Roman"/>
          <w:sz w:val="20"/>
        </w:rPr>
      </w:pPr>
      <w:r>
        <w:rPr>
          <w:rFonts w:ascii="Times New Roman" w:hAnsi="Times New Roman"/>
          <w:b w:val="false"/>
          <w:color w:val="000000"/>
          <w:sz w:val="20"/>
        </w:rPr>
        <w:t xml:space="preserve">The Company's Chief Executive Officer, President and Chief Financial Officer will make presentations to institutional investors at various meetings throughout the fourth quarter of 2026. The Company's October 2026 investor presentation, updated to reflect third quarter 2026 financial information, is included as Exhibit 99.2 of this report and is furnished pursuant to Item 7.01. The information in this report (including Exhibit 99.2) shall not be deemed to be “filed” for the purposes of Section 18 of the Exchange Act, or otherwise subject to the liability of that section, and shall not be incorporated by reference into any registration statement or other documents filed under the Securities Act, except as expressly set forth by the specific reference in such filing. A copy of the investor presentation will also be available on the Company's website at </w:t>
      </w:r>
      <w:r>
        <w:rPr>
          <w:rFonts w:ascii="Times New Roman" w:hAnsi="Times New Roman"/>
          <w:sz w:val="20"/>
        </w:rPr>
        <w:t>www.cbbank.com</w:t>
      </w:r>
      <w:r>
        <w:rPr>
          <w:rFonts w:ascii="Times New Roman" w:hAnsi="Times New Roman"/>
          <w:color w:val="000000"/>
          <w:sz w:val="20"/>
        </w:rPr>
        <w:t xml:space="preserve"> </w:t>
      </w:r>
      <w:r>
        <w:rPr>
          <w:rFonts w:ascii="Times New Roman" w:hAnsi="Times New Roman"/>
          <w:b w:val="false"/>
          <w:color w:val="000000"/>
          <w:sz w:val="20"/>
        </w:rPr>
        <w:t>under the “Investors” tab.</w:t>
      </w:r>
    </w:p>
    <w:p>
      <w:pPr>
        <w:pStyle w:val="Heading2"/>
        <w:bidi w:val="0"/>
        <w:spacing w:before="3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67" w:type="dxa"/>
        <w:jc w:val="left"/>
        <w:tblInd w:w="0" w:type="dxa"/>
        <w:tblLayout w:type="fixed"/>
        <w:tblCellMar>
          <w:top w:w="28" w:type="dxa"/>
          <w:left w:w="28" w:type="dxa"/>
          <w:bottom w:w="28" w:type="dxa"/>
          <w:right w:w="28" w:type="dxa"/>
        </w:tblCellMar>
      </w:tblPr>
      <w:tblGrid>
        <w:gridCol w:w="106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pPr>
            <w:hyperlink w:anchor="cvbf-ex99_1.htm">
              <w:r>
                <w:rPr>
                  <w:rStyle w:val="InternetLink"/>
                  <w:rFonts w:ascii="Times New Roman" w:hAnsi="Times New Roman"/>
                  <w:color w:val="0000FF"/>
                  <w:sz w:val="20"/>
                  <w:u w:val="single"/>
                </w:rPr>
                <w:t>99.1</w:t>
              </w:r>
            </w:hyperlink>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vbf-ex99_1.htm">
              <w:r>
                <w:rPr>
                  <w:rStyle w:val="InternetLink"/>
                  <w:rFonts w:ascii="Times New Roman" w:hAnsi="Times New Roman"/>
                  <w:color w:val="0000FF"/>
                  <w:sz w:val="20"/>
                  <w:u w:val="single"/>
                </w:rPr>
                <w:t>CVB Financial Corp. Press Release dated October 21,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pPr>
            <w:hyperlink w:anchor="cvbf-ex99_2.htm">
              <w:r>
                <w:rPr>
                  <w:rStyle w:val="InternetLink"/>
                  <w:rFonts w:ascii="Times New Roman" w:hAnsi="Times New Roman"/>
                  <w:color w:val="0000FF"/>
                  <w:sz w:val="20"/>
                  <w:u w:val="single"/>
                </w:rPr>
                <w:t>99.2</w:t>
              </w:r>
            </w:hyperlink>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vbf-ex99_2.htm">
              <w:r>
                <w:rPr>
                  <w:rStyle w:val="InternetLink"/>
                  <w:rFonts w:ascii="Times New Roman" w:hAnsi="Times New Roman"/>
                  <w:color w:val="0000FF"/>
                  <w:sz w:val="20"/>
                  <w:u w:val="single"/>
                </w:rPr>
                <w:t>CVB Financial Corp. October 2026 Investor Presentation</w:t>
              </w:r>
            </w:hyperlink>
          </w:p>
        </w:tc>
      </w:tr>
      <w:tr>
        <w:trPr/>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5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CVB FINANCIAL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 Allen Nicholson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vbf-ex99_1.htm"/>
      <w:bookmarkStart w:id="3" w:name="kscvbfex99_1"/>
      <w:bookmarkEnd w:id="2"/>
      <w:bookmarkEnd w:id="3"/>
      <w:r>
        <w:rPr/>
        <w:t> </w:t>
      </w:r>
      <w:r>
        <w:br w:type="page"/>
      </w:r>
    </w:p>
    <w:p>
      <w:pPr>
        <w:pStyle w:val="TextBody"/>
        <w:bidi w:val="0"/>
        <w:jc w:val="left"/>
        <w:rPr/>
      </w:pPr>
      <w:r>
        <w:rPr/>
        <w:t> </w:t>
      </w:r>
    </w:p>
    <w:p>
      <w:pPr>
        <w:pStyle w:val="TextBody"/>
        <w:bidi w:val="0"/>
        <w:jc w:val="right"/>
        <w:rPr>
          <w:rFonts w:ascii="sans-serif" w:hAnsi="sans-serif"/>
          <w:b/>
          <w:color w:val="000000"/>
          <w:sz w:val="22"/>
        </w:rPr>
      </w:pPr>
      <w:r>
        <w:rPr>
          <w:rFonts w:ascii="sans-serif" w:hAnsi="sans-serif"/>
          <w:b/>
          <w:color w:val="000000"/>
          <w:sz w:val="22"/>
        </w:rPr>
        <w:t>Exhibit 99.1</w:t>
      </w:r>
    </w:p>
    <w:p>
      <w:pPr>
        <w:pStyle w:val="TextBody"/>
        <w:bidi w:val="0"/>
        <w:jc w:val="left"/>
        <w:rPr/>
      </w:pPr>
      <w:r>
        <w:rPr/>
        <w:t> </w:t>
      </w:r>
    </w:p>
    <w:p>
      <w:pPr>
        <w:pStyle w:val="TextBody"/>
        <w:bidi w:val="0"/>
        <w:jc w:val="right"/>
        <w:rPr/>
      </w:pPr>
      <w:r>
        <w:rPr/>
        <w:drawing>
          <wp:inline distT="0" distB="0" distL="0" distR="0">
            <wp:extent cx="1838325"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1381125"/>
                    </a:xfrm>
                    <a:prstGeom prst="rect">
                      <a:avLst/>
                    </a:prstGeom>
                  </pic:spPr>
                </pic:pic>
              </a:graphicData>
            </a:graphic>
          </wp:inline>
        </w:drawing>
      </w:r>
    </w:p>
    <w:p>
      <w:pPr>
        <w:pStyle w:val="TextBody"/>
        <w:bidi w:val="0"/>
        <w:jc w:val="left"/>
        <w:rPr/>
      </w:pPr>
      <w:r>
        <w:rPr/>
        <w:t> </w:t>
      </w:r>
    </w:p>
    <w:tbl>
      <w:tblPr>
        <w:tblW w:w="7547" w:type="dxa"/>
        <w:jc w:val="left"/>
        <w:tblInd w:w="0" w:type="dxa"/>
        <w:tblLayout w:type="fixed"/>
        <w:tblCellMar>
          <w:top w:w="28" w:type="dxa"/>
          <w:left w:w="28" w:type="dxa"/>
          <w:bottom w:w="28" w:type="dxa"/>
          <w:right w:w="28" w:type="dxa"/>
        </w:tblCellMar>
      </w:tblPr>
      <w:tblGrid>
        <w:gridCol w:w="3616"/>
        <w:gridCol w:w="3931"/>
      </w:tblGrid>
      <w:tr>
        <w:trPr/>
        <w:tc>
          <w:tcPr>
            <w:tcW w:w="361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7"/>
              </w:rPr>
            </w:pPr>
            <w:r>
              <w:rPr>
                <w:rFonts w:ascii="sans-serif" w:hAnsi="sans-serif"/>
                <w:b/>
                <w:color w:val="000000"/>
                <w:sz w:val="27"/>
              </w:rPr>
              <w:t>Press Release</w:t>
            </w:r>
          </w:p>
        </w:tc>
        <w:tc>
          <w:tcPr>
            <w:tcW w:w="3931" w:type="dxa"/>
            <w:tcBorders/>
            <w:tcMar>
              <w:top w:w="0" w:type="dxa"/>
              <w:left w:w="0" w:type="dxa"/>
              <w:bottom w:w="0" w:type="dxa"/>
              <w:right w:w="0" w:type="dxa"/>
            </w:tcMar>
            <w:vAlign w:val="center"/>
          </w:tcPr>
          <w:p>
            <w:pPr>
              <w:pStyle w:val="TableContents"/>
              <w:bidi w:val="0"/>
              <w:spacing w:before="0" w:after="283"/>
              <w:jc w:val="right"/>
              <w:rPr>
                <w:rFonts w:ascii="sans-serif" w:hAnsi="sans-serif"/>
                <w:sz w:val="27"/>
              </w:rPr>
            </w:pPr>
            <w:r>
              <w:rPr>
                <w:rFonts w:ascii="sans-serif" w:hAnsi="sans-serif"/>
                <w:b/>
                <w:color w:val="000000"/>
                <w:sz w:val="27"/>
              </w:rPr>
              <w:t xml:space="preserve">Contact: </w:t>
            </w:r>
            <w:r>
              <w:rPr>
                <w:rFonts w:ascii="sans-serif" w:hAnsi="sans-serif"/>
                <w:b/>
                <w:sz w:val="27"/>
              </w:rPr>
              <w:t>David A. Brager</w:t>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7"/>
              </w:rPr>
            </w:pPr>
            <w:r>
              <w:rPr>
                <w:rFonts w:ascii="sans-serif" w:hAnsi="sans-serif"/>
                <w:b/>
                <w:i/>
                <w:color w:val="000000"/>
                <w:sz w:val="27"/>
              </w:rPr>
              <w:t>For Immediate Release</w:t>
            </w:r>
          </w:p>
        </w:tc>
        <w:tc>
          <w:tcPr>
            <w:tcW w:w="393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7"/>
              </w:rPr>
            </w:pPr>
            <w:r>
              <w:rPr>
                <w:rFonts w:ascii="sans-serif" w:hAnsi="sans-serif"/>
                <w:b/>
                <w:color w:val="000000"/>
                <w:sz w:val="27"/>
              </w:rPr>
              <w:t>Chief Executive Officer</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7"/>
              </w:rPr>
            </w:pPr>
            <w:r>
              <w:rPr>
                <w:rFonts w:ascii="sans-serif" w:hAnsi="sans-serif"/>
                <w:b/>
                <w:color w:val="000000"/>
                <w:sz w:val="27"/>
              </w:rPr>
              <w:t>(909) 980-4030</w:t>
            </w:r>
          </w:p>
        </w:tc>
      </w:tr>
    </w:tbl>
    <w:p>
      <w:pPr>
        <w:pStyle w:val="TextBody"/>
        <w:bidi w:val="0"/>
        <w:jc w:val="left"/>
        <w:rPr>
          <w:rFonts w:ascii="sans-serif" w:hAnsi="sans-serif"/>
          <w:b/>
          <w:color w:val="000000"/>
          <w:sz w:val="27"/>
        </w:rPr>
      </w:pPr>
      <w:r>
        <w:rPr>
          <w:rFonts w:ascii="sans-serif" w:hAnsi="sans-serif"/>
          <w:b/>
          <w:color w:val="000000"/>
          <w:sz w:val="27"/>
        </w:rPr>
        <w:t>CVB Financial Corp. Reports Earnings for the Third Quarter 2026</w:t>
      </w:r>
    </w:p>
    <w:p>
      <w:pPr>
        <w:pStyle w:val="TextBody"/>
        <w:bidi w:val="0"/>
        <w:jc w:val="left"/>
        <w:rPr>
          <w:rFonts w:ascii="sans-serif" w:hAnsi="sans-serif"/>
          <w:b/>
          <w:color w:val="000000"/>
          <w:sz w:val="23"/>
        </w:rPr>
      </w:pPr>
      <w:r>
        <w:rPr>
          <w:rFonts w:ascii="sans-serif" w:hAnsi="sans-serif"/>
          <w:b/>
          <w:color w:val="000000"/>
          <w:sz w:val="23"/>
        </w:rPr>
        <w:t>Third Quarter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 xml:space="preserve">Net earnings of $78.1 million, or $0.44 per share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Net interest margin expanded to 3.89%</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Return on average assets (“ROAA”) of 1.48%</w:t>
      </w:r>
    </w:p>
    <w:p>
      <w:pPr>
        <w:pStyle w:val="TextBody"/>
        <w:bidi w:val="0"/>
        <w:spacing w:before="0" w:after="0"/>
        <w:jc w:val="left"/>
        <w:rPr>
          <w:color w:val="000000"/>
        </w:rPr>
      </w:pPr>
      <w:r>
        <w:rPr>
          <w:color w:val="000000"/>
        </w:rPr>
        <w:t>•</w:t>
      </w:r>
    </w:p>
    <w:p>
      <w:pPr>
        <w:pStyle w:val="TextBody"/>
        <w:bidi w:val="0"/>
        <w:spacing w:lineRule="auto" w:line="360"/>
        <w:jc w:val="left"/>
        <w:rPr>
          <w:sz w:val="22"/>
        </w:rPr>
      </w:pPr>
      <w:r>
        <w:rPr>
          <w:rFonts w:ascii="sans-serif" w:hAnsi="sans-serif"/>
          <w:b/>
          <w:color w:val="000000"/>
          <w:sz w:val="23"/>
        </w:rPr>
        <w:t>R</w:t>
      </w:r>
      <w:r>
        <w:rPr>
          <w:rFonts w:ascii="sans-serif" w:hAnsi="sans-serif"/>
          <w:b/>
          <w:color w:val="000000"/>
          <w:sz w:val="22"/>
        </w:rPr>
        <w:t>eturn on average tangible common equity (“ROATCE”)</w:t>
      </w:r>
      <w:r>
        <w:rPr>
          <w:rFonts w:ascii="sans-serif" w:hAnsi="sans-serif"/>
          <w:b/>
          <w:color w:val="000000"/>
          <w:sz w:val="15"/>
        </w:rPr>
        <w:t>1</w:t>
      </w:r>
      <w:r>
        <w:rPr>
          <w:color w:val="000000"/>
          <w:sz w:val="22"/>
        </w:rPr>
        <w:t xml:space="preserve"> </w:t>
      </w:r>
      <w:r>
        <w:rPr>
          <w:rFonts w:ascii="sans-serif" w:hAnsi="sans-serif"/>
          <w:b/>
          <w:color w:val="000000"/>
          <w:sz w:val="23"/>
        </w:rPr>
        <w:t>of 16.22%</w:t>
      </w:r>
    </w:p>
    <w:p>
      <w:pPr>
        <w:pStyle w:val="TextBody"/>
        <w:bidi w:val="0"/>
        <w:jc w:val="left"/>
        <w:rPr/>
      </w:pPr>
      <w:r>
        <w:rPr/>
        <w:t> </w:t>
      </w:r>
    </w:p>
    <w:p>
      <w:pPr>
        <w:pStyle w:val="TextBody"/>
        <w:bidi w:val="0"/>
        <w:jc w:val="both"/>
        <w:rPr>
          <w:rFonts w:ascii="sans-serif" w:hAnsi="sans-serif"/>
          <w:sz w:val="22"/>
        </w:rPr>
      </w:pPr>
      <w:r>
        <w:rPr>
          <w:rFonts w:ascii="sans-serif" w:hAnsi="sans-serif"/>
          <w:b/>
          <w:color w:val="000000"/>
          <w:sz w:val="22"/>
        </w:rPr>
        <w:t xml:space="preserve">Ontario, CA, October 21, 2026 </w:t>
      </w:r>
      <w:r>
        <w:rPr>
          <w:rFonts w:ascii="sans-serif" w:hAnsi="sans-serif"/>
          <w:color w:val="000000"/>
          <w:sz w:val="22"/>
        </w:rPr>
        <w:t>- CVB Financial Corp. (NASDAQ: CVBF) (“CVBF” or the “Company”) and its subsidiary, Citizens Business Bank, National Association (“Citizens” or the “Bank”), announced earnings for the quarter ended September 30, 2026.</w:t>
      </w:r>
    </w:p>
    <w:p>
      <w:pPr>
        <w:pStyle w:val="TextBody"/>
        <w:bidi w:val="0"/>
        <w:jc w:val="both"/>
        <w:rPr>
          <w:rFonts w:ascii="sans-serif" w:hAnsi="sans-serif"/>
          <w:color w:val="000000"/>
          <w:sz w:val="22"/>
        </w:rPr>
      </w:pPr>
      <w:r>
        <w:rPr>
          <w:rFonts w:ascii="sans-serif" w:hAnsi="sans-serif"/>
          <w:color w:val="000000"/>
          <w:sz w:val="22"/>
        </w:rPr>
        <w:t>CVB Financial Corp. reported net income of $78.1 million for the quarter ended September 30, 2026, compared with $48.3 million for the second quarter of 2026 and $52.6 million for the third quarter of 2025. Diluted earnings per share were $0.44 for the third quarter, compared to $0.29 for the prior quarter and $0.38 for the same period last year.</w:t>
      </w:r>
    </w:p>
    <w:p>
      <w:pPr>
        <w:pStyle w:val="TextBody"/>
        <w:bidi w:val="0"/>
        <w:spacing w:lineRule="auto" w:line="360"/>
        <w:jc w:val="both"/>
        <w:rPr>
          <w:rFonts w:ascii="sans-serif" w:hAnsi="sans-serif"/>
          <w:sz w:val="15"/>
        </w:rPr>
      </w:pPr>
      <w:r>
        <w:rPr>
          <w:rFonts w:ascii="sans-serif" w:hAnsi="sans-serif"/>
          <w:color w:val="000000"/>
          <w:sz w:val="22"/>
        </w:rPr>
        <w:t>For the third quarter of 2026, annualized return on average equity (“ROAE”) was 9.70%, annualized ROATCE</w:t>
      </w:r>
      <w:r>
        <w:rPr>
          <w:rFonts w:ascii="sans-serif" w:hAnsi="sans-serif"/>
          <w:color w:val="000000"/>
          <w:sz w:val="15"/>
        </w:rPr>
        <w:t xml:space="preserve">1 </w:t>
      </w:r>
      <w:r>
        <w:rPr>
          <w:rFonts w:ascii="sans-serif" w:hAnsi="sans-serif"/>
          <w:color w:val="000000"/>
          <w:sz w:val="22"/>
        </w:rPr>
        <w:t>was 16.22%, and annualized ROAA was 1.48%.</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David Brager, Chief Executive Officer of the Company, commented, “Our third-quarter results reflect solid financial performance, increased profitability, net interest margin expansion and disciplined expense management following the Heritage Bank of Commerce acquisition. The third quarter represented our 198th consecutive quarter of profitability. We remain focused on the integration, serving our customers and supporting our communities and associates as we extend our relationship-focused banking model across California’s major economic centers. We are grateful for the continued trust of our customers and the dedication of our associates.”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sans-serif" w:hAnsi="sans-serif"/>
          <w:color w:val="000000"/>
          <w:sz w:val="20"/>
        </w:rPr>
        <w:t>Non-U.S. generally accepted accounting principles (“GAAP”) financial measures. See GAAP to non–GAAP reconciliations of the measures are set forth at the last section of this press release.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4"/>
        </w:rPr>
      </w:pPr>
      <w:r>
        <w:rPr>
          <w:rFonts w:ascii="sans-serif" w:hAnsi="sans-serif"/>
          <w:b/>
          <w:color w:val="000000"/>
          <w:sz w:val="24"/>
        </w:rPr>
        <w:t>Highlights for the Third Quarter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Earnings per share growth of 15.8% from Q3 of 2025</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interest income increased $16.7 million, or 10.3% from Q2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interest margin increased 17 basis points to 3.89% from Q2 of 2026</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sans-serif" w:hAnsi="sans-serif"/>
          <w:sz w:val="15"/>
        </w:rPr>
      </w:pPr>
      <w:r>
        <w:rPr>
          <w:rFonts w:ascii="sans-serif" w:hAnsi="sans-serif"/>
          <w:color w:val="000000"/>
          <w:sz w:val="22"/>
        </w:rPr>
        <w:t>Adjusted ROAA of 1.59%</w:t>
      </w:r>
      <w:r>
        <w:rPr>
          <w:rFonts w:ascii="sans-serif" w:hAnsi="sans-serif"/>
          <w:color w:val="000000"/>
          <w:sz w:val="15"/>
        </w:rPr>
        <w:t>2</w:t>
      </w:r>
      <w:r>
        <w:rPr>
          <w:rFonts w:ascii="sans-serif" w:hAnsi="sans-serif"/>
          <w:color w:val="000000"/>
          <w:sz w:val="22"/>
        </w:rPr>
        <w:t>, excluding acquisition expense</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sans-serif" w:hAnsi="sans-serif"/>
          <w:sz w:val="15"/>
        </w:rPr>
      </w:pPr>
      <w:r>
        <w:rPr>
          <w:rFonts w:ascii="sans-serif" w:hAnsi="sans-serif"/>
          <w:color w:val="000000"/>
          <w:sz w:val="22"/>
        </w:rPr>
        <w:t>Adjusted ROATCE of 17.38%</w:t>
      </w:r>
      <w:r>
        <w:rPr>
          <w:rFonts w:ascii="sans-serif" w:hAnsi="sans-serif"/>
          <w:color w:val="000000"/>
          <w:sz w:val="15"/>
        </w:rPr>
        <w:t>2</w:t>
      </w:r>
      <w:r>
        <w:rPr>
          <w:rFonts w:ascii="sans-serif" w:hAnsi="sans-serif"/>
          <w:color w:val="000000"/>
          <w:sz w:val="22"/>
        </w:rPr>
        <w:t>, excluding acquisition expense</w:t>
      </w:r>
    </w:p>
    <w:p>
      <w:pPr>
        <w:pStyle w:val="TextBody"/>
        <w:bidi w:val="0"/>
        <w:spacing w:before="0" w:after="0"/>
        <w:jc w:val="left"/>
        <w:rPr>
          <w:color w:val="000000"/>
        </w:rPr>
      </w:pPr>
      <w:r>
        <w:rPr>
          <w:color w:val="000000"/>
        </w:rPr>
        <w:t>•</w:t>
      </w:r>
    </w:p>
    <w:p>
      <w:pPr>
        <w:pStyle w:val="TextBody"/>
        <w:bidi w:val="0"/>
        <w:spacing w:lineRule="auto" w:line="360" w:before="0" w:after="0"/>
        <w:jc w:val="left"/>
        <w:rPr>
          <w:sz w:val="22"/>
        </w:rPr>
      </w:pPr>
      <w:r>
        <w:rPr>
          <w:rFonts w:ascii="sans-serif" w:hAnsi="sans-serif"/>
          <w:color w:val="000000"/>
          <w:sz w:val="22"/>
        </w:rPr>
        <w:t>Adjusted efficiency ratio</w:t>
      </w:r>
      <w:r>
        <w:rPr>
          <w:rFonts w:ascii="sans-serif" w:hAnsi="sans-serif"/>
          <w:color w:val="000000"/>
          <w:sz w:val="15"/>
        </w:rPr>
        <w:t>2</w:t>
      </w:r>
      <w:r>
        <w:rPr>
          <w:color w:val="000000"/>
          <w:sz w:val="22"/>
        </w:rPr>
        <w:t xml:space="preserve"> </w:t>
      </w:r>
      <w:r>
        <w:rPr>
          <w:rFonts w:ascii="sans-serif" w:hAnsi="sans-serif"/>
          <w:color w:val="000000"/>
          <w:sz w:val="22"/>
        </w:rPr>
        <w:t>of 42.10%, excluding acquisition expense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Acquisition related expenses declined to $8.1 million, compared with $31.4 million for Q2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Loans increased $105.0 million, or 0.87% from the end of Q2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Average loans increased by $476.7 million, 4.13% from Q2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Recapture of credit losses of $1.0 million, compared with provision for credit losses of $1 million in Q3 of 2025</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Average total deposit and customer repurchase agreements increased by $577.9 million, or 3.59% from Q2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Noninterest-bearing deposits represented 53.5% of total deposits at quarter end</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Repurchased $17.5 million of common stock during Q3 of 2026, bringing year-to-date repurchases to $22.6 million, or 1.0 million shares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INCOME STATEMENT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0"/>
        <w:gridCol w:w="266"/>
        <w:gridCol w:w="1045"/>
        <w:gridCol w:w="271"/>
        <w:gridCol w:w="146"/>
        <w:gridCol w:w="226"/>
        <w:gridCol w:w="888"/>
        <w:gridCol w:w="271"/>
        <w:gridCol w:w="146"/>
        <w:gridCol w:w="265"/>
        <w:gridCol w:w="1042"/>
        <w:gridCol w:w="271"/>
        <w:gridCol w:w="146"/>
        <w:gridCol w:w="267"/>
        <w:gridCol w:w="1050"/>
        <w:gridCol w:w="271"/>
        <w:gridCol w:w="146"/>
        <w:gridCol w:w="267"/>
        <w:gridCol w:w="1050"/>
        <w:gridCol w:w="421"/>
      </w:tblGrid>
      <w:tr>
        <w:trPr/>
        <w:tc>
          <w:tcPr>
            <w:tcW w:w="17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 except per share amounts)</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337,629</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(Recapture of) provision for credit losses</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income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43,978</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175,276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53,077</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Net earnings</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152,254</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per common share:</w:t>
            </w:r>
          </w:p>
        </w:tc>
        <w:tc>
          <w:tcPr>
            <w:tcW w:w="13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Basic</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Diluted</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18"/>
              </w:rPr>
              <w:t xml:space="preserve">NIM - tax equivalent (“TE”) </w:t>
            </w:r>
            <w:r>
              <w:rPr>
                <w:rFonts w:ascii="sans-serif" w:hAnsi="sans-serif"/>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ROAA</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ROATCE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4592" w:type="dxa"/>
            <w:gridSpan w:val="7"/>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sans-serif" w:hAnsi="sans-serif"/>
                <w:sz w:val="20"/>
              </w:rPr>
            </w:pPr>
            <w:r>
              <w:rPr>
                <w:rFonts w:ascii="sans-serif" w:hAnsi="sans-serif"/>
                <w:color w:val="000000"/>
                <w:sz w:val="13"/>
              </w:rPr>
              <w:t>[1]</w:t>
            </w:r>
            <w:r>
              <w:rPr>
                <w:rFonts w:ascii="sans-serif" w:hAnsi="sans-serif"/>
                <w:color w:val="000000"/>
                <w:sz w:val="20"/>
              </w:rPr>
              <w:t xml:space="preserve"> </w:t>
            </w:r>
            <w:r>
              <w:rPr>
                <w:rFonts w:ascii="sans-serif" w:hAnsi="sans-serif"/>
                <w:color w:val="000000"/>
                <w:sz w:val="18"/>
              </w:rPr>
              <w:t>Includes tax equivalent (TE) adjustments utilizing a federal statutory rate of 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Net Interest Income</w:t>
      </w:r>
    </w:p>
    <w:p>
      <w:pPr>
        <w:pStyle w:val="TextBody"/>
        <w:bidi w:val="0"/>
        <w:jc w:val="both"/>
        <w:rPr>
          <w:rFonts w:ascii="sans-serif" w:hAnsi="sans-serif"/>
          <w:color w:val="000000"/>
          <w:sz w:val="22"/>
        </w:rPr>
      </w:pPr>
      <w:r>
        <w:rPr>
          <w:rFonts w:ascii="sans-serif" w:hAnsi="sans-serif"/>
          <w:color w:val="000000"/>
          <w:sz w:val="22"/>
        </w:rPr>
        <w:t xml:space="preserve">Net interest income was $179.1 million for the third quarter of 2026, an increase of $16.7 million, or 10.25%, from the second quarter of 2026, and an increase of $63.5 million, or 54.93%, from the third quarter of 2025. The increases in net interest income compared to both periods largely reflect the full quarter impact of the Heritage acquisition, which closed on April 17, 2026. Interest income increased by $18.5 million, or 9.16%, from the second quarter of 2026, while interest expense increased by $1.9 million, or 4.71%, to $41.6 million in the third quarter of 2026. The quarter-over-quarter increase in net interest income was primarily due to a 17 basis point increase in tax equivalent net interest margin and a $891.9 million increase in average interest-earning assets.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sans-serif" w:hAnsi="sans-serif"/>
          <w:color w:val="000000"/>
          <w:sz w:val="20"/>
        </w:rPr>
        <w:t>Non-GAAP financial measures. See GAAP to non–GAAP reconciliations of the measures are set forth at the last section of this press release.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Compared to the third quarter of 2025, the $63.5 million increase in net interest income was primarily attributable to a $70.5 million increase in interest income driven by a $4.58 billion increase in average interest-earning assets and a 47 basis point increase in the yield on average earning assets. The increase in interest income was offset by a $7.0 million increase in interest expense, primarily attributable to a $2.90 billion increase in average interest-bearing deposits and customer repurchase agreements.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Net Interest Margin</w:t>
      </w:r>
    </w:p>
    <w:p>
      <w:pPr>
        <w:pStyle w:val="TextBody"/>
        <w:bidi w:val="0"/>
        <w:jc w:val="both"/>
        <w:rPr>
          <w:rFonts w:ascii="sans-serif" w:hAnsi="sans-serif"/>
          <w:color w:val="000000"/>
          <w:sz w:val="22"/>
        </w:rPr>
      </w:pPr>
      <w:r>
        <w:rPr>
          <w:rFonts w:ascii="sans-serif" w:hAnsi="sans-serif"/>
          <w:color w:val="000000"/>
          <w:sz w:val="22"/>
        </w:rPr>
        <w:t xml:space="preserve">Our tax equivalent net interest margin was 3.89% for the third quarter of 2026, compared to 3.72% for the second quarter of 2026 and 3.33% for the third quarter of 2025. The 17 basis point increase in our net interest margin compared to the second quarter of 2026 was primarily attributable to a 16 basis points increase in our average interest-earning assets yield, driven by a 23 basis points increase in our average investment securities yield and a 13 basis points increase in our average loan yield. Discount accretion for acquired loans was approximately $3.3 million in the third quarter of 2026, compared to $3.0 million in the second quarter of 2026. The increase in investment securities yield reflected the Company’s post merger balance sheet optimization strategy, which included repositioning the investment portfolio acquired from Heritage as well as deploying the proceeds from the sale of Heritage’s mortgage loan pools into higher-yielding securities. The increase in average loan yields was primarily driven by the full quarter impact of the higher-yielding acquired assets, including $103.4 million of average factored receivables, which generated an average yield of 17.21% during the quarter. Cost of funds remained stable at 0.96% for the third quarter of 2026, as a four basis point decrease in our cost of deposits from 0.83% in the second quarter to 0.79% in the third quarter of 2026 was offset by increases in Federal Home Loan Bank (“FHLB”) borrowings and associated costs of cash flow hedges that hedged brokered time deposits in prior quarters. </w:t>
      </w:r>
    </w:p>
    <w:p>
      <w:pPr>
        <w:pStyle w:val="TextBody"/>
        <w:bidi w:val="0"/>
        <w:jc w:val="both"/>
        <w:rPr>
          <w:rFonts w:ascii="sans-serif" w:hAnsi="sans-serif"/>
          <w:color w:val="000000"/>
          <w:sz w:val="22"/>
        </w:rPr>
      </w:pPr>
      <w:r>
        <w:rPr>
          <w:rFonts w:ascii="sans-serif" w:hAnsi="sans-serif"/>
          <w:color w:val="000000"/>
          <w:sz w:val="22"/>
        </w:rPr>
        <w:t>Compared to the third quarter of 2025, tax equivalent net interest margin for the third quarter of 2026 increased by 56 basis points, reflecting a 47 basis point increase in the average interest-earning assets yield and a nine basis point decrease in cost of funds. The increase in earning assets yield was primarily due to a 41 basis point increase in average loan yields, due to continuing impact of originating new loans at higher yields compared to the lower yields on principal payments and payoffs of older loans and the impact from the loans acquired from Heritage. The average yield on investment securities increased by 31 basis points from the third quarter of 2025, despite the impact of $1.5 million reduction in interest income from the fair value hedges of our investment securities available-for-sale ("AFS"), which generated a negative carry during the third quarter of 2026 compared to the positive carry recognized in the same quarter last year. Partially offsetting these increases was a 75 basis point lower yield on funds deposited at the Federal Reserve, reflecting the impact of Federal Open Market Committee (“FOMC”) rate cuts during the latter part of 2025. The 25 basis point increase in the federal funds target rate at the end of the third quarter of 2026 had minimal impact on the third quarter’s interest income. Cost of funds decreased to 0.96% in the third quarter of 2026 from 1.05% in the third quarter of 2025. This decrease was driven by a 45 basis point reduction in cost of interest-bearing deposits and a 23 basis point decrease in cost of FHLB advances. Partially offsetting these lower funding costs, was a less favorable deposit mix, as noninterest-bearing deposits declined as a percentage of average total deposits to 52.6% in the third quarter of 2026 from 59.3% in the third quarter of 2025.</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Earning Assets and Deposits</w:t>
      </w:r>
    </w:p>
    <w:p>
      <w:pPr>
        <w:pStyle w:val="TextBody"/>
        <w:bidi w:val="0"/>
        <w:jc w:val="both"/>
        <w:rPr>
          <w:rFonts w:ascii="sans-serif" w:hAnsi="sans-serif"/>
          <w:color w:val="000000"/>
          <w:sz w:val="22"/>
        </w:rPr>
      </w:pPr>
      <w:r>
        <w:rPr>
          <w:rFonts w:ascii="sans-serif" w:hAnsi="sans-serif"/>
          <w:color w:val="000000"/>
          <w:sz w:val="22"/>
        </w:rPr>
        <w:t xml:space="preserve">The increases in average earning assets and average total deposits were primarily attributable to the full quarter’s impact of the Heritage acquisition. On average, earning assets increased by $891.9 million compared to the second quarter of 2026 and increased $4.58 billion compared to the third quarter of 2025. The quarter-over-quarter increase in interest-earning assets was primarily attributable to a $489.6 million increase in investment securities, a $476.7 million increase in average loans, partially offset with a decrease of $77.9 million in average interest-earning deposits at the Federal Reserve. The increase from the third quarter of 2025 in interest-earning assets was primarily attributable to a $3.65 billion increase in average loans, a $924.6 million increase in average investment securities, partially offset by a $45.1 million decrease in average interest-earning deposits at the Federal 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The average balance on noninterest-bearing deposits increased by $330.6 million, or 4.07%, from the second quarter of 2026 and by $1.33 billion, or 18.68%, from the third quarter of 2025. The average balance on interest-bearing deposits and customer repurchase agreements increased $247.2 million from the second quarter of 2026 and $2.86 billion from the third quarter of 2025. On average, noninterest-bearing deposits were 52.6% of total deposits for the third quarter of 2026, compared to 52.3% for the second quarter of 2026 and 59.3% for the third quarter of 2025.</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SELECTED FINANCIAL HIGHLIGHTS</w:t>
      </w:r>
    </w:p>
    <w:p>
      <w:pPr>
        <w:pStyle w:val="TextBody"/>
        <w:bidi w:val="0"/>
        <w:jc w:val="both"/>
        <w:rPr/>
      </w:pPr>
      <w:r>
        <w:rPr/>
        <w:t> </w:t>
      </w:r>
    </w:p>
    <w:tbl>
      <w:tblPr>
        <w:tblW w:w="10959" w:type="dxa"/>
        <w:jc w:val="left"/>
        <w:tblInd w:w="0" w:type="dxa"/>
        <w:tblLayout w:type="fixed"/>
        <w:tblCellMar>
          <w:top w:w="28" w:type="dxa"/>
          <w:left w:w="28" w:type="dxa"/>
          <w:bottom w:w="28" w:type="dxa"/>
          <w:right w:w="28" w:type="dxa"/>
        </w:tblCellMar>
      </w:tblPr>
      <w:tblGrid>
        <w:gridCol w:w="1761"/>
        <w:gridCol w:w="226"/>
        <w:gridCol w:w="1186"/>
        <w:gridCol w:w="146"/>
        <w:gridCol w:w="146"/>
        <w:gridCol w:w="146"/>
        <w:gridCol w:w="766"/>
        <w:gridCol w:w="271"/>
        <w:gridCol w:w="146"/>
        <w:gridCol w:w="226"/>
        <w:gridCol w:w="1186"/>
        <w:gridCol w:w="146"/>
        <w:gridCol w:w="146"/>
        <w:gridCol w:w="146"/>
        <w:gridCol w:w="766"/>
        <w:gridCol w:w="271"/>
        <w:gridCol w:w="146"/>
        <w:gridCol w:w="226"/>
        <w:gridCol w:w="1186"/>
        <w:gridCol w:w="146"/>
        <w:gridCol w:w="146"/>
        <w:gridCol w:w="146"/>
        <w:gridCol w:w="766"/>
        <w:gridCol w:w="516"/>
      </w:tblGrid>
      <w:tr>
        <w:trPr/>
        <w:tc>
          <w:tcPr>
            <w:tcW w:w="1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investment securities (TE)</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2.66%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loans</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5.25%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earning assets (TE)</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4.32%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funds</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margin (TE)</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Average Earning Assets Mix</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investment securities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5,760,514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5,270,895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4,835,928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34.86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Investment in FHLB, FRB, and other stock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Interest-earning deposits with other institutions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590,860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646,979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Loans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12,024,828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11,548,138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8,372,383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60.35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 interest-earning assets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18,457,955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17,566,089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13,873,302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Average Deposits &amp; Borrowings</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Noninterest bearing deposits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8,454,481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8,123,844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7,123,511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54.91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Interest-bearing deposits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7,613,314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7,400,171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4,893,214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37.72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Customer repurchase agreements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598,857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FHLB advances and other borrowings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384,295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Subordinated debentures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 deposits and borrowings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17,206,192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16,505,069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12,972,960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Provision for Credit Losses</w:t>
      </w:r>
    </w:p>
    <w:p>
      <w:pPr>
        <w:pStyle w:val="TextBody"/>
        <w:bidi w:val="0"/>
        <w:jc w:val="both"/>
        <w:rPr>
          <w:rFonts w:ascii="sans-serif" w:hAnsi="sans-serif"/>
          <w:color w:val="000000"/>
          <w:sz w:val="22"/>
        </w:rPr>
      </w:pPr>
      <w:r>
        <w:rPr>
          <w:rFonts w:ascii="sans-serif" w:hAnsi="sans-serif"/>
          <w:color w:val="000000"/>
          <w:sz w:val="22"/>
        </w:rPr>
        <w:t xml:space="preserve">The Company recorded a $1.0 million recapture of credit losses in the third quarter of 2026, compared to no provision for credit losses in the second quarter of 2026 and $1.0 million provision for credit losses in the third quarter of 2025. </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Noninterest Income</w:t>
      </w:r>
    </w:p>
    <w:p>
      <w:pPr>
        <w:pStyle w:val="TextBody"/>
        <w:bidi w:val="0"/>
        <w:jc w:val="both"/>
        <w:rPr>
          <w:rFonts w:ascii="sans-serif" w:hAnsi="sans-serif"/>
          <w:color w:val="000000"/>
          <w:sz w:val="22"/>
        </w:rPr>
      </w:pPr>
      <w:r>
        <w:rPr>
          <w:rFonts w:ascii="sans-serif" w:hAnsi="sans-serif"/>
          <w:color w:val="000000"/>
          <w:sz w:val="22"/>
        </w:rPr>
        <w:t>Noninterest income totaled $16.5 million for the third quarter of 2026, a decrease of $500,000 from $17.0 million for the second quarter of 2026 and an increase of $3.5 million from $13.0 million for the third quarter of 2025. The quarter-over-quarter decrease was primarily attributable to a $507,000 decrease in value of a CRA investment fund, a $359,000 decrease in trust and investment services income, and a $134,000 loss on the sale of two other real estate owned (“OREO”) properties, partially offset by a $580,000 increase in bank owned life insurance (“BOLI”) income and a $226,000 increase in service charges on deposit accounts. The year-over-year increase primarily reflected higher customer fee income and BOLI income resulting from the Heritage acquisition. Noninterest income in the third quarter of 2025 included $8.1 million in losses on the sale of AFS investments securities, partially offset by a $6.0 million legal settlement recorded in other income.</w:t>
      </w:r>
    </w:p>
    <w:p>
      <w:pPr>
        <w:pStyle w:val="TextBody"/>
        <w:bidi w:val="0"/>
        <w:jc w:val="left"/>
        <w:rPr>
          <w:rFonts w:ascii="sans-serif" w:hAnsi="sans-serif"/>
          <w:b/>
          <w:color w:val="000000"/>
          <w:sz w:val="22"/>
        </w:rPr>
      </w:pPr>
      <w:r>
        <w:rPr>
          <w:rFonts w:ascii="sans-serif" w:hAnsi="sans-serif"/>
          <w:b/>
          <w:color w:val="000000"/>
          <w:sz w:val="22"/>
        </w:rPr>
        <w:t>Noninterest Expense</w:t>
      </w:r>
    </w:p>
    <w:p>
      <w:pPr>
        <w:pStyle w:val="TextBody"/>
        <w:bidi w:val="0"/>
        <w:jc w:val="both"/>
        <w:rPr>
          <w:rFonts w:ascii="sans-serif" w:hAnsi="sans-serif"/>
          <w:color w:val="000000"/>
          <w:sz w:val="22"/>
        </w:rPr>
      </w:pPr>
      <w:r>
        <w:rPr>
          <w:rFonts w:ascii="sans-serif" w:hAnsi="sans-serif"/>
          <w:color w:val="000000"/>
          <w:sz w:val="22"/>
        </w:rPr>
        <w:t xml:space="preserve">Noninterest expense totaled $90.5 million for the third quarter of 2026, compared to $114.4 million for the second quarter of 2026 and $58.6 million for the third quarter of 2025. Acquisition related expenses associated with the Heritage merger totaled $8.1 million in the third quarter of 2026, compared to $31.4 million for the second quarter of 2026. Excluding acquisition related expense and the $4.3 million provision for unfunded loan commitments recorded in the second quarter, noninterest expense increased by $3.6 million from the second quarter of 2026. This increase was primarily driven by a full quarter of operating expenses associated with the Heritage acquisition.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lineRule="auto" w:line="360"/>
        <w:jc w:val="both"/>
        <w:rPr>
          <w:rFonts w:ascii="Times New Roman" w:hAnsi="Times New Roman"/>
          <w:sz w:val="22"/>
        </w:rPr>
      </w:pPr>
      <w:r>
        <w:rPr>
          <w:rFonts w:ascii="sans-serif" w:hAnsi="sans-serif"/>
          <w:color w:val="000000"/>
          <w:sz w:val="22"/>
        </w:rPr>
        <w:t>As a percentage of average assets, noninterest expense was 1.71% for the third quarter of 2026, compared to 2.31% for the second quarter of 2026 and 1.50% for the third quarter of 2025. The efficiency ratio was 46.27% for the third quarter of 2026, compared to 63.75% for the second quarter of 2026 and 45.56% for the third quarter of 2025. Excluding acquisition related expenses and the provision for unfunded loan commitments, the adjusted efficiency ratio</w:t>
      </w:r>
      <w:r>
        <w:rPr>
          <w:rFonts w:ascii="sans-serif" w:hAnsi="sans-serif"/>
          <w:color w:val="000000"/>
          <w:sz w:val="15"/>
        </w:rPr>
        <w:t>3</w:t>
      </w:r>
      <w:r>
        <w:rPr>
          <w:rFonts w:ascii="Times New Roman" w:hAnsi="Times New Roman"/>
          <w:color w:val="000000"/>
          <w:sz w:val="22"/>
        </w:rPr>
        <w:t xml:space="preserve"> </w:t>
      </w:r>
      <w:r>
        <w:rPr>
          <w:rFonts w:ascii="sans-serif" w:hAnsi="sans-serif"/>
          <w:color w:val="000000"/>
          <w:sz w:val="22"/>
        </w:rPr>
        <w:t>was 42.10% for the third quarter of 2026, compared to 43.88% for the second quarter of 2026 and 45.56% for the third quarter of 2025.</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Income Taxes</w:t>
      </w:r>
    </w:p>
    <w:p>
      <w:pPr>
        <w:pStyle w:val="TextBody"/>
        <w:bidi w:val="0"/>
        <w:jc w:val="both"/>
        <w:rPr>
          <w:rFonts w:ascii="sans-serif" w:hAnsi="sans-serif"/>
          <w:color w:val="000000"/>
          <w:sz w:val="22"/>
        </w:rPr>
      </w:pPr>
      <w:r>
        <w:rPr>
          <w:rFonts w:ascii="sans-serif" w:hAnsi="sans-serif"/>
          <w:color w:val="000000"/>
          <w:sz w:val="22"/>
        </w:rPr>
        <w:t>Our effective tax rate for the quarter ended September 30, 2026 was 26.38%, compared with 25.81% for the second quarter of 2026 and 23.80% for the third quarter of 2025. Our estimated annual effective tax rate can vary depending upon the level of tax-advantaged income from municipal securities and BOLI, as well as tax credit investments.</w:t>
      </w:r>
    </w:p>
    <w:p>
      <w:pPr>
        <w:pStyle w:val="TextBody"/>
        <w:bidi w:val="0"/>
        <w:jc w:val="left"/>
        <w:rPr/>
      </w:pPr>
      <w:r>
        <w:rPr/>
        <w:t> </w:t>
      </w:r>
    </w:p>
    <w:p>
      <w:pPr>
        <w:pStyle w:val="TextBody"/>
        <w:bidi w:val="0"/>
        <w:spacing w:before="0" w:after="200"/>
        <w:jc w:val="left"/>
        <w:rPr>
          <w:rFonts w:ascii="sans-serif" w:hAnsi="sans-serif"/>
          <w:b/>
          <w:color w:val="000000"/>
          <w:sz w:val="24"/>
        </w:rPr>
      </w:pPr>
      <w:r>
        <w:rPr>
          <w:rFonts w:ascii="sans-serif" w:hAnsi="sans-serif"/>
          <w:b/>
          <w:color w:val="000000"/>
          <w:sz w:val="24"/>
        </w:rPr>
        <w:t>BALANCE SHEET HIGHLIGHTS</w:t>
      </w:r>
    </w:p>
    <w:p>
      <w:pPr>
        <w:pStyle w:val="TextBody"/>
        <w:bidi w:val="0"/>
        <w:jc w:val="left"/>
        <w:rPr>
          <w:rFonts w:ascii="sans-serif" w:hAnsi="sans-serif"/>
          <w:b/>
          <w:color w:val="000000"/>
          <w:sz w:val="22"/>
        </w:rPr>
      </w:pPr>
      <w:r>
        <w:rPr>
          <w:rFonts w:ascii="sans-serif" w:hAnsi="sans-serif"/>
          <w:b/>
          <w:color w:val="000000"/>
          <w:sz w:val="22"/>
        </w:rPr>
        <w:t>Assets</w:t>
      </w:r>
    </w:p>
    <w:p>
      <w:pPr>
        <w:pStyle w:val="TextBody"/>
        <w:bidi w:val="0"/>
        <w:jc w:val="both"/>
        <w:rPr>
          <w:rFonts w:ascii="sans-serif" w:hAnsi="sans-serif"/>
          <w:color w:val="000000"/>
          <w:sz w:val="22"/>
        </w:rPr>
      </w:pPr>
      <w:r>
        <w:rPr>
          <w:rFonts w:ascii="sans-serif" w:hAnsi="sans-serif"/>
          <w:color w:val="000000"/>
          <w:sz w:val="22"/>
        </w:rPr>
        <w:t xml:space="preserve">Total assets were $20.52 billion at September 30, 2026, a decrease of $660.5 million, or 3.12%, from $21.18 billion at June 30, 2026. The decrease was primarily attributable to a $815.8 million decrease in interest-earning balances due from the Federal Reserve, partially offset by a $105.0 million increase in total loans and a $46.8 million increase in investment securities. </w:t>
      </w:r>
    </w:p>
    <w:p>
      <w:pPr>
        <w:pStyle w:val="TextBody"/>
        <w:bidi w:val="0"/>
        <w:jc w:val="both"/>
        <w:rPr>
          <w:rFonts w:ascii="sans-serif" w:hAnsi="sans-serif"/>
          <w:color w:val="000000"/>
          <w:sz w:val="22"/>
        </w:rPr>
      </w:pPr>
      <w:r>
        <w:rPr>
          <w:rFonts w:ascii="sans-serif" w:hAnsi="sans-serif"/>
          <w:color w:val="000000"/>
          <w:sz w:val="22"/>
        </w:rPr>
        <w:t xml:space="preserve">Total assets increased by $4.89 billion, or 31.29%, from $15.63 billion at December 31, 2025. The increase in assets was primarily driven by an increase of $3.42 billion in total loans, a $769.7 million increase in investment securities, partially offset by a $174.9 million decrease in interest-earnings balances due from the Federal 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Compared to September 30, 2025, total assets increased by $4.86 billion, or 31.00%, from $15.67 billion. The increase in assets was primarily driven by an increase of $3.65 billion in total loans, an increase of $845.8 million in investment securities, offset by a decrease of $538.1 million in interest-earning balances due from the Federal Reserve.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increases in total assets compared to December 31, 2025 and September 30, 2025 primarily reflect the impact of the Heritage acquisition completed on April 17, 2026, partially offset by balance sheet optimization activities during the second quarter of 2026. </w:t>
      </w:r>
    </w:p>
    <w:p>
      <w:pPr>
        <w:pStyle w:val="TextBody"/>
        <w:bidi w:val="0"/>
        <w:jc w:val="left"/>
        <w:rPr>
          <w:rFonts w:ascii="sans-serif" w:hAnsi="sans-serif"/>
          <w:b/>
          <w:color w:val="000000"/>
          <w:sz w:val="22"/>
        </w:rPr>
      </w:pPr>
      <w:r>
        <w:rPr>
          <w:rFonts w:ascii="sans-serif" w:hAnsi="sans-serif"/>
          <w:b/>
          <w:color w:val="000000"/>
          <w:sz w:val="22"/>
        </w:rPr>
        <w:t>Investment Securities</w:t>
      </w:r>
    </w:p>
    <w:p>
      <w:pPr>
        <w:pStyle w:val="TextBody"/>
        <w:bidi w:val="0"/>
        <w:jc w:val="both"/>
        <w:rPr>
          <w:rFonts w:ascii="sans-serif" w:hAnsi="sans-serif"/>
          <w:color w:val="000000"/>
          <w:sz w:val="22"/>
        </w:rPr>
      </w:pPr>
      <w:r>
        <w:rPr>
          <w:rFonts w:ascii="sans-serif" w:hAnsi="sans-serif"/>
          <w:color w:val="000000"/>
          <w:sz w:val="22"/>
        </w:rPr>
        <w:t>Total investment securities were $5.72 billion at September 30, 2026, an increase of $46.8 million, or 0.83%, from $5.68 billion at June 30, 2026, an increase of $769.7 million, or 15.54%, from December 31, 2025, and an increase of $845.8 million, or 17.34%, from $4.88 billion at September 30, 2025. The quarter-over-quarter increase in investment securities was primarily attributable to purchases of approximately $137.4 million of AFS securities and $6.2 million of held-to-maturity (“HTM”) securities.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increase compared to December 31, 2025 and September 30, 2025 primarily reflected the result of the Heritage acquisition as well as the Company's post merger balance sheet optimization strategy.</w:t>
      </w:r>
    </w:p>
    <w:p>
      <w:pPr>
        <w:pStyle w:val="TextBody"/>
        <w:bidi w:val="0"/>
        <w:jc w:val="both"/>
        <w:rPr>
          <w:rFonts w:ascii="sans-serif" w:hAnsi="sans-serif"/>
          <w:color w:val="000000"/>
          <w:sz w:val="22"/>
        </w:rPr>
      </w:pPr>
      <w:r>
        <w:rPr>
          <w:rFonts w:ascii="sans-serif" w:hAnsi="sans-serif"/>
          <w:color w:val="000000"/>
          <w:sz w:val="22"/>
        </w:rPr>
        <w:t xml:space="preserve">At September 30, 2026, HTM investment securities totaled $2.20 billion, a decrease of $23.2 million, or 1.05%, from June 30, 2026, a decrease of $75.1 million, or 3.31%, from December 31, 2025, and a decrease of $102.6 million, or 4.47%, from September 30, 2025.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sans-serif" w:hAnsi="sans-serif"/>
          <w:color w:val="000000"/>
          <w:sz w:val="20"/>
        </w:rPr>
        <w:t>Non-GAAP financial measures. See GAAP to non–GAAP reconciliations of the measures are set forth at the last section of this press release.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At September 30, 2026, AFS investment securities totaled $3.53 billion, inclusive of a pre-tax net unrealized loss of $439.0 million. AFS securities increased $70.1 million, or 2.03%, from June 30, 2026, $844.8 million, or 31.48%, from December 31, 2025, and $948.4 million, or 36.77%, from September 30, 2025. The pre-tax net unrealized loss at September 30, 2026 increased $115.5 million from June 30, 2026, $131.2 million from December 31, 2025 and $105.2 million from September 30, 2025. The increase in net unrealized losses was primarily attributable to changes in market interest rates during the quarter.</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Loans</w:t>
      </w:r>
    </w:p>
    <w:p>
      <w:pPr>
        <w:pStyle w:val="TextBody"/>
        <w:bidi w:val="0"/>
        <w:jc w:val="both"/>
        <w:rPr>
          <w:rFonts w:ascii="sans-serif" w:hAnsi="sans-serif"/>
          <w:color w:val="000000"/>
          <w:sz w:val="22"/>
        </w:rPr>
      </w:pPr>
      <w:r>
        <w:rPr>
          <w:rFonts w:ascii="sans-serif" w:hAnsi="sans-serif"/>
          <w:color w:val="000000"/>
          <w:sz w:val="22"/>
        </w:rPr>
        <w:t xml:space="preserve">Total loans and leases, at amortized cost, were $12.12 billion at September 30, 2026, an increase of $105.0 million, or 0.87%, from $12.02 billion at June 30, 2026. The quarter-over-quarter increase was primarily due to increases of $60.8 million in dairy &amp; livestock and agribusiness loans, $48.8 million in commercial real estate loans, $28.7 million in Small Business Administration (“SBA”) loans, $19.1 million in construction loans, partially offset by decreases of $39.1 million in commercial and industrial loans, $9.1 million in consumer and other loans, $2.9 million in single-family residential (“SFR”) mortgage loans, and $2.3 million in municipal lease finance receivables. </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 xml:space="preserve">Total loans and leases, at amortized cost, increased by $3.42 billion, or 39.35%, from December 31, 2025. The increase primarily reflected increases of $2.46 billion in commercial real estate loans, $466.2 million in commercial and industrial loans, $191.2 million in construction loans, $187.9 million in SBA loans, $157.6 million in consumer and other loans, and $56.6 million in SFR mortgage loans. These increases were partially offset by decreases of $89.8 million in dairy &amp; livestock and agribusiness loans, and $5.7 million in municipal lease finance receivables loans.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Total loans and leases, at amortized cost, increased by $3.65 billion, or 43.10%, from September 30, 2025. The $3.65 billion increase included increases of $2.50 billion in commercial real estate loans, $500.7 million in commercial and industrial loans, $204.1 million in SBA loans, $199.1 million in construction loans, $156.3 million in consumer loans, $52.3 million in SFR mortgage loans, $48.8 million in dairy &amp; livestock and agribusiness loans, partially offset by a decrease of $7.6 million in municipal lease finance receivables.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increase in total loans and leases compared to December 31, 2025 and September 30, 2025 primarily reflected the Heritage acquisition, which added $3.10 billion of loans held for investment recorded at fair value on the acquisition date.</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Asset Quality</w:t>
      </w:r>
    </w:p>
    <w:p>
      <w:pPr>
        <w:pStyle w:val="TextBody"/>
        <w:bidi w:val="0"/>
        <w:jc w:val="both"/>
        <w:rPr>
          <w:rFonts w:ascii="sans-serif" w:hAnsi="sans-serif"/>
          <w:color w:val="000000"/>
          <w:sz w:val="22"/>
        </w:rPr>
      </w:pPr>
      <w:r>
        <w:rPr>
          <w:rFonts w:ascii="sans-serif" w:hAnsi="sans-serif"/>
          <w:color w:val="000000"/>
          <w:sz w:val="22"/>
        </w:rPr>
        <w:t>During the third quarter of 2026, the Company recorded net charge-offs of $20,000, compared to $137,000 in the second quarter of 2026. The allowance for credit losses (“ACL”) totaled $125.6 million at September 30, 2026, compared to $126.7 million at June 30, 2026 and $79.3 million at September 30, 2025. The $46.3 million year-over-year increase primarily reflected the initial ACL of $46.6 million established for the purchased credit deteriorated (“PCD”) loans and purchased seasoned loans (“PSL”) acquired from the Heritage acquisition. At September 30, 2026, the ACL represented 1.04% of total loans and leases, compared to 1.05% at June 30, 2026 and 0.94% at September 30, 2025.</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Nonperforming loans are defined as nonaccrual loans, including modified loans on nonaccrual, plus loans 90 days or more past due and still accruing interest. Nonperforming assets are defined as nonperforming loans plus OREO. Asset quality metrics are presented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1"/>
        <w:gridCol w:w="146"/>
        <w:gridCol w:w="319"/>
        <w:gridCol w:w="1282"/>
        <w:gridCol w:w="286"/>
        <w:gridCol w:w="146"/>
        <w:gridCol w:w="226"/>
        <w:gridCol w:w="901"/>
        <w:gridCol w:w="286"/>
        <w:gridCol w:w="146"/>
        <w:gridCol w:w="358"/>
        <w:gridCol w:w="1244"/>
        <w:gridCol w:w="594"/>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4" w:type="dxa"/>
            <w:gridSpan w:val="10"/>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23,707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3,952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18,725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16,642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27,804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18,725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16,848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28,465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 of Nonperforming assets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Past due 30-89 days (accruing)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SFR mortgage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5,688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3,745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 xml:space="preserve">Total nonperforming, OREO, </w:t>
              <w:br/>
              <w:t>   and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24,413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20,593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28,550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Classified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113,912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109,718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78,180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$2.1 million increase in nonperforming loans from June 30, 2026 was primarily due to the addition of two nonperforming SBA loans totaling $1.7 million, and one commercial and industrial loan of $985,000, partially offset by the payoffs and paydowns.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Classified loans are loans that are graded “substandard” or worse. Classified loans increased $4.2 million from June 30, 2026, primarily due to the downgrade of two nonperforming commercial real estate loans totaling $5.1 million and two commercial and industrial loans totaling $2.1 million, partially offset by upgrades, payoffs and paydowns. The year-over-year increase primarily reflected the addition of $30.8 million of classified loans acquired in the Heritage merger.</w:t>
      </w:r>
    </w:p>
    <w:p>
      <w:pPr>
        <w:pStyle w:val="TextBody"/>
        <w:bidi w:val="0"/>
        <w:jc w:val="left"/>
        <w:rPr>
          <w:rFonts w:ascii="sans-serif" w:hAnsi="sans-serif"/>
          <w:b/>
          <w:color w:val="000000"/>
          <w:sz w:val="22"/>
        </w:rPr>
      </w:pPr>
      <w:r>
        <w:rPr>
          <w:rFonts w:ascii="sans-serif" w:hAnsi="sans-serif"/>
          <w:b/>
          <w:color w:val="000000"/>
          <w:sz w:val="22"/>
        </w:rPr>
        <w:t>Deposits &amp; Customer Repurchase Agreements</w:t>
      </w:r>
    </w:p>
    <w:p>
      <w:pPr>
        <w:pStyle w:val="TextBody"/>
        <w:bidi w:val="0"/>
        <w:jc w:val="both"/>
        <w:rPr>
          <w:rFonts w:ascii="sans-serif" w:hAnsi="sans-serif"/>
          <w:color w:val="000000"/>
          <w:sz w:val="22"/>
        </w:rPr>
      </w:pPr>
      <w:r>
        <w:rPr>
          <w:rFonts w:ascii="sans-serif" w:hAnsi="sans-serif"/>
          <w:color w:val="000000"/>
          <w:sz w:val="22"/>
        </w:rPr>
        <w:t>Deposits of $15.73 billion and customer repurchase agreements of $571.9 million totaled $16.30 billion at September 30, 2026, compared to $16.85 billion at June 30, 2026, $12.56 billion at December 31, 2025, and $12.58 billion at September 30, 2025. Deposits and customer repurchase agreements decreased $550.0 million, or 3.26%, from June 30, 2026, increased $3.74 billion, or 29.77% from December 31, 2025, and $3.73 billion, or 29.63%, from September 30, 2025. The increases from December 31, 2025 and September 30, 2025 primarily reflected $1.2 billion of noninterest-bearing deposits and $3.5 billion of interest-bearing deposits assumed in connection with the Heritage acquisition completed during the second quarter of 2026.</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Noninterest-bearing deposits were $8.42 billion at September 30, 2026, a decrease of $190.6 million, or 2.21%, compared to $8.61 billion at June 30, 2026. Noninterest-bearing deposits increased $1.62 billion, or 23.76%, from $6.80 billion at December 31, 2025 and $1.17 billion, or 16.17%, from $7.24 billion at September 30, 2025. At September 30, 2026, noninterest-bearing deposits were 53.50% of total deposits, compared to 52.84% at June 30, 2026, 56.33% at December 31, 2025, and 59.76% at September 30, 2025. The decrease in the percentage of noninterest-bearing deposits from December 31, 2025 and September 30, 2025 primarily reflected the deposit mix acquired in the Heritage acquisition, which included a higher proportion of interest-bearing deposits.</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Borrowings</w:t>
      </w:r>
    </w:p>
    <w:p>
      <w:pPr>
        <w:pStyle w:val="TextBody"/>
        <w:bidi w:val="0"/>
        <w:jc w:val="both"/>
        <w:rPr>
          <w:rFonts w:ascii="sans-serif" w:hAnsi="sans-serif"/>
          <w:color w:val="000000"/>
          <w:sz w:val="22"/>
        </w:rPr>
      </w:pPr>
      <w:r>
        <w:rPr>
          <w:rFonts w:ascii="sans-serif" w:hAnsi="sans-serif"/>
          <w:color w:val="000000"/>
          <w:sz w:val="22"/>
        </w:rPr>
        <w:t xml:space="preserve">As of September 30, 2026, total borrowings were $579.3 million, consisting of $540.0 million of FHLB advances and $39.3 million of subordinated debt assumed in the Heritage acquisition, compared to $539.0 million at June 30, 2026 and $500.0 million at December 31, 2025. At September 30, 2026, FHLB advances consisted of $300.0 million of 90 day advances hedged with cash flow hedges, under which the Company pays an average fixed rate of 4.22% and receives SOFR, a $200.0 million putable advance at a rate of 4.27% maturing in May 2027, and a $40.0 million overnight advance at a rate of 4.36%, which matured on October 1, 2026.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Capital</w:t>
      </w:r>
    </w:p>
    <w:p>
      <w:pPr>
        <w:pStyle w:val="TextBody"/>
        <w:bidi w:val="0"/>
        <w:jc w:val="both"/>
        <w:rPr>
          <w:rFonts w:ascii="sans-serif" w:hAnsi="sans-serif"/>
          <w:color w:val="000000"/>
          <w:sz w:val="22"/>
        </w:rPr>
      </w:pPr>
      <w:r>
        <w:rPr>
          <w:rFonts w:ascii="sans-serif" w:hAnsi="sans-serif"/>
          <w:color w:val="000000"/>
          <w:sz w:val="22"/>
        </w:rPr>
        <w:t xml:space="preserve">The Company’s total equity was $3.13 billion at September 30, 2026, compared to $2.30 billion at December 31, 2025 and $2.28 billion at September 30, 2025. The increase of $835.1 million from December 31, 2025 was primarily due to $840.2 million of common shares issued in connection with the Heritage acquisition in the second quarter of 2026 and $177.4 million in net earnings, partially offset by $97.8 million in cash dividends declared and $22.7 million related to common stock repurchases. During the first nine months of 2026, the Company purchased approximately 1.0 million shares under the 2026 Repurchase Program, at an average price of $22.22 per share for an aggregate purchase price of $22.6 million, including $17.5 million repurchased during the third quarter of 2026.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Our tangible book value per share was $10.92 at September 30, 2026, compared to $11.07 at June 30, 2026, $11.24 at December 31, 2025 and $10.98 at September 30, 2025, respectively.</w:t>
      </w:r>
    </w:p>
    <w:p>
      <w:pPr>
        <w:pStyle w:val="TextBody"/>
        <w:bidi w:val="0"/>
        <w:jc w:val="both"/>
        <w:rPr>
          <w:rFonts w:ascii="sans-serif" w:hAnsi="sans-serif"/>
          <w:color w:val="000000"/>
          <w:sz w:val="22"/>
        </w:rPr>
      </w:pPr>
      <w:r>
        <w:rPr>
          <w:rFonts w:ascii="sans-serif" w:hAnsi="sans-serif"/>
          <w:color w:val="000000"/>
          <w:sz w:val="22"/>
        </w:rPr>
        <w:t>Our capital ratios remained well above applicable regulatory capital requirements.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1"/>
        <w:gridCol w:w="146"/>
        <w:gridCol w:w="2444"/>
        <w:gridCol w:w="146"/>
        <w:gridCol w:w="1498"/>
        <w:gridCol w:w="146"/>
        <w:gridCol w:w="1393"/>
        <w:gridCol w:w="146"/>
        <w:gridCol w:w="1545"/>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Consolidated</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Minimum Required Plus </w:t>
              <w:br/>
              <w:t>Capital 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16.3%</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16.3%</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17.1%</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Tangible common equity (“TCE”)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w:t>
            </w:r>
          </w:p>
        </w:tc>
      </w:tr>
    </w:tbl>
    <w:p>
      <w:pPr>
        <w:pStyle w:val="TextBody"/>
        <w:bidi w:val="0"/>
        <w:jc w:val="left"/>
        <w:rPr/>
      </w:pPr>
      <w:r>
        <w:rPr/>
        <w:t> </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CitizensTrust</w:t>
      </w:r>
    </w:p>
    <w:p>
      <w:pPr>
        <w:pStyle w:val="TextBody"/>
        <w:bidi w:val="0"/>
        <w:jc w:val="both"/>
        <w:rPr>
          <w:rFonts w:ascii="sans-serif" w:hAnsi="sans-serif"/>
          <w:color w:val="000000"/>
          <w:sz w:val="22"/>
        </w:rPr>
      </w:pPr>
      <w:r>
        <w:rPr>
          <w:rFonts w:ascii="sans-serif" w:hAnsi="sans-serif"/>
          <w:color w:val="000000"/>
          <w:sz w:val="22"/>
        </w:rPr>
        <w:t>As of September 30, 2026, CitizensTrust had approximately $4.94 billion in assets under management and administration, including $3.81 billion in assets under management. Revenues were $3.8 million for the third quarter of 2026, compared to $4.2 million for the second quarter of 2026 and $3.9 million for the third quarter of 2025. CitizensTrust provides trust, investment and brokerage related services, as well as financial, estate and business succession planning.</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Corporate Overview</w:t>
      </w:r>
    </w:p>
    <w:p>
      <w:pPr>
        <w:pStyle w:val="TextBody"/>
        <w:bidi w:val="0"/>
        <w:jc w:val="both"/>
        <w:rPr>
          <w:rFonts w:ascii="sans-serif" w:hAnsi="sans-serif"/>
          <w:color w:val="000000"/>
          <w:sz w:val="22"/>
        </w:rPr>
      </w:pPr>
      <w:r>
        <w:rPr>
          <w:rFonts w:ascii="sans-serif" w:hAnsi="sans-serif"/>
          <w:color w:val="000000"/>
          <w:sz w:val="22"/>
        </w:rPr>
        <w:t xml:space="preserve">CVB Financial Corp. (“CVBF”) is the holding company for Citizens Business Bank, National Association. CVBF is one of the ten largest bank holding companies headquartered in California with more than $20 billion in total assets as of the closing of the mergers with Heritage Commerce Corp and its principal banking subsidiary, Heritage Bank of Commerce. Citizens Business Bank, National Association, is consistently recognized as one of the top performing banks in the nation and offers a wide array of banking, lending and investing services with more than 75 banking centers and three trust office locations serving California. </w:t>
      </w:r>
    </w:p>
    <w:p>
      <w:pPr>
        <w:pStyle w:val="TextBody"/>
        <w:bidi w:val="0"/>
        <w:jc w:val="both"/>
        <w:rPr>
          <w:rFonts w:ascii="sans-serif" w:hAnsi="sans-serif"/>
          <w:sz w:val="22"/>
        </w:rPr>
      </w:pPr>
      <w:r>
        <w:rPr>
          <w:rFonts w:ascii="sans-serif" w:hAnsi="sans-serif"/>
          <w:color w:val="000000"/>
          <w:sz w:val="22"/>
        </w:rPr>
        <w:t xml:space="preserve">Shares of CVB Financial Corp. common stock are listed on the NASDAQ under the ticker symbol “CVBF”. For investor information on CVB Financial Corp., visit our Citizens Business Bank website at </w:t>
      </w:r>
      <w:r>
        <w:rPr>
          <w:rFonts w:ascii="sans-serif" w:hAnsi="sans-serif"/>
          <w:sz w:val="22"/>
        </w:rPr>
        <w:t>www.cbbank.com</w:t>
      </w:r>
      <w:r>
        <w:rPr>
          <w:rFonts w:ascii="sans-serif" w:hAnsi="sans-serif"/>
          <w:color w:val="000000"/>
          <w:sz w:val="22"/>
        </w:rPr>
        <w:t xml:space="preserve"> and click on the “</w:t>
      </w:r>
      <w:r>
        <w:rPr>
          <w:rFonts w:ascii="sans-serif" w:hAnsi="sans-serif"/>
          <w:sz w:val="22"/>
        </w:rPr>
        <w:t>Investors</w:t>
      </w:r>
      <w:r>
        <w:rPr>
          <w:rFonts w:ascii="sans-serif" w:hAnsi="sans-serif"/>
          <w:color w:val="000000"/>
          <w:sz w:val="22"/>
        </w:rPr>
        <w:t>” tab.</w:t>
      </w:r>
    </w:p>
    <w:p>
      <w:pPr>
        <w:pStyle w:val="TextBody"/>
        <w:bidi w:val="0"/>
        <w:jc w:val="both"/>
        <w:rPr>
          <w:rFonts w:ascii="sans-serif" w:hAnsi="sans-serif"/>
          <w:b/>
          <w:color w:val="000000"/>
          <w:sz w:val="22"/>
        </w:rPr>
      </w:pPr>
      <w:r>
        <w:rPr>
          <w:rFonts w:ascii="sans-serif" w:hAnsi="sans-serif"/>
          <w:b/>
          <w:color w:val="000000"/>
          <w:sz w:val="22"/>
        </w:rPr>
        <w:t>Conference Call</w:t>
      </w:r>
    </w:p>
    <w:p>
      <w:pPr>
        <w:pStyle w:val="TextBody"/>
        <w:bidi w:val="0"/>
        <w:jc w:val="both"/>
        <w:rPr>
          <w:rFonts w:ascii="sans-serif" w:hAnsi="sans-serif"/>
          <w:sz w:val="22"/>
        </w:rPr>
      </w:pPr>
      <w:r>
        <w:rPr>
          <w:rFonts w:ascii="sans-serif" w:hAnsi="sans-serif"/>
          <w:color w:val="000000"/>
          <w:sz w:val="22"/>
        </w:rPr>
        <w:t xml:space="preserve">Management will hold a conference call at 7:30 a.m. PDT/10:30 a.m. EDT on Thursday, October 22, 2026, to discuss the Company’s third quarter 2026 financial results. The conference call can be accessed live by registering at: </w:t>
      </w:r>
      <w:r>
        <w:rPr>
          <w:rFonts w:ascii="sans-serif" w:hAnsi="sans-serif"/>
          <w:sz w:val="22"/>
        </w:rPr>
        <w:t>https://register-conf.media-server.com/register/BI4f86dd7673f14d1694c53fdb20ea376b</w:t>
      </w:r>
    </w:p>
    <w:p>
      <w:pPr>
        <w:pStyle w:val="TextBody"/>
        <w:bidi w:val="0"/>
        <w:jc w:val="both"/>
        <w:rPr>
          <w:rFonts w:ascii="sans-serif" w:hAnsi="sans-serif"/>
          <w:sz w:val="22"/>
        </w:rPr>
      </w:pPr>
      <w:r>
        <w:rPr>
          <w:rFonts w:ascii="sans-serif" w:hAnsi="sans-serif"/>
          <w:color w:val="000000"/>
          <w:sz w:val="22"/>
        </w:rPr>
        <w:t xml:space="preserve">The conference call will also be simultaneously webcast over the Internet; please visit our Citizens Business Bank website at </w:t>
      </w:r>
      <w:r>
        <w:rPr>
          <w:rFonts w:ascii="sans-serif" w:hAnsi="sans-serif"/>
          <w:sz w:val="22"/>
        </w:rPr>
        <w:t>www.cbbank.com</w:t>
      </w:r>
      <w:r>
        <w:rPr>
          <w:rFonts w:ascii="sans-serif" w:hAnsi="sans-serif"/>
          <w:color w:val="0000FF"/>
          <w:sz w:val="22"/>
          <w:u w:val="single"/>
        </w:rPr>
        <w:t xml:space="preserve"> </w:t>
      </w:r>
      <w:r>
        <w:rPr>
          <w:rFonts w:ascii="sans-serif" w:hAnsi="sans-serif"/>
          <w:color w:val="000000"/>
          <w:sz w:val="22"/>
        </w:rPr>
        <w:t>and click on the “</w:t>
      </w:r>
      <w:r>
        <w:rPr>
          <w:rFonts w:ascii="sans-serif" w:hAnsi="sans-serif"/>
          <w:sz w:val="22"/>
        </w:rPr>
        <w:t>Investors</w:t>
      </w:r>
      <w:r>
        <w:rPr>
          <w:rFonts w:ascii="sans-serif" w:hAnsi="sans-serif"/>
          <w:color w:val="000000"/>
          <w:sz w:val="22"/>
        </w:rPr>
        <w:t>” tab to access the call from the site. Participants are encouraged to access the website at least 15 minutes prior to the start of the call to download any necessary audio software. The webcast will be archived and available for replay on the Company's website approximately two hours following the conclusion of the conference call.</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left"/>
        <w:rPr/>
      </w:pPr>
      <w:r>
        <w:rPr/>
        <w:t> </w:t>
      </w:r>
    </w:p>
    <w:p>
      <w:pPr>
        <w:pStyle w:val="TextBody"/>
        <w:bidi w:val="0"/>
        <w:spacing w:before="0" w:after="160"/>
        <w:jc w:val="both"/>
        <w:rPr>
          <w:rFonts w:ascii="Arial" w:hAnsi="Arial"/>
          <w:sz w:val="18"/>
        </w:rPr>
      </w:pPr>
      <w:r>
        <w:rPr>
          <w:rFonts w:ascii="Arial" w:hAnsi="Arial"/>
          <w:i/>
          <w:color w:val="000000"/>
          <w:sz w:val="18"/>
        </w:rPr>
        <w:t>Certain statements set forth herein constitute forward-looking statements within the meaning of Section 27A of the Securities Act of 1933, as amended, and Section 21E of the Securities Exchange Act of 1934, as amended, which are intended to be covered by the safe harbor for "forward-looking statements" provided by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mlaterially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shareholder value creation, tax rates, the impact of business, economic, or political developments, the impact of monetary, fiscal and trade policies, and the impact of acquisitions we have made or may make, including our recent acquisition of Heritage Commerce Corp and its wholly-owned banking subsidiary, Heritage Bank of Commerce (collectively “Heritage”).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r>
        <w:rPr>
          <w:rFonts w:ascii="Arial" w:hAnsi="Arial"/>
          <w:color w:val="000000"/>
          <w:sz w:val="18"/>
        </w:rPr>
        <w:t xml:space="preserve"> </w:t>
      </w:r>
    </w:p>
    <w:p>
      <w:pPr>
        <w:pStyle w:val="TextBody"/>
        <w:bidi w:val="0"/>
        <w:spacing w:before="0" w:after="160"/>
        <w:jc w:val="both"/>
        <w:rPr>
          <w:rFonts w:ascii="Arial" w:hAnsi="Arial"/>
          <w:sz w:val="18"/>
        </w:rPr>
      </w:pPr>
      <w:r>
        <w:rPr>
          <w:rFonts w:ascii="Arial" w:hAnsi="Arial"/>
          <w:i/>
          <w:color w:val="000000"/>
          <w:sz w:val="18"/>
        </w:rPr>
        <w:t>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effects of acquisitions we have made or may make, including, without limitation, the failure to achieve the expected efficiencies and financial results from such acquisitions;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changes in the scope and cost of Federal Deposit Insurance Corporation (“FDIC”) insurance;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risks associated with geographic and industry concentrations within our loan portfolio;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w:t>
      </w:r>
      <w:r>
        <w:rPr>
          <w:rFonts w:ascii="Arial" w:hAnsi="Arial"/>
          <w:color w:val="000000"/>
          <w:sz w:val="18"/>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Arial" w:hAnsi="Arial"/>
          <w:sz w:val="18"/>
        </w:rPr>
      </w:pPr>
      <w:r>
        <w:rPr>
          <w:rFonts w:ascii="Arial" w:hAnsi="Arial"/>
          <w:i/>
          <w:color w:val="000000"/>
          <w:sz w:val="18"/>
        </w:rPr>
        <w:t>and other financial service providers; technological changes, including the adoption of artificial intelligence, in banking and financial services; the use, reliability and accuracy of the financial models and data on which we rely;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ability to comply with federal and state employment laws and regulations; ongoing or unanticipated regulatory or legal proceedings or outcomes; risks associated with our recently completed merger with Heritage, including difficulties in retaining Heritage’s customers, key personnel and business relationships, and achieving anticipated cost savings and revenue synergies; and our ability to manage the risks involved in the foregoing.</w:t>
      </w:r>
      <w:r>
        <w:rPr>
          <w:rFonts w:ascii="Arial" w:hAnsi="Arial"/>
          <w:color w:val="000000"/>
          <w:sz w:val="18"/>
        </w:rPr>
        <w:t xml:space="preserve"> </w:t>
      </w:r>
    </w:p>
    <w:p>
      <w:pPr>
        <w:pStyle w:val="TextBody"/>
        <w:bidi w:val="0"/>
        <w:spacing w:before="0" w:after="160"/>
        <w:jc w:val="both"/>
        <w:rPr>
          <w:rFonts w:ascii="Arial" w:hAnsi="Arial"/>
          <w:i/>
          <w:color w:val="000000"/>
          <w:sz w:val="18"/>
        </w:rPr>
      </w:pPr>
      <w:r>
        <w:rPr>
          <w:rFonts w:ascii="Arial" w:hAnsi="Arial"/>
          <w:i/>
          <w:color w:val="000000"/>
          <w:sz w:val="18"/>
        </w:rPr>
        <w:t>Additional factors that could cause actual results to differ materially from those expressed in the forward-looking statements are discussed in the Company's Annual Report on Form 10-K for the year ended December 31, 2025 and in subsequent filings filed with the SCE, including our quarterly reports on Form 10-Q, and in particular the discussion of "Risk Factors" set forth in such files. These filings are available at the SEC’s website (http://www.sec.gov).</w:t>
      </w:r>
    </w:p>
    <w:p>
      <w:pPr>
        <w:pStyle w:val="TextBody"/>
        <w:bidi w:val="0"/>
        <w:spacing w:before="0" w:after="160"/>
        <w:jc w:val="both"/>
        <w:rPr>
          <w:rFonts w:ascii="Arial" w:hAnsi="Arial"/>
          <w:i/>
          <w:color w:val="000000"/>
          <w:sz w:val="18"/>
        </w:rPr>
      </w:pPr>
      <w:r>
        <w:rPr>
          <w:rFonts w:ascii="Arial" w:hAnsi="Arial"/>
          <w:i/>
          <w:color w:val="000000"/>
          <w:sz w:val="18"/>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w:t>
      </w:r>
    </w:p>
    <w:p>
      <w:pPr>
        <w:pStyle w:val="TextBody"/>
        <w:bidi w:val="0"/>
        <w:spacing w:before="0" w:after="160"/>
        <w:jc w:val="both"/>
        <w:rPr>
          <w:rFonts w:ascii="Arial" w:hAnsi="Arial"/>
          <w:i/>
          <w:color w:val="000000"/>
          <w:sz w:val="18"/>
        </w:rPr>
      </w:pPr>
      <w:r>
        <w:rPr>
          <w:rFonts w:ascii="Arial" w:hAnsi="Arial"/>
          <w:i/>
          <w:color w:val="000000"/>
          <w:sz w:val="18"/>
        </w:rPr>
        <w:t>Non-GAAP Financial Measures — Certain financial information provided in this earnings release has not been prepared in accordance with GAAP and is presented on a non-GAAP basis. Investors and analysts should refer to the reconciliations included in this earnings release and should consider the Company’s non-GAAP measures in addition to, not as a substitute for or as superior to, measures prepared in accordance with GAAP. These non-GAAP measures may or may not be comparable to similarly titled measures used by other companies.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841"/>
        <w:gridCol w:w="146"/>
        <w:gridCol w:w="241"/>
        <w:gridCol w:w="1265"/>
        <w:gridCol w:w="181"/>
        <w:gridCol w:w="146"/>
        <w:gridCol w:w="233"/>
        <w:gridCol w:w="1225"/>
        <w:gridCol w:w="181"/>
        <w:gridCol w:w="146"/>
        <w:gridCol w:w="241"/>
        <w:gridCol w:w="1265"/>
        <w:gridCol w:w="1094"/>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911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BALANCE SHEETS</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162,082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151,848</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93,980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268,878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632,072</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256,062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376,389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783,920</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13,163</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3,527,833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2,683,070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2,579,397</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2,195,292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2,270,391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2,297,909</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5,723,125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4,953,461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4,877,306</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81,921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12,122,015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8,470,906</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11,996,374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8,622,032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8,391,570</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26,595</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Bank owned life insurance (“BOLI”)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418,119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323,881</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113,947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6,654</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799,363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486,760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459,283</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20,522,193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15,666,206</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8,416,327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6,800,691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7,244,968</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Investment checking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1,023,199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487,738</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Savings and money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5,710,066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4,185,244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3,809,768</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580,587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576,775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581,765</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15,730,179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12,071,982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12,124,239</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571,884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490,601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451,258</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Federal Home Loan Bank advances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510,555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273,247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308,642</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17,391,871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13,335,830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13,384,139</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2,045,583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1,222,365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1,257,194</w:t>
            </w:r>
          </w:p>
        </w:tc>
        <w:tc>
          <w:tcPr>
            <w:tcW w:w="1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1,380,074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1,272,649</w:t>
            </w:r>
          </w:p>
        </w:tc>
        <w:tc>
          <w:tcPr>
            <w:tcW w:w="1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(295,335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(227,654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(247,776</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sans-serif" w:hAnsi="sans-serif"/>
                <w:color w:val="000000"/>
                <w:sz w:val="18"/>
              </w:rPr>
            </w:pPr>
            <w:r>
              <w:rPr>
                <w:rFonts w:ascii="sans-serif" w:hAnsi="sans-serif"/>
                <w:color w:val="000000"/>
                <w:sz w:val="18"/>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3,130,322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2,295,224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2,282,067</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20,522,193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15,666,206</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991" w:type="dxa"/>
        <w:jc w:val="left"/>
        <w:tblInd w:w="0" w:type="dxa"/>
        <w:tblLayout w:type="fixed"/>
        <w:tblCellMar>
          <w:top w:w="28" w:type="dxa"/>
          <w:left w:w="28" w:type="dxa"/>
          <w:bottom w:w="28" w:type="dxa"/>
          <w:right w:w="28" w:type="dxa"/>
        </w:tblCellMar>
      </w:tblPr>
      <w:tblGrid>
        <w:gridCol w:w="2386"/>
        <w:gridCol w:w="146"/>
        <w:gridCol w:w="226"/>
        <w:gridCol w:w="1186"/>
        <w:gridCol w:w="181"/>
        <w:gridCol w:w="146"/>
        <w:gridCol w:w="226"/>
        <w:gridCol w:w="1186"/>
        <w:gridCol w:w="181"/>
        <w:gridCol w:w="146"/>
        <w:gridCol w:w="226"/>
        <w:gridCol w:w="1186"/>
        <w:gridCol w:w="181"/>
        <w:gridCol w:w="146"/>
        <w:gridCol w:w="226"/>
        <w:gridCol w:w="1186"/>
        <w:gridCol w:w="181"/>
        <w:gridCol w:w="146"/>
        <w:gridCol w:w="226"/>
        <w:gridCol w:w="1186"/>
        <w:gridCol w:w="10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AVERAGE BALANCE SHEETS</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165,602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168,621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150,152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159,817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153,073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590,207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668,130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635,331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513,969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377,976</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755,809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836,751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785,483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673,786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531,049</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6,232</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3,555,319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3,034,877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2,522,720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3,086,918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2,522,451</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2,205,195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2,236,018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2,313,208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2,233,698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2,341,303</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5,760,514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5,270,895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4,835,928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5,320,616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4,863,754</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81,753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77,891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71,958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12,024,828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11,548,138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8,372,383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10,744,979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8,397,900</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(78,161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(107,665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(78,837</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11,898,190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11,429,544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8,294,222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10,637,314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8,319,063</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31,089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27,020</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415,858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398,014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322,591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319,627</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116,459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74,465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8,278</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1,041,190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970,207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778,138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692,558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430,894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649,265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425,972</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20,940,436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19,881,428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15,498,390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18,812,982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15,284,829</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8,454,481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8,123,844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7,123,511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7,829,965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7,060,953</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7,613,314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7,400,171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4,893,214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6,694,547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4,838,551</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16,067,795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15,524,015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12,016,725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14,524,512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11,899,504</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598,857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564,766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456,230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568,710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383,903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Federal Home Loan Bank advances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500,440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384,295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461,581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507,033</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538,338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356,655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254,279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380,759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248,878</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17,744,530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16,861,724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13,227,239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15,959,403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13,039,318</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2,052,534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1,887,018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1,260,256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1,723,575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1,271,013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1,384,128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1,360,935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1,278,189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1,359,219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1,255,923</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(240,756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(228,249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(267,294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(229,215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(281,425</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sans-serif" w:hAnsi="sans-serif"/>
                <w:color w:val="000000"/>
                <w:sz w:val="18"/>
              </w:rPr>
            </w:pPr>
            <w:r>
              <w:rPr>
                <w:rFonts w:ascii="sans-serif" w:hAnsi="sans-serif"/>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3,195,906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3,019,704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2,271,151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2,853,579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2,245,511</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20,940,436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19,881,428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15,498,390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18,812,982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15,284,829</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312" w:type="dxa"/>
        <w:jc w:val="left"/>
        <w:tblInd w:w="0" w:type="dxa"/>
        <w:tblLayout w:type="fixed"/>
        <w:tblCellMar>
          <w:top w:w="28" w:type="dxa"/>
          <w:left w:w="28" w:type="dxa"/>
          <w:bottom w:w="28" w:type="dxa"/>
          <w:right w:w="28" w:type="dxa"/>
        </w:tblCellMar>
      </w:tblPr>
      <w:tblGrid>
        <w:gridCol w:w="2006"/>
        <w:gridCol w:w="146"/>
        <w:gridCol w:w="253"/>
        <w:gridCol w:w="993"/>
        <w:gridCol w:w="181"/>
        <w:gridCol w:w="146"/>
        <w:gridCol w:w="226"/>
        <w:gridCol w:w="886"/>
        <w:gridCol w:w="146"/>
        <w:gridCol w:w="146"/>
        <w:gridCol w:w="253"/>
        <w:gridCol w:w="993"/>
        <w:gridCol w:w="181"/>
        <w:gridCol w:w="146"/>
        <w:gridCol w:w="253"/>
        <w:gridCol w:w="993"/>
        <w:gridCol w:w="181"/>
        <w:gridCol w:w="146"/>
        <w:gridCol w:w="253"/>
        <w:gridCol w:w="993"/>
        <w:gridCol w:w="791"/>
      </w:tblGrid>
      <w:tr>
        <w:trPr/>
        <w:tc>
          <w:tcPr>
            <w:tcW w:w="2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52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2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STATEMENTS OF EARNINGS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2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171,500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110,825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443,984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328,741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36,968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38,719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108,981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94,619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Dividends from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deposits with other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12,796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220,649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150,112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571,887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437,323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26,096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87,136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76,247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Borrowings and 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23,261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112,566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99,694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interest income before (recapture of)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337,629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(Recapture of)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interest income after (recapture of)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180,066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114,577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457,321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338,629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Service charges on deposit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Trust and investment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Loss on sale of AFS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(Loss) gain on other real estate owned (“OREO”),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20,469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24,252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43,978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Salaries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47,608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35,876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131,637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107,352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Computer software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16,183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Marketing and promotion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Provision for unfunded loan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Acquisition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40,669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20,539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58,576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265,426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175,276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106,080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239,678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207,331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53,077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18"/>
              </w:rPr>
            </w:pPr>
            <w:r>
              <w:rPr>
                <w:rFonts w:ascii="sans-serif" w:hAnsi="sans-serif"/>
                <w:b/>
                <w:color w:val="000000"/>
                <w:sz w:val="18"/>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154,254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2045" w:type="dxa"/>
        <w:jc w:val="left"/>
        <w:tblInd w:w="0" w:type="dxa"/>
        <w:tblLayout w:type="fixed"/>
        <w:tblCellMar>
          <w:top w:w="28" w:type="dxa"/>
          <w:left w:w="28" w:type="dxa"/>
          <w:bottom w:w="28" w:type="dxa"/>
          <w:right w:w="28" w:type="dxa"/>
        </w:tblCellMar>
      </w:tblPr>
      <w:tblGrid>
        <w:gridCol w:w="1276"/>
        <w:gridCol w:w="226"/>
        <w:gridCol w:w="1306"/>
        <w:gridCol w:w="446"/>
        <w:gridCol w:w="446"/>
        <w:gridCol w:w="226"/>
        <w:gridCol w:w="1306"/>
        <w:gridCol w:w="446"/>
        <w:gridCol w:w="446"/>
        <w:gridCol w:w="226"/>
        <w:gridCol w:w="1306"/>
        <w:gridCol w:w="271"/>
        <w:gridCol w:w="146"/>
        <w:gridCol w:w="226"/>
        <w:gridCol w:w="1306"/>
        <w:gridCol w:w="271"/>
        <w:gridCol w:w="146"/>
        <w:gridCol w:w="226"/>
        <w:gridCol w:w="1306"/>
        <w:gridCol w:w="49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 except per share amounts)</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income - tax equivalent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221,282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202,634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150,626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573,805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438,879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41,583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39,713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112,566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99,694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 - (TE)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179,699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162,921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116,091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461,239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339,185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assets, annualized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equity, annualized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18"/>
              </w:rPr>
              <w:t xml:space="preserve">Adjusted efficiency ratio </w:t>
            </w:r>
            <w:r>
              <w:rPr>
                <w:rFonts w:ascii="sans-serif" w:hAnsi="sans-serif"/>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42.10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 to average assets, annualized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loans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earning assets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 and customer repurchase agreements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funds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margin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18"/>
              </w:rPr>
              <w:t xml:space="preserve">TCE ratio </w:t>
            </w:r>
            <w:r>
              <w:rPr>
                <w:rFonts w:ascii="sans-serif" w:hAnsi="sans-serif"/>
                <w:color w:val="000000"/>
                <w:sz w:val="13"/>
              </w:rPr>
              <w:t>[1]</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CVB Financial Corp. Consolidated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Citizens Business Bank, National Association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shares outstanding</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174,986,550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167,038,874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136,830,437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159,076,268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137,265,804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175,163,482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167,186,423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137,152,562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159,220,729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137,543,044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Dividends declared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35,253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35,350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83,104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18"/>
              </w:rPr>
              <w:t xml:space="preserve">Dividend payout ratio </w:t>
            </w:r>
            <w:r>
              <w:rPr>
                <w:rFonts w:ascii="sans-serif" w:hAnsi="sans-serif"/>
                <w:color w:val="000000"/>
                <w:sz w:val="13"/>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73.25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Number of shares outstanding - (end of period)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175,493,977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176,247,135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137,509,649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Book value per share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18"/>
              </w:rPr>
              <w:t xml:space="preserve">Tangible book value per share </w:t>
            </w:r>
            <w:r>
              <w:rPr>
                <w:rFonts w:ascii="sans-serif" w:hAnsi="sans-serif"/>
                <w:color w:val="000000"/>
                <w:sz w:val="13"/>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56" w:type="dxa"/>
            <w:gridSpan w:val="11"/>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0"/>
              </w:rPr>
            </w:pPr>
            <w:r>
              <w:rPr>
                <w:rFonts w:ascii="sans-serif" w:hAnsi="sans-serif"/>
                <w:color w:val="000000"/>
                <w:sz w:val="13"/>
              </w:rPr>
              <w:t>[1]</w:t>
            </w:r>
            <w:r>
              <w:rPr>
                <w:rFonts w:ascii="sans-serif" w:hAnsi="sans-serif"/>
                <w:color w:val="000000"/>
                <w:sz w:val="20"/>
              </w:rPr>
              <w:t xml:space="preserve">  </w:t>
            </w:r>
            <w:r>
              <w:rPr>
                <w:rFonts w:ascii="sans-serif" w:hAnsi="sans-serif"/>
                <w:color w:val="000000"/>
                <w:sz w:val="18"/>
              </w:rPr>
              <w:t>Non-GAAP financial measures. See GAAP to non-GAAP reconciliations of the measures are set forth at the last section of this press release.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56" w:type="dxa"/>
            <w:gridSpan w:val="11"/>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0"/>
              </w:rPr>
            </w:pPr>
            <w:r>
              <w:rPr>
                <w:rFonts w:ascii="sans-serif" w:hAnsi="sans-serif"/>
                <w:color w:val="000000"/>
                <w:sz w:val="13"/>
              </w:rPr>
              <w:t xml:space="preserve">[2] </w:t>
            </w:r>
            <w:r>
              <w:rPr>
                <w:rFonts w:ascii="sans-serif" w:hAnsi="sans-serif"/>
                <w:color w:val="000000"/>
                <w:sz w:val="20"/>
              </w:rPr>
              <w:t> </w:t>
            </w:r>
            <w:r>
              <w:rPr>
                <w:rFonts w:ascii="sans-serif" w:hAnsi="sans-serif"/>
                <w:color w:val="000000"/>
                <w:sz w:val="18"/>
              </w:rPr>
              <w:t>Dividends declared on common stock divided by net earnings.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748"/>
        <w:gridCol w:w="146"/>
        <w:gridCol w:w="254"/>
        <w:gridCol w:w="996"/>
        <w:gridCol w:w="271"/>
        <w:gridCol w:w="146"/>
        <w:gridCol w:w="231"/>
        <w:gridCol w:w="913"/>
        <w:gridCol w:w="271"/>
        <w:gridCol w:w="146"/>
        <w:gridCol w:w="284"/>
        <w:gridCol w:w="966"/>
        <w:gridCol w:w="271"/>
        <w:gridCol w:w="146"/>
        <w:gridCol w:w="254"/>
        <w:gridCol w:w="997"/>
        <w:gridCol w:w="271"/>
        <w:gridCol w:w="146"/>
        <w:gridCol w:w="284"/>
        <w:gridCol w:w="967"/>
        <w:gridCol w:w="497"/>
      </w:tblGrid>
      <w:tr>
        <w:trPr/>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9708"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8"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NONPERFORMING ASSETS AND ALLOWANCE FOR CREDIT LOSSES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8"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Nonaccrual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real estate owned (“OREO”),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nonperforming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28,465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Loan modifications to borrowers experiencing financial difficulty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16,902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Percentage of nonperforming assets to total loans outstanding and 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Percentage of nonperforming assets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Allowance for credit losses to 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80,122</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Initial ACL on PCD and PSL loans acquired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(536</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750</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Net (charge-offs)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214</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(Recapture of)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charge-offs to average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0.003</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5"/>
        <w:gridCol w:w="146"/>
        <w:gridCol w:w="228"/>
        <w:gridCol w:w="898"/>
        <w:gridCol w:w="146"/>
        <w:gridCol w:w="146"/>
        <w:gridCol w:w="228"/>
        <w:gridCol w:w="822"/>
        <w:gridCol w:w="229"/>
        <w:gridCol w:w="146"/>
        <w:gridCol w:w="256"/>
        <w:gridCol w:w="870"/>
        <w:gridCol w:w="146"/>
        <w:gridCol w:w="146"/>
        <w:gridCol w:w="228"/>
        <w:gridCol w:w="822"/>
        <w:gridCol w:w="229"/>
        <w:gridCol w:w="146"/>
        <w:gridCol w:w="256"/>
        <w:gridCol w:w="870"/>
        <w:gridCol w:w="146"/>
        <w:gridCol w:w="146"/>
        <w:gridCol w:w="179"/>
        <w:gridCol w:w="662"/>
        <w:gridCol w:w="489"/>
      </w:tblGrid>
      <w:tr>
        <w:trPr/>
        <w:tc>
          <w:tcPr>
            <w:tcW w:w="1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 FOR CREDIT LOSSES BY LOAN TYPE</w:t>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r>
      <w:tr>
        <w:trPr/>
        <w:tc>
          <w:tcPr>
            <w:tcW w:w="289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 2025</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1.00%</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1.74%</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0.97%</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2.51%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0.71%</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0.58%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0.95%</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Municipal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0.39%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0.42%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0.36%</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0.17%</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1.20%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1.13%</w:t>
            </w:r>
          </w:p>
        </w:tc>
        <w:tc>
          <w:tcPr>
            <w:tcW w:w="4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0.94%</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350" w:type="dxa"/>
        <w:jc w:val="left"/>
        <w:tblInd w:w="0" w:type="dxa"/>
        <w:tblLayout w:type="fixed"/>
        <w:tblCellMar>
          <w:top w:w="28" w:type="dxa"/>
          <w:left w:w="28" w:type="dxa"/>
          <w:bottom w:w="28" w:type="dxa"/>
          <w:right w:w="28" w:type="dxa"/>
        </w:tblCellMar>
      </w:tblPr>
      <w:tblGrid>
        <w:gridCol w:w="1321"/>
        <w:gridCol w:w="146"/>
        <w:gridCol w:w="226"/>
        <w:gridCol w:w="646"/>
        <w:gridCol w:w="146"/>
        <w:gridCol w:w="146"/>
        <w:gridCol w:w="226"/>
        <w:gridCol w:w="886"/>
        <w:gridCol w:w="271"/>
        <w:gridCol w:w="146"/>
        <w:gridCol w:w="226"/>
        <w:gridCol w:w="886"/>
        <w:gridCol w:w="271"/>
        <w:gridCol w:w="146"/>
        <w:gridCol w:w="226"/>
        <w:gridCol w:w="886"/>
        <w:gridCol w:w="271"/>
        <w:gridCol w:w="146"/>
        <w:gridCol w:w="226"/>
        <w:gridCol w:w="886"/>
        <w:gridCol w:w="271"/>
        <w:gridCol w:w="146"/>
        <w:gridCol w:w="226"/>
        <w:gridCol w:w="886"/>
        <w:gridCol w:w="4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QUARTERLY COMMON STOCK PRICE AND QUARTERLY CONSOLIDATED STATEMENTS OF EARNINGS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Quarter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171,500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110,825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Investment securities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38,564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39,287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220,649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149,110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155,979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150,112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26,096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Borrowings and customer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8,109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39,713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34,535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Net interest income before (recapture of)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122,658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115,577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(Recapture of)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Net interest income after (recapture of)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180,066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114,840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125,158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114,577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61,988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58,576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69,007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19,319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b/>
                <w:color w:val="000000"/>
                <w:sz w:val="18"/>
              </w:rPr>
            </w:pPr>
            <w:r>
              <w:rPr>
                <w:rFonts w:ascii="sans-serif" w:hAnsi="sans-serif"/>
                <w:b/>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55,044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27,548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26" w:type="dxa"/>
        <w:jc w:val="left"/>
        <w:tblInd w:w="0" w:type="dxa"/>
        <w:tblLayout w:type="fixed"/>
        <w:tblCellMar>
          <w:top w:w="28" w:type="dxa"/>
          <w:left w:w="28" w:type="dxa"/>
          <w:bottom w:w="28" w:type="dxa"/>
          <w:right w:w="28" w:type="dxa"/>
        </w:tblCellMar>
      </w:tblPr>
      <w:tblGrid>
        <w:gridCol w:w="1921"/>
        <w:gridCol w:w="146"/>
        <w:gridCol w:w="226"/>
        <w:gridCol w:w="1186"/>
        <w:gridCol w:w="181"/>
        <w:gridCol w:w="146"/>
        <w:gridCol w:w="226"/>
        <w:gridCol w:w="1186"/>
        <w:gridCol w:w="181"/>
        <w:gridCol w:w="146"/>
        <w:gridCol w:w="226"/>
        <w:gridCol w:w="1186"/>
        <w:gridCol w:w="181"/>
        <w:gridCol w:w="146"/>
        <w:gridCol w:w="226"/>
        <w:gridCol w:w="1186"/>
        <w:gridCol w:w="181"/>
        <w:gridCol w:w="146"/>
        <w:gridCol w:w="226"/>
        <w:gridCol w:w="1186"/>
        <w:gridCol w:w="4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LOAN PORTFOLIO BY TYPE</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March 31,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December 31, </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9,032,741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8,983,934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6,631,238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6,574,395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6,535,319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229,046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59,329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37,812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29,976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470,293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441,572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291,702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282,401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266,279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1,439,834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1,478,884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952,260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973,631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939,174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341,801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280,994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314,838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431,577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292,963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Municipal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56,086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57,453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59,542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338,394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341,340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281,766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286,111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216,106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224,252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58,282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59,701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loans,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12,122,015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12,017,055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8,643,316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8,699,193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8,470,906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11,996,374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11,890,394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8,563,146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8,622,032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8,391,570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DEPOSIT COMPOSITION BY TYPE AND CUSTOMER REPURCHASE AGREEMENTS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8,416,327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8,606,924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7,100,507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6,800,691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7,244,968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Investment checking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1,023,199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1,022,887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497,609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487,738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Savings and money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5,710,066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5,968,351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3,802,623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4,185,244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3,809,768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580,587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690,539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544,485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576,775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581,765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15,730,179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16,288,701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11,945,224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12,071,982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12,124,239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571,884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563,405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494,257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490,601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451,258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 xml:space="preserve">Total deposits and customer </w:t>
              <w:br/>
              <w:t>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16,302,063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16,852,106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12,439,481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12,562,583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12,575,497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653" w:type="dxa"/>
        <w:jc w:val="left"/>
        <w:tblInd w:w="0" w:type="dxa"/>
        <w:tblLayout w:type="fixed"/>
        <w:tblCellMar>
          <w:top w:w="28" w:type="dxa"/>
          <w:left w:w="28" w:type="dxa"/>
          <w:bottom w:w="28" w:type="dxa"/>
          <w:right w:w="28" w:type="dxa"/>
        </w:tblCellMar>
      </w:tblPr>
      <w:tblGrid>
        <w:gridCol w:w="2341"/>
        <w:gridCol w:w="146"/>
        <w:gridCol w:w="279"/>
        <w:gridCol w:w="967"/>
        <w:gridCol w:w="286"/>
        <w:gridCol w:w="146"/>
        <w:gridCol w:w="226"/>
        <w:gridCol w:w="781"/>
        <w:gridCol w:w="286"/>
        <w:gridCol w:w="146"/>
        <w:gridCol w:w="226"/>
        <w:gridCol w:w="781"/>
        <w:gridCol w:w="286"/>
        <w:gridCol w:w="146"/>
        <w:gridCol w:w="290"/>
        <w:gridCol w:w="851"/>
        <w:gridCol w:w="286"/>
        <w:gridCol w:w="146"/>
        <w:gridCol w:w="279"/>
        <w:gridCol w:w="967"/>
        <w:gridCol w:w="7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86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6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NONPERFORMING ASSETS AND DELINQUENCY TRENDS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6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62" w:type="dxa"/>
            <w:gridSpan w:val="20"/>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23,707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18,725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16,642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4,685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27,804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Past due 30-89 days (accruing)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5,688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3,745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6,605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3,178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OREO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 xml:space="preserve">Total nonperforming, past due, </w:t>
              <w:br/>
              <w:t>   and 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24,413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20,593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12,955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8,026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28,550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4"/>
        <w:gridCol w:w="146"/>
        <w:gridCol w:w="2046"/>
        <w:gridCol w:w="146"/>
        <w:gridCol w:w="1566"/>
        <w:gridCol w:w="146"/>
        <w:gridCol w:w="1461"/>
        <w:gridCol w:w="146"/>
        <w:gridCol w:w="1614"/>
      </w:tblGrid>
      <w:tr>
        <w:trPr/>
        <w:tc>
          <w:tcPr>
            <w:tcW w:w="2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REGULATORY CAPITAL RATIOS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Minimum Required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Consolidated</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Plus Capital </w:t>
              <w:br/>
              <w:t>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16.3%</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16.3%</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GAAP TO NON-GAAP RECONCILIATIONS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uses certain non-GAAP financial measures to provide supplemental information regarding the Company's operational performance and to enhance investors’ overall understanding of such financial performance. However, these non-GAAP financial measures are supplemental and are not a substitute for an analysis based on GAAP measures. As other companies may use different calculations for these adjusted measures, this presentation may not be comparable to other similarly titled adjusted measures reported by other companies.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Pretax Pre-Provision Income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Pretax pre-provision income is a Non-GAAP financial measure that represents total revenue less noninterest expense and is calculated before provision for credit losses and income tax expense. Management believes this measure provides useful information for comparing the results of operations between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7"/>
        <w:gridCol w:w="146"/>
        <w:gridCol w:w="263"/>
        <w:gridCol w:w="1033"/>
        <w:gridCol w:w="181"/>
        <w:gridCol w:w="146"/>
        <w:gridCol w:w="226"/>
        <w:gridCol w:w="766"/>
        <w:gridCol w:w="146"/>
        <w:gridCol w:w="146"/>
        <w:gridCol w:w="294"/>
        <w:gridCol w:w="1002"/>
        <w:gridCol w:w="146"/>
        <w:gridCol w:w="146"/>
        <w:gridCol w:w="265"/>
        <w:gridCol w:w="1040"/>
        <w:gridCol w:w="146"/>
        <w:gridCol w:w="146"/>
        <w:gridCol w:w="265"/>
        <w:gridCol w:w="1040"/>
        <w:gridCol w:w="595"/>
      </w:tblGrid>
      <w:tr>
        <w:trPr/>
        <w:tc>
          <w:tcPr>
            <w:tcW w:w="2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154,254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(Recapture of)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53,077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Pretax pre-provision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105,080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241,678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206,331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Adjusted Return on Average Assets Ratio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Adjusted return on average assets ratio is a non-GAAP financial measure derived from GAAP-based amounts. This figure represents the ratio of net income, excluding acquisition related expense, adjusted for tax effect where applicable, to average assets. Management believes that the exclusion of such items from this financial measure provides useful information to gain an understanding of the operating results of our core business.</w:t>
      </w:r>
    </w:p>
    <w:p>
      <w:pPr>
        <w:pStyle w:val="TextBody"/>
        <w:bidi w:val="0"/>
        <w:jc w:val="left"/>
        <w:rPr/>
      </w:pPr>
      <w:r>
        <w:rPr/>
        <w:t> </w:t>
      </w:r>
    </w:p>
    <w:tbl>
      <w:tblPr>
        <w:tblW w:w="10781" w:type="dxa"/>
        <w:jc w:val="left"/>
        <w:tblInd w:w="0" w:type="dxa"/>
        <w:tblLayout w:type="fixed"/>
        <w:tblCellMar>
          <w:top w:w="28" w:type="dxa"/>
          <w:left w:w="28" w:type="dxa"/>
          <w:bottom w:w="28" w:type="dxa"/>
          <w:right w:w="28" w:type="dxa"/>
        </w:tblCellMar>
      </w:tblPr>
      <w:tblGrid>
        <w:gridCol w:w="1316"/>
        <w:gridCol w:w="146"/>
        <w:gridCol w:w="226"/>
        <w:gridCol w:w="1186"/>
        <w:gridCol w:w="271"/>
        <w:gridCol w:w="146"/>
        <w:gridCol w:w="226"/>
        <w:gridCol w:w="1186"/>
        <w:gridCol w:w="271"/>
        <w:gridCol w:w="146"/>
        <w:gridCol w:w="226"/>
        <w:gridCol w:w="1186"/>
        <w:gridCol w:w="271"/>
        <w:gridCol w:w="146"/>
        <w:gridCol w:w="226"/>
        <w:gridCol w:w="1186"/>
        <w:gridCol w:w="271"/>
        <w:gridCol w:w="146"/>
        <w:gridCol w:w="226"/>
        <w:gridCol w:w="1186"/>
        <w:gridCol w:w="59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154,254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Acquisition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40,669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0"/>
              </w:rPr>
            </w:pPr>
            <w:r>
              <w:rPr>
                <w:rFonts w:ascii="sans-serif" w:hAnsi="sans-serif"/>
                <w:color w:val="000000"/>
                <w:sz w:val="18"/>
              </w:rPr>
              <w:t xml:space="preserve">Less: Tax effect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Adjusted net income for average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83,872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70,534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206,209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154,254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Average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20,940,436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19,881,428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15,498,390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18,812,982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15,284,829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assets, annualized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return on average assets, excluding acquisition related expenses,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sans-serif" w:hAnsi="sans-serif"/>
                <w:sz w:val="20"/>
              </w:rPr>
            </w:pPr>
            <w:r>
              <w:rPr>
                <w:rFonts w:ascii="sans-serif" w:hAnsi="sans-serif"/>
                <w:color w:val="000000"/>
                <w:sz w:val="13"/>
              </w:rPr>
              <w:t>(1)</w:t>
            </w:r>
            <w:r>
              <w:rPr>
                <w:rFonts w:ascii="sans-serif" w:hAnsi="sans-serif"/>
                <w:color w:val="000000"/>
                <w:sz w:val="20"/>
              </w:rPr>
              <w:t> </w:t>
            </w:r>
            <w:r>
              <w:rPr>
                <w:rFonts w:ascii="sans-serif" w:hAnsi="sans-serif"/>
                <w:color w:val="000000"/>
                <w:sz w:val="18"/>
              </w:rPr>
              <w:t>Tax effected at respective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Tangible Book Value and Tangible Common Equity Ratio (Non-GAAP)</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tangible book value per share and tangible common equity ratios are a Non-GAAP financial measures derived from GAAP-based amounts. The following is a reconciliation of tangible book value and tangible common equity to the Company stockholders' equity computed in accordance with GAAP, as well as a calculation of tangible book value per share and tangible common equity ratio.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5"/>
        <w:gridCol w:w="146"/>
        <w:gridCol w:w="235"/>
        <w:gridCol w:w="1360"/>
        <w:gridCol w:w="271"/>
        <w:gridCol w:w="146"/>
        <w:gridCol w:w="226"/>
        <w:gridCol w:w="1306"/>
        <w:gridCol w:w="271"/>
        <w:gridCol w:w="146"/>
        <w:gridCol w:w="235"/>
        <w:gridCol w:w="1360"/>
        <w:gridCol w:w="728"/>
      </w:tblGrid>
      <w:tr>
        <w:trPr/>
        <w:tc>
          <w:tcPr>
            <w:tcW w:w="3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CVB Financial Corp. and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3,130,322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2,295,224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2,282,067</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(113,947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(6,654</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book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1,916,439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1,523,628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1,509,591</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20,522,193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15,666,206</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(113,947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(6,654</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19,308,310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14,859,458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14,893,730</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Common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175,493,977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135,551,799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137,509,649</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Book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16.60</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10.98</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common equity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10.14</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Citizens Business Bank, National Association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6"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3,065,282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2,270,968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2,262,447</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(113,947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(6,654</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1,851,399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1,499,372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1,489,971</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20,522,160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15,634,835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15,669,875</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(113,947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(6,654</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19,308,277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14,863,239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14,897,399</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Common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175,493,977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135,551,799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137,509,649</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16.45</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book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10.84</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common equity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Return on Average Tangible Common Equity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The return on average tangible common equity is a non-GAAP disclosure.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pStyle w:val="TextBody"/>
        <w:bidi w:val="0"/>
        <w:jc w:val="left"/>
        <w:rPr/>
      </w:pPr>
      <w:r>
        <w:rPr/>
        <w:t> </w:t>
      </w:r>
    </w:p>
    <w:tbl>
      <w:tblPr>
        <w:tblW w:w="10366" w:type="dxa"/>
        <w:jc w:val="left"/>
        <w:tblInd w:w="0" w:type="dxa"/>
        <w:tblLayout w:type="fixed"/>
        <w:tblCellMar>
          <w:top w:w="28" w:type="dxa"/>
          <w:left w:w="28" w:type="dxa"/>
          <w:bottom w:w="28" w:type="dxa"/>
          <w:right w:w="28" w:type="dxa"/>
        </w:tblCellMar>
      </w:tblPr>
      <w:tblGrid>
        <w:gridCol w:w="1316"/>
        <w:gridCol w:w="146"/>
        <w:gridCol w:w="226"/>
        <w:gridCol w:w="1141"/>
        <w:gridCol w:w="271"/>
        <w:gridCol w:w="146"/>
        <w:gridCol w:w="226"/>
        <w:gridCol w:w="1141"/>
        <w:gridCol w:w="271"/>
        <w:gridCol w:w="146"/>
        <w:gridCol w:w="226"/>
        <w:gridCol w:w="1066"/>
        <w:gridCol w:w="271"/>
        <w:gridCol w:w="146"/>
        <w:gridCol w:w="226"/>
        <w:gridCol w:w="1066"/>
        <w:gridCol w:w="271"/>
        <w:gridCol w:w="146"/>
        <w:gridCol w:w="226"/>
        <w:gridCol w:w="1066"/>
        <w:gridCol w:w="626"/>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154,254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0"/>
              </w:rPr>
            </w:pPr>
            <w:r>
              <w:rPr>
                <w:rFonts w:ascii="sans-serif" w:hAnsi="sans-serif"/>
                <w:color w:val="000000"/>
                <w:sz w:val="18"/>
              </w:rPr>
              <w:t xml:space="preserve">Less: Tax effect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Tangible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80,921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50,798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183,324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156,587</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40,669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sans-serif" w:hAnsi="sans-serif"/>
                <w:sz w:val="20"/>
              </w:rPr>
            </w:pPr>
            <w:r>
              <w:rPr>
                <w:rFonts w:ascii="sans-serif" w:hAnsi="sans-serif"/>
                <w:color w:val="000000"/>
                <w:sz w:val="18"/>
              </w:rPr>
              <w:t xml:space="preserve">Less: Tax effect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Adjusted tangible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86,695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73,071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212,172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156,587</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Average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3,195,906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3,019,704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2,271,151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2,853,579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2,245,511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Average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(1,041,190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(970,207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Average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(116,459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(74,465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(8,278</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Average tangible common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1,979,511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1,878,141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1,498,218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1,808,907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1,471,411</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equity, annualized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tangible common equity,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return on average tangible common equity, annualized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sans-serif" w:hAnsi="sans-serif"/>
                <w:sz w:val="20"/>
              </w:rPr>
            </w:pPr>
            <w:r>
              <w:rPr>
                <w:rFonts w:ascii="sans-serif" w:hAnsi="sans-serif"/>
                <w:color w:val="000000"/>
                <w:sz w:val="13"/>
              </w:rPr>
              <w:t>(1)</w:t>
            </w:r>
            <w:r>
              <w:rPr>
                <w:rFonts w:ascii="sans-serif" w:hAnsi="sans-serif"/>
                <w:color w:val="000000"/>
                <w:sz w:val="20"/>
              </w:rPr>
              <w:t> </w:t>
            </w:r>
            <w:r>
              <w:rPr>
                <w:rFonts w:ascii="sans-serif" w:hAnsi="sans-serif"/>
                <w:color w:val="000000"/>
                <w:sz w:val="18"/>
              </w:rPr>
              <w:t>Tax effected at respective statutory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Adjusted Efficiency Ratio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Adjusted efficiency ratio is a non-GAAP financial measure derived from GAAP-based amounts. This figure represents the ratio of noninterest expense, less acquisition related expense and provision for unfunded loan commitments, where applicable, to the sum of net interest income before provision for credit losses and total noninterest income. Management believes that the exclusion of such items from this financial measure provides useful information to gain an understanding of the operating results of our core business.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84"/>
        <w:gridCol w:w="146"/>
        <w:gridCol w:w="253"/>
        <w:gridCol w:w="996"/>
        <w:gridCol w:w="271"/>
        <w:gridCol w:w="146"/>
        <w:gridCol w:w="226"/>
        <w:gridCol w:w="886"/>
        <w:gridCol w:w="271"/>
        <w:gridCol w:w="146"/>
        <w:gridCol w:w="253"/>
        <w:gridCol w:w="996"/>
        <w:gridCol w:w="271"/>
        <w:gridCol w:w="146"/>
        <w:gridCol w:w="254"/>
        <w:gridCol w:w="997"/>
        <w:gridCol w:w="271"/>
        <w:gridCol w:w="146"/>
        <w:gridCol w:w="254"/>
        <w:gridCol w:w="997"/>
        <w:gridCol w:w="595"/>
      </w:tblGrid>
      <w:tr>
        <w:trPr/>
        <w:tc>
          <w:tcPr>
            <w:tcW w:w="1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u w:val="single"/>
              </w:rPr>
            </w:pPr>
            <w:r>
              <w:rPr>
                <w:rFonts w:ascii="sans-serif" w:hAnsi="sans-serif"/>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58,576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175,276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Provision for unfunded loan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40,669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Adjusted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82,340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78,728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220,007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174,276</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 before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337,629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43,978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195,560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179,425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128,583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507,104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381,607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45.93</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efficiency ratio, excluding provision for unfunded loan commitments and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45.67</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cvbf-ex99_2.htm"/>
      <w:bookmarkStart w:id="5" w:name="kscvbfex99_2"/>
      <w:bookmarkEnd w:id="4"/>
      <w:bookmarkEnd w:id="5"/>
      <w:r>
        <w:rPr>
          <w:rFonts w:ascii="Times New Roman" w:hAnsi="Times New Roman"/>
          <w:b/>
          <w:color w:val="000000"/>
          <w:sz w:val="20"/>
        </w:rPr>
        <w:t>Exhibit 99.2</w:t>
      </w:r>
      <w:r>
        <w:br w:type="page"/>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8963025" cy="672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 Financial Corp. October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CAUTIONARY NOTE REGARDING FORWARD-LOOKING STATEMENTS This presentation contains forward-looking statements within the meaning of Section 27A of the Securities Act of 1933, as amended, and Section 21E of the Securities Exchange Act of 1934, as amended, which are intended to be covered by the safe harbor for "forward-looking statements" provided by the Private Securities Litigation Reform Act of 1995. These statements are based on the current beliefs and expectations of the management of CVB Financial Corp. and Citizens Business Bank (collectively, the “Company”) and are subject to significant risks and uncertainties that could cause actual results or performance to differ materially from those projected.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shareholder value creation, tax rates, the impact of business, economic, or political developments, the impact of monetary, fiscal and trade policies, and the impact of acquisitions we have made or may make, including our recent acquisition of Heritage Commerce Corp and its wholly-owned banking subsidiary, Heritage Bank of Commerce (collectively “Heritage”).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 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effects of acquisitions we have made or may make, including, without limitation, the failure to achieve the expected efficiencies and financial results from such acquisitions;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changes in the scope and cost of FDIC insurance;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our lack of a diversified loan portfolio, including the risks of geographic and industry concentrations;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 and other financial service providers; technological changes, including the adoption of artificial intelligence, in banking and financial services; the use, reliability and accuracy of the financial models and data on which we rely;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ability to comply with federal and state employment laws and regulations; ongoing or unanticipated regulatory or legal proceedings or outcomes; risks associated with our recently completed merger with Heritage, including difficulties and delays in integrating or retaining Heritage’s business, key personnel and customers, and achieving anticipated synergies, cost savings enhanced geographic coverage, deposit attrition, customer or employee loss, and/or revenue loss as a result of the merger; and our ability to manage the risks involved in the foregoing. Additional factors that could cause actual results to differ materially from those expressed in the forward-looking statements are discussed in the Company's Annual Report on Form 10-K for the year ended December 31, 2025 and in subsequent filings filed with the SCE, including our quarterly reports on Form 10-Q, and in particular the discussion of "Risk Factors" set forth in such files. These filings are available at the SEC’s website (http://www.sec.gov). 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 Non-GAAP Financial Measures — Certain financial information provided in this earnings release has not been prepared in accordance with U.S. generally accepted accounting principles (“GAAP”) and is presented on a non-GAAP basis. Investors and analysts should refer to the reconciliations included in this earnings release and should consider the Company’s non-GAAP measures in addition to, not as a substitute for or as superior to, measures prepared in accordance with GAAP. These non-GAAP measures may or may not be comparable to similarly titled measures used by other companies. Cbbank.com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 Financial Corp. California’s Top Performing Business Bank Founded 1974 Total Assets ≈ $21B Total Deposits ≈ $16B Total Equity ≈ $3.1B Market Value ≈ $3.8B Business Banking Focused Presence in all California’s major economic markets Relationship driven model - Top 25% Target Customer Highly Experienced Management Team Consistent Track Record of Earnings and Shareholder returns 198 Consecutive Quarters of Profitability 148 Consecutive Quarters of Cash Dividends Financial Strength Superior Asset Quality Industry leading low cost-deposits Efficient Operating Model Highly Capitalized BBB+ FITCH Rating Proven / disciplined acquirer 8 Whole bank acquisitions since 2007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Bank Accomplishments Forbes, Best Banks in America (2016 – 2026)* ØRanked #1 Forbes, Best Banks in America (2016, 2020, 2021, 2023) Ranked #6 in Forbes’ World’s Top Performing Banks 2026 – Lower Mid-Size Banks category; #1 among California banks and #3 among U.S. banks Named to Bank Director RankingBanking: The Best U.S. Banks 2026 – Top 25 Publicly Traded Banks Named to S&amp;P Global Market Intelligence’s Top 50 Public Banks for 2025 Rated by S&amp;P Global as one of the Top Three Large U.S. banks by deposit franchise** BauerFinancialReport Five-Star Superior Rating for 70 Consecutive Quarters * Not eligible for rankings in 2018 ** Source: S&amp;P Global Ranking of Large US Banks by Deposit Franchise as of September 2026 CVB Financial Corp. is the holding company for Citizens Business Bank, National Association Cbbank.com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78 Business Financial Centers 1 Loan Production Office 3 CitizensTrust Locations Sutter Yolo Marin San Contra Joaquin Costa Alameda Stanislaus Santa Clara Madera San Benito Fresno Tulare Kern Santa Barbara San Bernardino Los Angeles Venture Orange Riverside San Diego Corporate Office Business Financial Centers Loan Production Office CitizensTrust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Vision and Mission Our Vision: Citizens Business Bank will strive to become the premier financial services company operating throughout the state of California, servicing the comprehensive financial needs of successful small to medium sized businesses and their owners. Our Mission: The mission of Citizens Business Bank is to achieve superior performance and rank in the top ten percent of all financial institutions in the nation in return on equity and return on assets. This will be achieved by delivering the finest in financial products and services through relationship banking commitments with businesses and professionals throughout the state of California. It will be supported by an unqualified commitment to our five core values of financial strength, superior people, customer focus, cost-effective operation, and having fun. Cbbank.com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Strategy Be the Financial Services Company of Choice for Top 25% Customers Full-relationship banking strategy Be the Employer of Choice for Top Talent Attract Develop Retain 5 Core Values Data-driven Operating Model Trusted data Better decisions Scalable growth Drive Growth from Acquisitions Strategic fit Disciplined Returns Cbbank.com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Service Company of the Top 25% Top 25% privately-held and/or family-owned businesses throughout California Annual revenues of $1-300 million Full relationship banking Build long-term relationships Cbbank.com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Relationship Banking Strategy Customer Marketing Relationship Manager (Bank) Credit Management Division Agribusiness Construction Lending Specialty Banking Treasury Management International Real Estate Banking Citizens Home Lending Asset Based Lending C-PACE Lending Government Services Merchant Bankcard Citizens Equipment Financing CitizensTrust SBA Dairy &amp; Livestock Title Escrow Receivers &amp; Fiduciaries Property Management Homeowner Association Deposit Services Wealth Management Trust Investment Services Loan Brokerage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 the Employer of Choice - Our 5 Core Values Customer Focus Financial Strength Superior People Cost-Effective Operation Having Fun Cbbank.com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 the Employer of Choice We attract top talent—and earn their commitment—by building capability, rewarding performance and preparing the next generation of leaders. ENGAGEMENT Citizens experience program Core values in action Leading the CBB way ATTRACT Build a compelling employer brand and hire for critical capabilities. DEVELOP Invest in learning, leadership, career paths and internal mobility. REWARD Offer competitive rewards that recognize performance and contribution. BUILD THE BENCH Use talent reviews and succession plans to strengthen readiness for critical roles. ALIGNED TO OUR FIVE CORE VALUES</w:t>
      </w:r>
    </w:p>
    <w:p>
      <w:pPr>
        <w:pStyle w:val="TextBody"/>
        <w:bidi w:val="0"/>
        <w:jc w:val="left"/>
        <w:rPr>
          <w:rFonts w:ascii="Times New Roman" w:hAnsi="Times New Roman"/>
          <w:color w:val="FFFFFF"/>
          <w:sz w:val="2"/>
        </w:rPr>
      </w:pPr>
      <w:r>
        <w:rPr>
          <w:rFonts w:ascii="Times New Roman" w:hAnsi="Times New Roman"/>
          <w:color w:val="FFFFFF"/>
          <w:sz w:val="2"/>
        </w:rPr>
        <w:t>Financial Strength Superior People Customer Focus Cost-Effective Operation Having Fun Cbbank.com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Driven Operating Model Technology and trusted data strengthen our operating model—improving the customerexperience while enabling scalable, efficient growth. CUSTOMERCAPABILITIES Deliver digital capabilities and solutions tailored to customer needs. PROCESS &amp; AUTOMATION Reengineer processes and apply technology to increase internal efficiency, automation and scalability. DATA-DRIVEN DECISIONS Use trusted data to improve decision-making, productivity and revenue generation. REGULATORY ENABLEMENT Identify and deploy solutions that meet regulatory and compliance requirements efficiently and effectively.OPERATING MODEL OUTCOMES Growth Scalability Efficiency Cbbank.com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CVBF’s Acquisition Strategy Target Banks: $3 billion to $10 billion in assets In-market and adjacent markets Customer base that predominately aligns with CBB’s target customers Disciplined Approach to M&amp;A: Rigorous due diligence: across credit, deposit pricing, and all banking functions Extensive review and analysis of expenses and cost saves Disciplined valuation and financial targets: &lt;10% dilution; earn back period &lt;2.5 years; IRR &gt; 17% Extensive integration planning and history of delivering timely and successful integrations Cbbank.com 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Growth Through Acquisitions ($ in Billions) Community Bank acquisition Assets: $3.7B $8.3 2017 $11.5 2018 $11.3 2019 $14.4 2020 $15.9 2021 Suncrest acquisition Assets: $1.4B $16.5 2022 $16.0 2023 $15.2 2024 $15.6 2025 $15.5 Q1 2026 Heritage acquisition Assets: $5.4B $21.2 Q2 2026 $20.5 Q3 2026 cbbank.com 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M&amp;A While Preserving Franchise Strength Balance Sheet Total Assets $8.27B $20.52B Total Net Loans $4.77B $12.00B Total Deposits $6.55B $15.73B Balance Sheet Ratios Loans % Deposits 73.8% 77.1% NIB % Total Deposits 58.8% 53.5% Tangible Common Equity % Tangible Assets 11.6% 9.9% Asset Quality NPA % Total Assets 0.18% 0.09% NCO % Average Loans -0.14% 0.00% Loan Loss Reserves % Gross Loans 1.23% 1.04% Capital Adequacy CET1 Ratio 16.4% 14.8% Total Capital Ratio 18.0% 15.7% Leverage Ratio 11.9% 11.2% Profitability ROAA 1.26% 1.48% Adj ROAA* 1.28% 1.59% Net Interest Margin 3.63% 3.89% Cost of Deposits 0.09% 0.79% Adjusted Efficiency Ratio* 43.27% 42.10% cbbank.com * See Non-GAAP Reconciliation 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CVBF Balance Sheet Profile September 30, 2026 Assets Securities Loans Deposits &amp; Repos Funding Securities 28% Other 12% Cash 1% Loans 59% $20.5B CMO 29% Agency 9% Muni 8% Other 1% MBS 53% $5.7B C&amp;I D&amp;L &amp; Agri 3% Others 11% $12.1B CRE 74% Non-maturity 93% Time 4% Repos 3% $16.3B Borrowings 3% Total Deposits &amp; Repos 97% $16.9B No Brokered Deposits Capital Ratios as of September 30, 2026 TCE 9.9% Tier 1 Leverage 11.2% CET1 14.8% Tier 1 RBC 14.8% Total RBC 15.7% cbbank.com 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Q3 2026 Financial Highlights Profitability Core net income = $83.1 million $8.1 million acquisition expense Net interest margin (TE) = 3.89% Adjusted efficiency ratio = 42.10%* Adjusted ROAA = 1.59%* Income Statement Net income = $78.1 million / EPS = $0.44 Pretax pre provision income* = $105.1 million Net interest income = $179.1 million $1.0 million recapture of credit losses Heritage FV discount accretion = $3.3 million Heritage CDI amortization = $3.3 million Balance Sheet Total assets &gt; $20 billion Organic loan growth = $105 million Avg. noninterest deposits &gt; 52% of total deposits Cost of deposits and customer repos = 0.83% Asset Quality NPA/TA = 0.09% (NPA = $18.7 million) Classified loans = $113.9 million or 0.94% of total loans ACL = $125.6 million / 1.04% of total loans Capital CET1 ratio = 14.8% Total risk-based ratio = 15.7% Tangible common equity ratio = 9.9% cbbank.com * See Non-GAAP Reconciliation 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Selected Ratios Performance ROATCE* NIM Cost of Deposits Cost of Funds Efficiency Ratio NIE % Avg. Assets 2023 18.48% 3.31% 0.41% 0.83% 42.00% 1.41% 2024 14.95% 3.09% 0.88% 1.32% 46.55% 1.45% 2025 14.28% 3.36% 0.85% 1.03% 46.03% 1.57% Q3'25 14.11% 3.33% 0.86% 1.05% 45.56% 1.50% Q2'26 10.85% 3.72% 0.83% 0.96% 63.75%** 2.31% Q3'26 16.22% 3.89% 0.79% 0.96% 46.27%** 1.71% Credit Quality NPA % Total Assets 0.13% 0.31% 0.03% 0.18% 0.08% 0.09% Net Charge-Offs (Recoveries) to Avg. Loans 0.00% 0.04% 0.00% (0.00%) 0.00% 0.00% Capital CET1 Ratio 14.6% 16.2% 15.9% 16.3% 14.7% 14.8% Total Risk-Based Capital Ratio 15.5% 17.1% 16.7% 17.1% 15.8% 15.7% * See Non-GAAP Reconciliation ** Adjusted efficiency ratio: Q3’26 = 42.10%; Q2’26 = 43.88%. See Non-GAAP Reconciliation cbbank.com 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Selected Highlights Income Statement ($ in Thousands) Net Interest Income Noninterest Income Noninterest Expense, excluding Acquisition Related Expenses &amp; Provision for Unfunded Loan Commitments Acquisition Related Expenses Provision for Unfunded Loan Commitments Total Noninterest Expense Pretax-Pre Provision Income* Provision for (recapture of) Credit Losses Earnings before Income Taxes NetIncome Diluted earnings per common share Q3’25 $ 115,577 13,006 58,076 — 500 58,576 70,007 1,000 69,007 $ 52,586 $ 0.38 Q2’26 $ 162,415 17,010 78,728 31,400 4,250 114,378 65,047 — 65,047 $ 48,261 $ 0.29 Q3’26 $ 179,066 16,494 82,340 8,140 — 90,480 105,080 (1,000) 106,080 $ 78,098 $ 0.44 * See Non-GAAP Reconciliation cbbank.com 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Selected Highlights Average Balance Sheet ($ in Thousands) Average Cash &amp; Cash Equivalents Average Loans Average Total Securities Average Noninterest-bearing Deposits Average Total Deposits &amp; Customer Repurchase Agreements Average Borrowings Average Loan-to-deposit Average Noninterest-bearing deposits/Total Deposits Q3’25 $ 785,483 8,372,383 4,835,928 7,123,511 12,472,955 500,005 69.67% 59.28% Q2’26 $ 836,751 11,548,138 5,270,895 8,123,844 16,088,781 416,288 74.39% 52.33% Q3’26 $ 755,809 12,024,828 5,760,514 8,454,481 16,666,652 539,540 74.84% 52.62% cbbank.com 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Earnings Per Share 198Consecutive Quarters or 49+ Years $0.37 Q3' 24 $0.36 Q4' 24 $0.36 Q1'25 $0.37 Q2'25 $0.38 Q3' 25 $0.40 Q4'25 $0.38 Q1'26 $0.29 Q2'26 $0.44 Q3'26 Earnings per Share cbbank.com 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Consistently High Returns – ROAA Trend logo CVBF KRX* Adjusted ROAA** Community Bank acquisition 1.84% 1.61% 1.26% Suncrest acquisition 1.37% 1.38% 1.39% 1.35% 1.24% 1.36% 1.36% 1.42% 1.59% Heritage acquisition 1.03% 1.36% 1.32% 0.66% 1.28% 1.20% 0.93% 0.96% 1.09% 1.19% 1.23% 2017 2018 2019 2020 2021 2022 2023 2024 2025 1Q’26 2Q’26 3Q’26 cbbank.com * Source: S&amp;P Capital IQ. Unweighted Average NASDAQ Regional Banking Index KRX ** See Non-GAAP Reconciliation 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Dividends – 148 Consecutive Quarters 148 Consecutive Quarters 37 years of consecutive cash dividends $0.20 $0.20 $0.20 $0.20 $0.20 $0.20 $0.20 $0.20 $0.20 54.62% 55.01% 54.50% 54.79% 52.39% 49.38% 53.32% 73.25% 45.14% Q3'24 Q4'24 Q1'25 Q2'25 Q3'25 Q4'25 Q1'26 Q2'26 Q3'26 Dividends per Share Dividend Payout Ratio Dividend payout ratio calculated on per share basis. cbbank.com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Capital Ratios Q1 vs Q3 &amp; Buyback logo Q1 26 Q3 26 CET 1 Ratio 16.3% 14.8% TCE Ratio* 10.5% 9.9% Tangible Book Value Per Share $11.42 $10.92 Board authorized Share Repurchase Program up to 15 Million Shares – June 15, 2026 Impact of Heritage Acquisition and Share Repurchase Program on CVBF Common Stock through 10/19/26 Common Shares Outstanding Common Stock (in Thousands) Balance at 03/31/2026 135,791 $ 1,221,938 Heritage issued 40,621 840,173 Shares repurchased (1,817) (40,063) Other stock-based transactions 95 6,034 Balance at 10/19/2026 174,690 $2,028,082 cbbank.com * See Non-GAAP Reconciliation 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Interest Income and NIM ($ in Millions) $115.6 Q3'25 $122.7 Q4'25 $117.8 Q1'26 $162.4 Q2'26 $179.1 Q3'26 4.32% 4.43% 4.35% 4.62% 4.78% 3.33% 3.49% 3.44% 3.72% 3.89% 1.05% 1.01% 0.97% 0.96% 0.96% Q3'25 Q4'25 Q1'26 Q2'26 Q3'26 Earning Asset Yield Net Interest Margin Cost of Funds cbbank.com 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Noninterest Income ($ in Millions) $15.2 $1.2 $3.3 $0.7 $0.6 $3.9 $5.6 Q32025 $14.0 $1.0 $2.1 $0.7 $0.7 $4.0 $5.4 Q4 2025 $14.3 $0.7 $3.1 $0.7 $0.5 $3.7 $5.5 Q1 2026 $17.0 $1.7 $3.5 $0.6 $0.7 $4.2 $6.3 Q2 2026 $16.5 $0.7 $4.1 $0.7 $0.8 $3.8 $6.5 Q3 2026 Other* BOLI Income Bankcard services International banking income Trust and investment services Banking Service Income * Q3-2025 Other excludes $8.2MM loss on sale of AFS securities and $6.0MM legal settlement received. Q4-2025 excludes $2.8MM loss on sale of AFS Securities. cbbank.com 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Noninterest Expense ($ in Thousands) Salaries and employee benefits Occupancy and equipment Professional services Computer software &amp; telecommunications expense Amortization of intangible assets Provision for Unfunded Loan Commitments Acquisition related expenses Other Total noninterest expense Q3’26 $ 47,608 8,510 3,708 6,446 3,980 — 8,140 12,088 $ 90,480 Q2’26 $ 46,568 8,293 3,250 6,883 3,577 4,250 31,400 10,157 $ 114,378 QoQ $ 1,040 217 458 (437) 403 (4,250) (23,260) 1,931 ($ 23,898) 45.17% 44.40% 44.61% 43.88% 42.10% Q3'25 Q4'25 Q1'26 Q2'26 Q3'26 Adjusted Efficiency Ratio* * See Non-GAAP Reconciliation cbbank.com 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Loans by Type – Q2 vs Q3 6/30/2026 CRE Owner C&amp;I 12% D&amp;L and Agribus. 2% SBA 4% SFR Mortgage 3% SFR Mortgage 3% CRE Non-Owner 51% Average Coupon: 5.37% 9/30/2026 CRE Owner 23% C&amp;I 12% D&amp;L and Agribus. 3% SBA 4% SFR Mortgage 3% Other 4% CRE Non-Owner 51% Average Coupon: 5.46% Note: Weighted average coupon excludes loan fees and purchase accounting accretion. cbbank.com 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Loan Growth – YTD’26 and Q3’26 ($ in Millions) 2026 YTD Loan Portfolio Change 8,699 3,479 (327) 1,222 (1,015) 69 12, 122 12/31/2025 HBC Acquisition* SFR Sale* New Originations Paydown Line Utilization Change 9/30/2026 2026 Q3 Loan Portfolio Change 12,017 - - 407 (359) 57 12,122 6/30/2026 HBC Acquisition* SFR Sale* New Originations Paydown Line Utilization Change 9/30/2026* Fair Value as of 4/17/2026 cbbank.com 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Line Utilization Trends 51% 45% 48% 45% 49% 43% 48% 42% 4 2022 Q1 2023 Q2 2023 Q3 2023 Q4 2023 Q1 2024 Q2 2024 Q3 2024 Q4 2024 Q1 2025 Q2 2025 Q3 2025 Q4 2025 Q1 2026 Q2 2026 Q3 2026 Total 78% 73% 80% 71% 81% 64% 78% 66% Q4 2022 Q1 2023 Q2 2023 Q3 2023 Q4 2023 Q1 2024 Q2 2024 Q3 2024 Q4 2024 Q1 2025 Q2 2025 Q3 2025 Q4 2025 Q1 2026 Q2 2026 Q3 2026 D&amp;L 33% 27% 29% 29% 30% 28% 32% 31% Q4 2022 Q1 2023 Q2 2023 Q3 2023 Q4 2023 Q1 2024 Q2 2024 Q3 2024 Q4 2024 Q1 2025 Q2 2025 Q3 2025 Q4 2025 Q1 2026 Q2 2026 Q3 2026 C&amp;I cbbank.com 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Classified Loan Trend Classified Loan% of Total Loans 0.92% 0.60% 0.96% 0.91% 0.94% Q3 2025 Q4 2025 Q1 2026 Q2 2026 Q3 2026 Classified Loan ($ in Millions) Classified Loan Balance $78.18 $8.30 $7.55 $9.61 $31.66 $20.45 Q3 2025 $52.70 $5.64 $6.85 $12.34 $8.52 $18.75 Q4 2025 $83.06 $5.60 $11.27 $30.49 $5.14 $29.77 Q1 2026 $109.72 $10.56 $8.95 $35.68 $25.07 $26.00 $113.91 $10.62 $6.90 $36.15 $24.65 $31.42 Q3 2026 *Other includes other loan segments that are not listed above, including Construction, Consumer and other loans. Other SFR mortgage SBA Dairy &amp; livestock and agribusiness Commercial and industrial CRE- Non owner occupied CRE- Owner occupied cbbank.com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ACL Trend ACL Coverage Ratio 0.94% 0.89% 0.93% 1.05% 1.04% Q3 2025 Q4 2025 Q1 2026 Q2 2026 Q3 2026 ($ in Millions) Total ACL $79.3 $77.2 $80.2 $126.7 $125.6 Q3 2025 Q4 2025 Q1 2026 Q2 2026 Q3 2026 cbbank.com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Portfolio Investment Portfolio Mix – Q3’26 Historical Yield Municipal 7% Other8% CMBS19% CMO14% MBS52% 6,000 5,500 5,000 4,500 4,000 3.00% 2.90% 2.80% 2.70% 2.60% 2.50% 2.40% Q3'25 Q4'25 Q1'26 Q2'26 Q3'26 Avg. Investment Securities Avg.Security Yield Increased Investment in Floating Rate Assets Principal Runoff &amp; Effective Coupon Millions 7,000 6,000 5,000 4,000 3,000 2,000 1,000 - Q3'25 Q4'25 Q1'26 Q2'26 Q3'26 Fixed Floating Total Millions $200 $160 $120 $80 $40 $0 2.05% 2.46% 2.54% 2.48% 2.54% Q4'26 Q1'27 Q2'27 Q3'27 Q4'27 Q1'28 2.90% 2.70% 2.50% 2.30% 2.10% 1.90% 1.70% 1.50% Principal Runoff/Qtr Eff. Coupon of Runoff cbbank.com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Deposit &amp; Customer Repurchase Agreements 6/30/2026 9/30/2026 Total Deposits &amp; Repos: $16,852 Total Deposits &amp; Repos:$16,302 Savings + Money Market 36% Total Time Deposits 4% CBB Repo Sweep 3% NOW Accounts 6% Demand Deposit Accounts 51% Cost of Deposits &amp; Repos: 0.86% Savings + Money Market 35% Total Time Deposits 4% CBB Repo Sweep 3% NOW Accounts6% Demand Deposit Accounts 52% Cost of Deposits &amp; Repos: 0.82% cbbank.com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vs Consumer Deposits Q3 2026 Non-Analyzed Business Accounts 59% Consumer 16% Analyzed Business Accounts 25% cbbank.com 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Diverse Deposit Base logo Consumer 16% Other Industries 8% Agriculture, Forestry, Fishing and Hunting 1% Retail Trade 2% Educational Services 3% Escrow and Title 3% Wholesale Trade 3% Public Administration 3% Health Care and Social Assistance 4% Professional, Scientific, and Technical Services 6% Manufacturing 7% Property Management 8% Other Services (except Public Administration) 8% Other Real Estate Rental and Leasing 8% Construction 9% Finance and Insurance 11% *Other Industries include various industries that represent less than 2%. cbbank.com 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Cost of Deposits For the Last 5 Years CVBF Ranked #1 with the Lowest Cost of Deposits of the 50 Banks in the KRX Index CVBF KRX Fed Funds Rate Source: As calculated by S&amp;P Capital IQ. Unweighted Average NASDAQ Regional Banking Index KRX (50 Banks) 6.00% 5.00% 4.00% 3.00% 2.00% 1.00% 0.00% 0.03% 0.15% 2.34% 0.98% 4.00% 1.76% 0.79% 2022 2023 2024 2025 2026 Q2 Q3 Q4 Q1 Q2 Q3 Q4 Q1 Q2 Q3 Q4 Q1 Q2 Q3 Q4 Q1 Q2 Q3 cbbank com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Cost of Deposits: Monthly Trends CVBF Cost of Deposits CVBF Cost of Deposits Detail Coat of Non Maturity Deposits Coat of Time Deposits 2.75% 2.72% 2.66% 2.82% 2.84% 2.83% 2.94% 2.97% 2.82% 2.36% 2.29% 2.21% .75% .72% .71% .70% .67% .67% .67% .72% .72% .73% .73% .72% Oct-25 Nov-25 Dec-25 Jan-26 Feb-26 Mar-26 Apr-26 May-26 Jun-26 Jul-26 Aug-26 Sep-26 vs. Effective Federal Funds Rate 5.33% 4.83% 4.58% 4.33% 4.09% 3.64% 3.64% 3.63% 3.63% 3.88% 0.92% 1.01% 0.92% 0.90% 0.86% 0.80% 0.80% 0.83% 0.79% 0.78% Jun-24 Jul-24 Aug-24 Sep-24 Oct-24 Nov-24 Dec-24 Jan-25 Feb-25 Mar-25 Apr-25 May-25 Jun-25 Jul-25 Aug-25 Sep-25 Oct-25 Nov-25 Dec-25 Jan-26 Feb-26 Mar-26 Apr-26 May-26 Jun-26 Jul-26 Aug-26 Sep-26 Total Cost of Deposits EFFR cbbank.com 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sz w:val="2"/>
        </w:rPr>
      </w:pPr>
      <w:r>
        <w:rPr>
          <w:rFonts w:ascii="Times New Roman" w:hAnsi="Times New Roman"/>
          <w:color w:val="FFFFFF"/>
          <w:sz w:val="2"/>
        </w:rPr>
        <w:t xml:space="preserve">Interest Rate Risk 9/30/2026 Yield Curve – Base Case 12 Month Ramp Up 200 bps 12 Month Ramp Up 100 bps 12 Month Ramp Dn 100 bps 12 Month Ramp Dn 200bps </w:t>
      </w:r>
      <w:r>
        <w:rPr>
          <w:rFonts w:ascii="Times New Roman" w:hAnsi="Times New Roman"/>
          <w:b/>
          <w:color w:val="FFFFFF"/>
          <w:sz w:val="2"/>
        </w:rPr>
        <w:t>Net Interest Income 9/30/26 Static Balance Sheet Projections (9/30/26 Yield Curve vs Parallel Yield Curve Changes) 2 2 2 2 2 2 2 2 1 1 1 1 1 1 1 1 2 2 2 2 2 2 2 2 1 1 1 1 1 1 1 1 Q1 Q2 Q3 Q4 Q5 Q6 Q7 Q8 Year 1 Year 2 Rate Scenario (12 Month Ramp) NII %Change to Base NII %Change to Base Up 200bps Up 100bps Dn 100bps Dn 200bps 2.94% 1.52% -0.96% -1.44% 6.03% 3.19% -3.14% -6.43% cbbank.com 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b/>
          <w:color w:val="000000"/>
          <w:sz w:val="2"/>
        </w:rPr>
      </w:pPr>
      <w:r>
        <w:rPr>
          <w:rFonts w:ascii="Times New Roman" w:hAnsi="Times New Roman"/>
          <w:b/>
          <w:color w:val="000000"/>
          <w:sz w:val="2"/>
        </w:rPr>
        <w:t>Appendix &amp; Non-GAAP Reconciliation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b/>
          <w:color w:val="FFFFFF"/>
          <w:sz w:val="2"/>
        </w:rPr>
      </w:pPr>
      <w:r>
        <w:rPr>
          <w:rFonts w:ascii="Times New Roman" w:hAnsi="Times New Roman"/>
          <w:b/>
          <w:color w:val="FFFFFF"/>
          <w:sz w:val="2"/>
        </w:rPr>
        <w:t>Acquisition of Heritage Bank of Commerce Expands Presence into Desirable Bay Area Markets Addition of 16 Business Financial Centers Attractive Financial Returns IRR = 20% EPS Accretion = 13% ROAA =1.50% ROATCE =17% Strongly Aligned Business Models NPA ratio .08% Business deposits = 83% of total deposits Merger Announcement December 17, 2025 Regulatory Approval April 1, 2026 Core System Conversion June 22, 2026 Shareholders Approval March 26, 2026 Legal Close Date April 17, 2026 187 days from announcement to systems conversion cbbank.com 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b/>
          <w:color w:val="FFFFFF"/>
          <w:sz w:val="2"/>
        </w:rPr>
      </w:pPr>
      <w:r>
        <w:rPr>
          <w:rFonts w:ascii="Times New Roman" w:hAnsi="Times New Roman"/>
          <w:b/>
          <w:color w:val="FFFFFF"/>
          <w:sz w:val="2"/>
        </w:rPr>
        <w:t>Fair Value Acquired Heritage Assets &amp; Liabilities- 4/17/26 ($ in Millions) Acquired April 17, 2026 Re-structure Post-Restructure Total Cash and Cash Equivalents Total Investment Securities Loans held for sale PCD Loans PSL Loans ACL Net Loans Goodwill CDI Other Assets Total Assets Noninterest bearing deposits Interest bearing deposits Total Deposits Subordinate Debt Other Liabilities Total Liabilities Net Assets $ 548 1,016 327 99 3,053 (47) $ 3,432 334 117 291 $ 5,739 $ 1,224 3,528 4,752 39 103 $ 4,894 $ 845 $ 815 (488) (327) - - - $ (327) - - - $ - $ - - - - - $ - $ - $ 1,364 528 - 99 3,053 (47) $ 3,105 334 117 291 $ 5,739 $ 1,224 3,528 4,752 39 103 $ 4,894 $ 845 Cbbank.com 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sz w:val="2"/>
        </w:rPr>
      </w:pPr>
      <w:r>
        <w:rPr>
          <w:rFonts w:ascii="Times New Roman" w:hAnsi="Times New Roman"/>
          <w:b/>
          <w:color w:val="FFFFFF"/>
          <w:sz w:val="2"/>
        </w:rPr>
        <w:t>CRE by Collateral ($ in Millions) Collateral Type Balance % of Owner Occupied LTV at Origination Avg. Size Classified Classified (Non- Owner) Classified (Owner) Industrial $ 2,708 46% 48% $ 1.73 $ 34.83 $ 10.46 $ 24.36 Office 1,468 26% 52% 1.75 11.80 10.02 1.78 Retail 1,388 11%45% 1.73 3.53 3.53 0.00 Multi-Family 1,256 0% 47% 1.60 0.00 0.00 0.00 Other 751 56% 46% 1.55 1.05 0.00 1.05 Other RE Rental &amp; Leasing 602 15% 46% 2.17 0.63 0.64 0.00 Farmland 431 99% 46% 1.56 4.23 0.00 4.23 Medical 429 31% 55% 1.59 0.00 0.00 0.00 Total $ 9,033 32%48% $ 1.70 $ 56.07 $ 24.65$ 31.42 cbbank.com 43</w:t>
      </w:r>
      <w:r>
        <w:rPr>
          <w:rFonts w:ascii="Times New Roman" w:hAnsi="Times New Roman"/>
          <w:color w:val="FFFFFF"/>
          <w:sz w:val="2"/>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sz w:val="2"/>
        </w:rPr>
      </w:pPr>
      <w:r>
        <w:rPr>
          <w:rFonts w:ascii="Times New Roman" w:hAnsi="Times New Roman"/>
          <w:b/>
          <w:color w:val="FFFFFF"/>
          <w:sz w:val="2"/>
        </w:rPr>
        <w:t>CRE by Collateral and Origination ($ in Millions) Balance Distribution by Origination Year Average OLTV By Origination Year Collateral Type Balance 2026 2025 2024 2023 2022 2021 or earlier 2026 2025 2024 2023 2022 2021 or earlier Industrial $ 2,708 9% 11% 5% 8% 17% 50% 45% 45% 44% 40% 45% 51% Office 1,468 10% 9% 4% 4% 19% 54% 49% 48% 49% 48% 53% 54% Retail 1,388 9% 11% 5% 11% 18% 46% 41% 43% 39% 41% 45% 48% Multi-Family 1,256 14% 9% 4% 9% 15% 49% 51% 46% 42% 42% 44% 49% Other 751 10% 11% 5% 6% 11% 57% 46% 42% 56% 44% 46% 46% Other RE Rental &amp; Leasing 602 11% 11% 6% 9% 15% 48% 45% 42% 43% 49% 46% 46% Farmland 431 14% 9% 7% 7% 14% 49% 44% 34% 38% 42% 51% 48% Medical 429 10% 16% 7% 2% 10% 55% 49% 53% 46% 40% 51% 59% Total $ 9,033 10% 11% 5% 7% 16% 51% 47% 45% 44% 42% 46% 50% cbbank.com 44</w:t>
      </w:r>
      <w:r>
        <w:rPr>
          <w:rFonts w:ascii="Times New Roman" w:hAnsi="Times New Roman"/>
          <w:color w:val="FFFFFF"/>
          <w:sz w:val="2"/>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 by Collateral and Loan Size ($ in Millions) Loan Amount Industrial Office Retail Multi-Family Other Farmland Medical Other RE Rental and Leasing Total Greater than $20M $10M to $20M $5M to $10M $1M to $5M Less than $1M Total $24 138 580 1,624 342 $2,708 $22 154 357 752 183 $1,468 $0 109 232 850 197 $1,388 $0 96 183 770 207 $1,256 $0 17 183 439 112 $751 $21 58 74 212 66 $431 $22 34 62 250 61 $429 $0 50 163 335 54 $602 $89 656 1,834 5,232 1,222 $9,033 cbbank.com 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Loans – Maturity &amp; Repricing ($ in Millions) Balance Distribution by Maturity or Reset as of 09/30/2026 Variable Fixed / Adjustable Loan Type ≤ 1 Year ≤ 1 Year 1-3 Years 3-5 Years 5-10 Years &gt; 10 Years Grand Total Commercial real estate $ 880 $ 606 $ 1,778 $ 3,028 $ 2,458 $ 282 $ 9,033 Commercial and industrial 807 64 171 202 184 13 1,440 Dairy &amp; livestock and agribusiness 340 0 1 1 0 0 342 SBA 86 13 30 116 193 32 470 SFR mortgage 64 5 61 107 58 43 338 Other 405 16 15 15 11 37 499 Total Loans and Leases $ 2,582 $ 704 $ 2,056 $ 3,469 $ 2,904 $ 407 $ 12,122 % of Total 21% 6% 17% 29% 24% 3% 100% z Weighted Avg. Coupon 7.02% 4.63% 5.29% 5.19% 4.85% 4.65% 5.46% Note: Weighted average coupon excludes loan fees and purchase accounting accretions. Cbbank.com 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C&amp;I by Industry ($ in Millions) Industry Real Estate Rental and Leasing Construction Manufacturing Wholesale Trade Health Care and Social Assistance Arts, Entertainment, and Recreation Transportation and Warehousing Administrative and Support and Waste Management and Remediation Services Professional, Scientific, and Technical Services Other* Total Balance $ 266 180 174 100 69 67 64 57 56 407 $ 1,440 % of C&amp;I Total 18% 12% 12% 7% 5% 5% 4% 4% 4% 28% 100% Classified $ 7.87 0.44 14.01 7.45 0.88 0.00 4.46 0.00 0.00 1.04 $ 36.15 Construction:12% Manufacturing:12% Real Estate Rental and Leasing:18% Other*: 29% Wholesale Trade:7% Health Care and Social Assistance:5% Arts, Entertainment, and Recreation:5% Transportation and Warehousing:4% Administrative and Support and Waste Management and Remediation Services:4% Professional, Scientific, and Technical Services:4% * Bayview Factoring business is classified under Other Cbbank.com 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Loan Growth –Q1’26 and Q2’26 ($ in Millions) 2026 Q2 Loan Portfolio Change 8,643 3,479 (327) 477 (348) 97 12,017 3/31/2026 HBC Acquisition* SFR Sale* New Originations Paydown Line Utilization Change 6/30/2026 2026 Q1 Loan Portfolio Change 8,699 - - 338 (308) (85) 8,643 12/31/2025 HBC Acquisition* SFR Sale* New Originations Paydown Line Utilization Change 3/31/2026 * Fair Value as of 4/17/2026 Cbbank.com 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Classified Loans / Total Loans (%)CVBF KRX 0.7% 1.5% 1.0% 1.4% 0.9% 0.7% 0.9% 1.2% 1.2% 1.6% 1.2% 1.8% 1.4% 2.0% 1.5% 2.3% 1.1% 2.0% 1.1% 2.4% 0.9% 2.4% 0.9% 2.4% 0.6% 2.3% 1.0% 2.3% 0.9% 2.2% 0.9% 0 4Q'19 4Q'20 4Q'21 4Q'22 4Q'23 1Q'24 2Q'24 3Q'24 4Q'24 1Q'25 2Q'25 3Q'25 4Q'25 1Q'26 2Q'26 3Q'26 * Source: S&amp;P Capital IQ. Unweighted Average NASDAQ Regional Banking Index KRX Cbbank.com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xml:space="preserve">Net Charge-Offs / Average Loans (%) CVBF KRX 0.02% 0.03% 0.05% 0.04% 0.06% 0.06% 0.08% 0.06% 0.05% 0.05% 0.06% 0.05% 0.07% 0.00% 0.00% 0.00% 0.00% 0.00% 0.00% 0.00% 0.00% 0.00% 0.00% 0.00% 0.00% 0.00% 4Q'21 4Q'22 4Q'23 1Q'24 2Q'24 3Q'24 4Q'24 1Q'25 2Q'25 3Q'25 4Q'25 1Q'26 2Q'26 3Q'26 * Source: S&amp;P Capital IQ. Unweighted Average NASDAQ Regional Banking Index KRX Cbbank.com 50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CET1 Ratio Trend (%) ASR / Suncrest Acquisition HTBK Acquisition 14.8% 14.8% 14.9% 13.6% 14.7% 15.0% 15.3% 15.8% 16.2% 16.5% 16.5% 16.3% 15.9% 16.3% 14.7% 14.8% 12.1% 12.5% 12.5% 11.8% 12.2% 12.2% 12.3% 12.6% 12.8% 12.8% 12.7% 12.8% 12.8% 12.7% 12.8% 4Q'19 4Q'20 4Q'21 4Q'22 4Q'23 1Q'24 2Q'24 3Q'24 4Q'24 1Q'25 2Q'25 3Q'25 4Q'25 1Q'26 2Q'26 3Q'26 * Source: S&amp;P Capital IQ. Unweighted Average NASDAQ Regional Banking Index KRX cbbank.com 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TCE Ratio Trend (%) CVBF KRX ASR / Suncrest Acquisition HTBK Acquisition 12.2% 9.6% 9.2% 7.4% 8.5% 8.3% 8.3% 9.7% 9.8% 10.0% 10.0% 10.1% 10.3% 10.5% 9.8% 9.9% 9.7% 9.0% 8.6% 7.4% 8.1% 8.1% 8.2% 8.6% 8.6% 8.8% 8.8% 9.1% 9.2% 9.1% 9.2% 4Q'19 4Q'20 4Q'21 4Q'22 4Q'23 1Q'24 2Q'24 3Q'24 4Q'24 1Q'25 2Q'25 3Q'25 4Q'25 1Q'26 2Q'26 3Q'26 * Source: S&amp;P Capital IQ. Unweighted Average NASDAQ Regional Banking Index KRX cbbank.com 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xml:space="preserve">Economic Forecast – GDP Real GDP Growth 4.00 3.50 3.00 2.50 2.00 1.50 1.00 .50. – (0.50) 2026Q3 2026Q4 2027Q1 2027Q2 2027Q3 2027Q4 2028Q1 2028Q2 2028Q3 2028Q4 2029Q1 2029Q2 2029Q3 Q2 2026 Forecast Q3 2026 Forecast cbbank.com 53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Economic Forecast – Unemployment Unemployment Rate 6.00 5.50 5.00 4.50 4.00 2026Q3 2026Q4 2027Q1 2027Q2 2027Q3 2027Q4 2028Q1 2028Q2 2028Q3 2028Q4 2029Q1 2029Q2 2029Q3 Q2 2026 Forecast Q3 2026 Forecast cbbank.com 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Economic Forecast – CRE Price CRE Price Index Growth 8.00 6.00 4.00 2.00 – (2.00) (4.00) (6.00) 2026Q3 2026Q4 2027Q1 2027Q2 2027Q3 2027Q4 2028Q1 2028Q2 2028Q3 2028Q4 2029Q1 2029Q2 2029Q3 Q2 2026 Forecast Q3 2026 Forecast cbbank.com 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Adjusted Return on Average Assets Ratio (Non-GAAP) The adjusted return on average assets ratio is a non-GAAP disclosure. We use certain non-GAAP financial measures to provide supplemental information regarding our performance. We believe that presenting the adjusted return on average assets ratio provides additional clarity to the users of our financial statements. Net income Less: Acquisition related expenses Less: Tax effect (1) Adjusted net income for average assets Average assets Return on average assets, annualized Adjusted return on average assets, excluding acquisition related expenses, annualized For the year ended December 31, three months ended 2022 $235,425 6,013 (1,778) $239,660 $16,911,661 1.39% 1.42%2023 $221,435 – – $221,435 $16,346,172 1.35% 1.35% 2024 $200,716 – – $200,716 $16,139,598 1.24% 1.24% 2025 $209,298 1,556 (450) $210,394 $15,376,614 1.36% 1.37%September 30, 2025 $52,586 – – $52,586 $15,498,390 1.35% 1.35% March 31, 2026 $51,002 – – $51,002 $15,564,244 1.33% 1.33% June 30, 2026 $48,261 31,400 (9,127) $70,534 $19,881,428 0.97% 1.42% September 30, 2026 $78,098 8,140 (2,360) $83,878 $20,940,436 1.48% 1.59% (1) Tax effected at respective statutory rates. Cbbank.com 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Adjusted Return on Average Tangible Common Equity (Non-GAAP) The adjusted return on average tangible common equity is a non-GAAP disclosure. We use certain non-GAAP financial measures to provide supplemental information regarding our performance. We believe that presenting the adjusted return on average tangible common equity provides additional clarity to the users of our financial statements. For the year ended December 31, three months ended 2022 2023 2024 2025 September 30, 2025 June 30, 2026 September 30, 2026 Net Income Add: Amortization of intangible assets Less: Tax effect (1) Tangible net income Add: Acquisition related expenses Less: Tax effect (1) Adjusted tangible net income Average stockholders' equity Less: Average goodwill Less: Average intangible assets Average tangible common equity Return on average equity, annualized Return on average tangible common equity, annualized Adjusted return on average tangible common equity, annualized (1) Tax effected at respective statutory rates. Cbbank.com 57 $235,425 $221,435 $200,716 $209,298 $52,586 $48,261 $78,098 7,566 6,452 5,324 4,193 1,003 3,577 3,980 (2,237) (1,907) (1,574) (1,240) (297) (1,040) (1,151) $240,754 $225,980 $204,466 $212,251 $53,292 $53,739 $80,927 6,013 — — 1,556 — 31,400 8,140 (1,778) — — (460) — (9,127) (2,366) $244,989 $225,980 $204,466 $213,347 $53,292 $73,071 $86,695 $2,066,463 $2,006,882 $2,145,665 $2,260,275 $2,271,151 $3,019,704 $3,195,906 (764,143) (765,822) (765,822) (765,822) (765,822) (1,041,190) (1,099,936) (25,376) (18,434) (12,571) (7,748) (7,111) (100,373) (116,459) $1,276,944 $1,222,626 $1,367,272 $1,486,705 $1,498,218 $1,878,141 $1,979,511 11.39% 11.03% 9.35% 9.26% 9.19% 6.41% 9.70% 18.85% 18.48% 14.95% 14.28% 14.11% 10.85% 16.22% 19.19% 18.48% 14.95% 14.35% 14.11% 15.61% 17.39%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Adjusted Efficiency Ratio (Non-GAAP) logo The adjusted efficiency ratio is a non-GAAP disclosure. We use certain non-GAAP financial measures to provide supplemental information regarding our performance. We believe that presenting the adjusted efficiency ratio provides additional clarity to the users of our financial statements. For the Year Ended December 31, 2017 2022 2023 2024 2025 Three Months Ended September 30, 2025 June 30, 2026 September 30, 2026 Total noninterest expense 140,753 $ 216,555 $ 229,886 $ 233,583 $ 237,265 $ 58,576 $ 114,378 $ 90,480 $ Less: (Recapture of) provision for unfunded loan commitments (400) — (500) (1,250) 2,000 500 4,250 — Less: Acquisition related expenses 2,251 6,013 — — 1,556 — 31,400 8,140 Adjusted noninterest expense 138,902 $ 210,542 $ 230,386 $ 234,833 $ 233,709 $ 58,076 $ 78,728 $ 82,340 $ Net interest income before provision for credit losses 278,930 $ 505,513 $ 487,990 $ 447,347 $ 460,287 $ 115,577 $ 162,415 $ 179,066 $ Add: total noninterest income 42,118 49,989 59,330 54,474 55,171 13,006 17,010 16,494 Total revenue 321,048 $ 555,502 $ 547,320 $ 501,821 $ 515,458 $ 128,583 $ 179,425 $ 195,560 $ Efficiency ratio 43.84% 38.98% 42.00% 46.55% 46.03% 45.56% 63.75% 46.27% Adjusted efficiency ratio, excluding provision for unfunded loan commitments and acquisition related expenses 43.27% 37.90% 42.09% 46.80% 45.34% 45.17% 43.88% 42.10% cbbank.com 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Pretax Pre-Provision Income and Tangible Common Equity Ratio (Non-GAAP) Pretax pre-provision income is a Non-GAAP financial measure that represents total revenue less noninterest expense and is calculated before provision for credit losses and income tax expense. For the Year Ended December 31, Three Months Ended Net Income Add: Provision for (recapture of) credit losses Add: Income tax expense Pretax pre-provision income 2022 $ 235,425 10,600 92,922 $ 338,947 2023 $221,435 2,000 93,999 $ 317,434 2024 $ 200,716 (3,000) 70,522 $ 268,238 2025 $ 209,298 (3,500) 72,395 $ 278,193 September 30, 2025 $ 52,586 1,000 16,421 $ 70,007 June 30, 2026 $ 48,261 -.16,786 $ 65,047 September 30, 2026 $ 78,098 (1,000) 27,982 $ 105,080 The tangible common equity ratios are a Non-GAAP financial measures derived from GAAP-based amounts. The following is a reconciliation of tangible book value and tangible common equity in accordance with GAAP, as well as the calculation for tangible common equity ratio. For the Year Ended December 31, Three Months Ended Stockholders' equity Less: Goodwill Less: Intangible assets Tangible book value Total assets Less: Goodwill Less: Intangible assets Tangible assets Common shares issued and outstanding Book value per share Tangible book value per share Tangible common equity ratio 2022 2023 2024 2025 September 30, 2025 June 30, 2026 September 30, 2026 $ 1,948,517 $ 2,077,972 $ 2,186,316 $ 2,295,224 $ 2,282,067 $ 3,169,689 $ 3,130,322 (765,822) (765,822) (765,822) (765,822) (765,822) (1,099,936) (1,099,936) (21,742) (15,291) (9,967) (5,774) (6,654) (117,927) (113,947) $ 1,160,953 $ 1,296,859 $ 1,410,527 $ 1,523,628 $ 1,509,591 $ 1,951,826 $ 1,916,439 $ 16,476,540 $ 16,020,993 $ 15,153,655 $ 15,631,054 $ 15,666,206 $ 21,182,781 $ 20,522,193 (765,822) (765,822) (765,822) (765,822) (765,822) (1,099,936) (1,099,936) (21,742) (15,291) (9,967) (5,774) (6,654) (117,927) (113,947) $ 15,688,976 $ 15,239,880 $ 14,377,866 $ 14,859,458 $ 14,893,730 $ 19,964,918 $ 19,308,310 139,818,703 139,344,981 139,689,686 135,551,799 137,509,649 176,247,135 175,493,977 $ 13.94 $ 14.91 $ 15.65 $ 16.93 $ 16.60 $ 17.98 $ 17.84 $ 8.30 $ 9.31 $ 10.10 $ 11.24 $ 10.98 $ 11.07 $ 10.92 7.40% 8.51% 9.81% 10.25% 10.14% 9.78% 9.93% cbbank.com 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8963025" cy="67246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 financial corp. Copy of presentation at www.cbbank.com cbbank com 60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16595</Words>
  <Characters>90642</Characters>
  <CharactersWithSpaces>109973</CharactersWithSpaces>
  <Paragraphs>8467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